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267020">
      <w:pPr>
        <w:jc w:val="center"/>
        <w:rPr>
          <w:b/>
          <w:bCs/>
          <w:color w:val="auto"/>
          <w:sz w:val="28"/>
          <w:szCs w:val="28"/>
        </w:rPr>
      </w:pPr>
      <w:bookmarkStart w:id="13" w:name="_GoBack"/>
      <w:bookmarkStart w:id="0" w:name="OLE_LINK20"/>
      <w:r>
        <w:rPr>
          <w:rFonts w:hint="eastAsia"/>
          <w:b/>
          <w:bCs/>
          <w:color w:val="auto"/>
          <w:sz w:val="28"/>
          <w:szCs w:val="28"/>
        </w:rPr>
        <w:t>桂林市</w:t>
      </w:r>
      <w:r>
        <w:rPr>
          <w:rFonts w:hint="eastAsia"/>
          <w:b/>
          <w:bCs/>
          <w:color w:val="auto"/>
          <w:sz w:val="28"/>
          <w:szCs w:val="28"/>
          <w:highlight w:val="none"/>
          <w:lang w:val="en-US" w:eastAsia="zh-CN"/>
        </w:rPr>
        <w:t>桂林中学</w:t>
      </w:r>
      <w:r>
        <w:rPr>
          <w:rFonts w:hint="eastAsia"/>
          <w:b/>
          <w:bCs/>
          <w:color w:val="auto"/>
          <w:sz w:val="28"/>
          <w:szCs w:val="28"/>
        </w:rPr>
        <w:t>多</w:t>
      </w:r>
      <w:bookmarkEnd w:id="0"/>
      <w:r>
        <w:rPr>
          <w:rFonts w:hint="eastAsia"/>
          <w:b/>
          <w:bCs/>
          <w:color w:val="auto"/>
          <w:sz w:val="28"/>
          <w:szCs w:val="28"/>
        </w:rPr>
        <w:t>媒体教学设备采购需求表</w:t>
      </w:r>
    </w:p>
    <w:bookmarkEnd w:id="13"/>
    <w:tbl>
      <w:tblPr>
        <w:tblStyle w:val="9"/>
        <w:tblW w:w="10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9"/>
        <w:gridCol w:w="815"/>
        <w:gridCol w:w="6322"/>
        <w:gridCol w:w="483"/>
        <w:gridCol w:w="553"/>
        <w:gridCol w:w="1064"/>
        <w:gridCol w:w="1064"/>
      </w:tblGrid>
      <w:tr w14:paraId="1314B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499" w:type="dxa"/>
            <w:vAlign w:val="center"/>
          </w:tcPr>
          <w:p w14:paraId="019A5786">
            <w:pPr>
              <w:spacing w:line="276" w:lineRule="auto"/>
              <w:jc w:val="center"/>
              <w:rPr>
                <w:rFonts w:hint="eastAsia" w:hAnsi="宋体" w:cs="宋体"/>
                <w:b/>
                <w:bCs/>
                <w:color w:val="000000"/>
                <w:sz w:val="18"/>
                <w:szCs w:val="18"/>
              </w:rPr>
            </w:pPr>
            <w:r>
              <w:rPr>
                <w:rFonts w:hint="eastAsia" w:ascii="宋体" w:hAnsi="宋体" w:eastAsia="宋体"/>
                <w:b/>
                <w:bCs/>
                <w:szCs w:val="21"/>
              </w:rPr>
              <w:t>序号</w:t>
            </w:r>
          </w:p>
        </w:tc>
        <w:tc>
          <w:tcPr>
            <w:tcW w:w="815" w:type="dxa"/>
            <w:vAlign w:val="center"/>
          </w:tcPr>
          <w:p w14:paraId="1F8D6F08">
            <w:pPr>
              <w:spacing w:line="276" w:lineRule="auto"/>
              <w:jc w:val="center"/>
              <w:rPr>
                <w:rFonts w:hint="eastAsia" w:hAnsi="宋体" w:cs="宋体"/>
                <w:b/>
                <w:bCs/>
                <w:color w:val="000000"/>
                <w:sz w:val="18"/>
                <w:szCs w:val="18"/>
              </w:rPr>
            </w:pPr>
            <w:r>
              <w:rPr>
                <w:rFonts w:hint="eastAsia" w:ascii="宋体" w:hAnsi="宋体" w:eastAsia="宋体"/>
                <w:b/>
                <w:bCs/>
                <w:szCs w:val="21"/>
              </w:rPr>
              <w:t>产品名称</w:t>
            </w:r>
          </w:p>
        </w:tc>
        <w:tc>
          <w:tcPr>
            <w:tcW w:w="6322" w:type="dxa"/>
            <w:vAlign w:val="center"/>
          </w:tcPr>
          <w:p w14:paraId="423F6AFA">
            <w:pPr>
              <w:spacing w:line="276" w:lineRule="auto"/>
              <w:jc w:val="center"/>
              <w:rPr>
                <w:rFonts w:hint="eastAsia" w:hAnsi="宋体" w:cs="宋体"/>
                <w:b/>
                <w:bCs/>
                <w:color w:val="000000"/>
                <w:sz w:val="18"/>
                <w:szCs w:val="18"/>
              </w:rPr>
            </w:pPr>
            <w:r>
              <w:rPr>
                <w:rFonts w:hint="eastAsia" w:ascii="宋体" w:hAnsi="宋体" w:eastAsia="宋体"/>
                <w:b/>
                <w:bCs/>
                <w:szCs w:val="21"/>
              </w:rPr>
              <w:t>技术参数及要求</w:t>
            </w:r>
          </w:p>
        </w:tc>
        <w:tc>
          <w:tcPr>
            <w:tcW w:w="483" w:type="dxa"/>
            <w:vAlign w:val="center"/>
          </w:tcPr>
          <w:p w14:paraId="664D6B94">
            <w:pPr>
              <w:spacing w:line="276" w:lineRule="auto"/>
              <w:jc w:val="center"/>
              <w:rPr>
                <w:rFonts w:hint="eastAsia" w:hAnsi="宋体" w:cs="宋体"/>
                <w:b/>
                <w:bCs/>
                <w:color w:val="000000"/>
                <w:sz w:val="18"/>
                <w:szCs w:val="18"/>
              </w:rPr>
            </w:pPr>
            <w:r>
              <w:rPr>
                <w:rFonts w:hint="eastAsia" w:ascii="宋体" w:hAnsi="宋体" w:eastAsia="宋体"/>
                <w:b/>
                <w:bCs/>
                <w:szCs w:val="21"/>
              </w:rPr>
              <w:t>数量</w:t>
            </w:r>
          </w:p>
        </w:tc>
        <w:tc>
          <w:tcPr>
            <w:tcW w:w="553" w:type="dxa"/>
            <w:vAlign w:val="center"/>
          </w:tcPr>
          <w:p w14:paraId="2357CA2A">
            <w:pPr>
              <w:spacing w:line="276" w:lineRule="auto"/>
              <w:jc w:val="center"/>
              <w:rPr>
                <w:rFonts w:hint="eastAsia" w:hAnsi="宋体" w:cs="宋体"/>
                <w:b/>
                <w:bCs/>
                <w:color w:val="000000"/>
                <w:sz w:val="18"/>
                <w:szCs w:val="18"/>
              </w:rPr>
            </w:pPr>
            <w:r>
              <w:rPr>
                <w:rFonts w:hint="eastAsia" w:ascii="宋体" w:hAnsi="宋体" w:eastAsia="宋体"/>
                <w:b/>
                <w:bCs/>
                <w:szCs w:val="21"/>
              </w:rPr>
              <w:t>单位</w:t>
            </w:r>
          </w:p>
        </w:tc>
        <w:tc>
          <w:tcPr>
            <w:tcW w:w="1064" w:type="dxa"/>
            <w:vAlign w:val="center"/>
          </w:tcPr>
          <w:p w14:paraId="4CC493AC">
            <w:pPr>
              <w:spacing w:line="276" w:lineRule="auto"/>
              <w:jc w:val="center"/>
              <w:rPr>
                <w:rFonts w:hint="eastAsia" w:hAnsi="宋体" w:cs="宋体"/>
                <w:b/>
                <w:bCs/>
                <w:color w:val="000000"/>
                <w:sz w:val="18"/>
                <w:szCs w:val="18"/>
              </w:rPr>
            </w:pPr>
            <w:r>
              <w:rPr>
                <w:rFonts w:hint="eastAsia" w:ascii="宋体" w:hAnsi="宋体" w:eastAsia="宋体"/>
                <w:b/>
                <w:bCs/>
                <w:szCs w:val="21"/>
              </w:rPr>
              <w:t>单价（单位：元）</w:t>
            </w:r>
          </w:p>
        </w:tc>
        <w:tc>
          <w:tcPr>
            <w:tcW w:w="1064" w:type="dxa"/>
            <w:vAlign w:val="center"/>
          </w:tcPr>
          <w:p w14:paraId="3D557B59">
            <w:pPr>
              <w:spacing w:line="276" w:lineRule="auto"/>
              <w:jc w:val="center"/>
              <w:rPr>
                <w:rFonts w:hint="eastAsia" w:hAnsi="宋体" w:cs="宋体"/>
                <w:b/>
                <w:bCs/>
                <w:color w:val="000000"/>
                <w:sz w:val="18"/>
                <w:szCs w:val="18"/>
              </w:rPr>
            </w:pPr>
            <w:r>
              <w:rPr>
                <w:rFonts w:hint="eastAsia" w:ascii="宋体" w:hAnsi="宋体" w:eastAsia="宋体"/>
                <w:b/>
                <w:bCs/>
                <w:szCs w:val="21"/>
              </w:rPr>
              <w:t>总价（单位：元）</w:t>
            </w:r>
          </w:p>
        </w:tc>
      </w:tr>
      <w:tr w14:paraId="6366A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499" w:type="dxa"/>
            <w:vAlign w:val="center"/>
          </w:tcPr>
          <w:p w14:paraId="3251D7D8">
            <w:pPr>
              <w:pStyle w:val="7"/>
              <w:spacing w:line="240" w:lineRule="exact"/>
              <w:jc w:val="center"/>
              <w:rPr>
                <w:rFonts w:hint="eastAsia" w:hAnsi="宋体" w:cs="宋体"/>
                <w:color w:val="000000"/>
                <w:sz w:val="18"/>
                <w:szCs w:val="18"/>
              </w:rPr>
            </w:pPr>
            <w:r>
              <w:rPr>
                <w:rFonts w:hint="eastAsia" w:hAnsi="宋体" w:cs="宋体"/>
                <w:color w:val="000000"/>
                <w:sz w:val="18"/>
                <w:szCs w:val="18"/>
              </w:rPr>
              <w:t>1</w:t>
            </w:r>
          </w:p>
        </w:tc>
        <w:tc>
          <w:tcPr>
            <w:tcW w:w="815" w:type="dxa"/>
            <w:vAlign w:val="center"/>
          </w:tcPr>
          <w:p w14:paraId="392C871A">
            <w:pPr>
              <w:widowControl/>
              <w:jc w:val="center"/>
              <w:textAlignment w:val="center"/>
              <w:rPr>
                <w:rFonts w:hint="eastAsia" w:ascii="宋体" w:hAnsi="宋体" w:eastAsia="宋体" w:cs="宋体"/>
                <w:sz w:val="20"/>
                <w:szCs w:val="20"/>
              </w:rPr>
            </w:pPr>
            <w:r>
              <w:rPr>
                <w:rFonts w:hint="eastAsia" w:ascii="宋体" w:hAnsi="宋体" w:eastAsia="宋体" w:cs="宋体"/>
                <w:color w:val="auto"/>
                <w:kern w:val="0"/>
                <w:sz w:val="20"/>
                <w:szCs w:val="20"/>
                <w:highlight w:val="none"/>
                <w:lang w:bidi="ar"/>
              </w:rPr>
              <w:t xml:space="preserve">交互智能平板 </w:t>
            </w:r>
            <w:r>
              <w:rPr>
                <w:rFonts w:ascii="宋体" w:hAnsi="宋体" w:eastAsia="宋体" w:cs="宋体"/>
                <w:color w:val="auto"/>
                <w:kern w:val="0"/>
                <w:sz w:val="20"/>
                <w:szCs w:val="20"/>
                <w:highlight w:val="none"/>
                <w:lang w:bidi="ar"/>
              </w:rPr>
              <w:t>教学触控一体机</w:t>
            </w:r>
            <w:r>
              <w:rPr>
                <w:rFonts w:hint="eastAsia" w:ascii="宋体" w:hAnsi="宋体" w:eastAsia="宋体" w:cs="宋体"/>
                <w:color w:val="auto"/>
                <w:kern w:val="0"/>
                <w:sz w:val="20"/>
                <w:szCs w:val="20"/>
                <w:highlight w:val="none"/>
                <w:lang w:bidi="ar"/>
              </w:rPr>
              <w:t>（六年质保）</w:t>
            </w:r>
          </w:p>
        </w:tc>
        <w:tc>
          <w:tcPr>
            <w:tcW w:w="6322" w:type="dxa"/>
            <w:vAlign w:val="center"/>
          </w:tcPr>
          <w:p w14:paraId="3DB7B7B8">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（一）交互智能平板设备</w:t>
            </w:r>
          </w:p>
          <w:p w14:paraId="62D63335">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一、整机硬件及系统</w:t>
            </w:r>
          </w:p>
          <w:p w14:paraId="09C63EF9">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（1）屏显设计</w:t>
            </w:r>
          </w:p>
          <w:p w14:paraId="2D32B517">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1、整机采用一体设计，外部无任何可见内部功能模块连接线。边角采用弧形设计，表面无尖锐边缘或凸起。</w:t>
            </w:r>
          </w:p>
          <w:p w14:paraId="409B5374">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2、整机屏幕边缘采用金属圆角包边防护，整机背板采用金属材质，有效屏蔽内部电路器件辐射；防潮耐盐雾蚀锈，适应多种教学环境。</w:t>
            </w:r>
          </w:p>
          <w:p w14:paraId="34705395">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★3、整机屏幕采用≥86英寸液晶显示器，整机采⽤超⾼清LED液晶屏，显示⽐例16:9，分辨率3840x2160，色域覆盖率（NTSC）≥72%，灰阶等级≥256级。</w:t>
            </w:r>
          </w:p>
          <w:p w14:paraId="510F2050">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4、采用全物理钢化玻璃，有效保护屏幕显示画面，采用防眩光玻璃，屏幕支持防眩光功能，钢化玻璃表面硬度≥9H。</w:t>
            </w:r>
          </w:p>
          <w:p w14:paraId="75DA2120">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5、整机背光系统支持DC调光方式，多级亮度调节，支持白颜色背景下最暗亮度≤100nit，用于提升显示对比度。</w:t>
            </w:r>
          </w:p>
          <w:p w14:paraId="4911411A">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★6、整机屏幕蓝光占比（有害蓝光415～455nm能量综合）/（整体蓝光400～500nm能量综合）＜50%。</w:t>
            </w:r>
          </w:p>
          <w:p w14:paraId="0358588B">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7、支持自定义图像设置，可对对比度、屏幕色温、图像亮度、亮度范围、色彩空间调节设置。</w:t>
            </w:r>
          </w:p>
          <w:p w14:paraId="1E626C75">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8、整机全通道支持纸质护眼模式，可实现画面纹理的实时调整；支持纸质纹理：牛皮纸、素描纸、宣纸、水彩纸、水纹纸；支持透明度调节；支持色温调节。</w:t>
            </w:r>
          </w:p>
          <w:p w14:paraId="2676BB38">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（2）按键与接口设计</w:t>
            </w:r>
          </w:p>
          <w:p w14:paraId="7AE0BB07">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1、三合一电源按键，同一电源物理按键完成Android系统和Windows系统的开机、节能熄屏、关机操作；关机状态下按按键开机；开机状态下按按键实现节能熄屏/唤醒，长按按键实现关机。</w:t>
            </w:r>
          </w:p>
          <w:p w14:paraId="4A199CEF">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2、设备支持通过前置面板物理按键一键启动录屏功能，可将屏幕中显示的课件、音频内容与人声同时录制。</w:t>
            </w:r>
          </w:p>
          <w:p w14:paraId="61041A8D">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3、整机具备≥6前置按键，可实现开关机、音量＋－、护眼、录屏、设置功能。整机前置按键支持自定义设置，可通过自定义设置实现前置面板功能按键一键启用任一全局小工具（批注、截屏、计时、降半屏、放大镜、倒数日、日历）、快捷开关（节能模式、纸质护眼模式、经典护眼模式、自动亮度模式）。</w:t>
            </w:r>
          </w:p>
          <w:p w14:paraId="76407CC3">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4、侧置输入接口具备≥2路HDMI、≥1路RS232（RJ45形态）、≥1路USB接口。</w:t>
            </w:r>
          </w:p>
          <w:p w14:paraId="43B5BFFE">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5、侧置输出接口具备≥1路音频输出、≥1路触控USB输出。</w:t>
            </w:r>
          </w:p>
          <w:p w14:paraId="38156487">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6、前置输入接口≥3路USB接口（至少包含1路Type-C、2路USB），前置USB接口支持Android系统、Windows系统读取外接移动存储设备。</w:t>
            </w:r>
          </w:p>
          <w:p w14:paraId="09ACC419">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7、支持通过Type-C接口U盘进行文件传输，兼容Type-C接口手机充电。</w:t>
            </w:r>
          </w:p>
          <w:p w14:paraId="326A467C">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（3）整机内置系统</w:t>
            </w:r>
          </w:p>
          <w:p w14:paraId="7C0D2EA7">
            <w:pPr>
              <w:pStyle w:val="8"/>
              <w:spacing w:line="360" w:lineRule="auto"/>
              <w:ind w:left="0" w:leftChars="0" w:firstLine="0" w:firstLineChars="0"/>
              <w:rPr>
                <w:rFonts w:hint="eastAsia" w:ascii="宋体" w:hAnsi="宋体" w:cs="宋体"/>
                <w:kern w:val="0"/>
                <w:sz w:val="20"/>
                <w:szCs w:val="20"/>
                <w:lang w:bidi="ar"/>
              </w:rPr>
            </w:pPr>
            <w:bookmarkStart w:id="1" w:name="OLE_LINK10"/>
            <w:r>
              <w:rPr>
                <w:rFonts w:hint="eastAsia" w:ascii="宋体" w:hAnsi="宋体" w:cs="宋体"/>
                <w:kern w:val="0"/>
                <w:sz w:val="20"/>
                <w:szCs w:val="20"/>
                <w:lang w:bidi="ar"/>
              </w:rPr>
              <w:t>★1、整机嵌入式系统版本≥Android 15，内存≥2GB，存储空间≥32GB。（投标时须提供国家认可的第三方检测机构出具的关于该功能检测报告复印件）</w:t>
            </w:r>
          </w:p>
          <w:bookmarkEnd w:id="1"/>
          <w:p w14:paraId="7166A95D">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2、嵌入式Android操作系统下，白板支持对已经书写的笔迹和形状和颜色进行更换。</w:t>
            </w:r>
          </w:p>
          <w:p w14:paraId="06FA2C7B">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3、在嵌入式系统下使用白板软件时，整机可自行调节屏幕亮度。</w:t>
            </w:r>
          </w:p>
          <w:p w14:paraId="1E948CB2">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4、嵌入式Android操作系统下，互动白板支持不同背景颜色，同时提供学科背景，如：五线谱、信纸、田字格、英文格、篮球和足球场地平面图。</w:t>
            </w:r>
          </w:p>
          <w:p w14:paraId="75C2A188">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★5、无 PC 模块状态下，嵌入式Android 系统内置白板软件支持十笔书写及手掌擦除（手掌擦除面积根据手掌与屏幕的接触面大小自动调整）， 白板书写内容可以 PDF 、IWB 和SVG 格式导出，支持 10 种以上平面图形工具，支持 8 种以上立体图形工具。</w:t>
            </w:r>
          </w:p>
          <w:p w14:paraId="6B955C6E">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（4）电脑模块</w:t>
            </w:r>
          </w:p>
          <w:p w14:paraId="3AC8F71E">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1、PC模块可抽拉式插入整机，可实现无单独接线的拔插，采用按压式卡扣，无需工具即可快速拆卸电脑模块。</w:t>
            </w:r>
          </w:p>
          <w:p w14:paraId="3AD3D6F1">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2、搭载Intel 12代酷睿i5或以上配置CPU，内存：8 GB DDR4笔记本内存或以上配置。硬盘：512 GB SSD固态硬盘或以上配置。</w:t>
            </w:r>
          </w:p>
          <w:p w14:paraId="0CDCD5FD">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3、采用按压式卡扣，无需工具即可快速拆卸电脑模块。</w:t>
            </w:r>
          </w:p>
          <w:p w14:paraId="5610E3F7">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4、PC模块可抽拉式插入整机，可实现无单独接线的拔插。</w:t>
            </w:r>
          </w:p>
          <w:p w14:paraId="6EED13E9">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5、具有独立非外拓展的视频输出接口：≥1路HDMI，具有独立非外拓展的电脑USB接口：至少具备3个USB3.0接口，3个USB2.0接口。</w:t>
            </w:r>
          </w:p>
          <w:p w14:paraId="51AF1B96">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（5）触摸技术设计</w:t>
            </w:r>
          </w:p>
          <w:p w14:paraId="5AFD0AD4">
            <w:pPr>
              <w:pStyle w:val="8"/>
              <w:spacing w:line="360" w:lineRule="auto"/>
              <w:ind w:left="0" w:leftChars="0" w:firstLine="0" w:firstLineChars="0"/>
              <w:rPr>
                <w:rFonts w:hint="eastAsia" w:ascii="宋体" w:hAnsi="宋体" w:cs="宋体"/>
                <w:kern w:val="0"/>
                <w:sz w:val="20"/>
                <w:szCs w:val="20"/>
                <w:lang w:bidi="ar"/>
              </w:rPr>
            </w:pPr>
            <w:bookmarkStart w:id="2" w:name="OLE_LINK11"/>
            <w:r>
              <w:rPr>
                <w:rFonts w:hint="eastAsia" w:ascii="宋体" w:hAnsi="宋体" w:cs="宋体"/>
                <w:kern w:val="0"/>
                <w:sz w:val="20"/>
                <w:szCs w:val="20"/>
                <w:lang w:bidi="ar"/>
              </w:rPr>
              <w:t>★1、采用红外触控技术，Windows系统和Android系统均支持≥50点触控及书写划线。（投标时须提供国家认可的第三方检测机构出具的关于该功能检测报告复印件）</w:t>
            </w:r>
          </w:p>
          <w:bookmarkEnd w:id="2"/>
          <w:p w14:paraId="4D7F6EB2">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2、整机屏幕触摸有效识别高度不超过1.5mm，即触摸物体距离玻璃外表面高度不超过1.5mm时，触摸屏识别为点击操作。</w:t>
            </w:r>
          </w:p>
          <w:p w14:paraId="017C16D3">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3、整机触控书写功能集成预测算法，支持多档预测速度可调节，在书写速度≥50cm/s，支持笔迹距离笔的距离小于20mm。</w:t>
            </w:r>
          </w:p>
          <w:p w14:paraId="5D389F1A">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4、整机书写触控延迟≤25ms。</w:t>
            </w:r>
          </w:p>
          <w:p w14:paraId="06E436D2">
            <w:pPr>
              <w:pStyle w:val="8"/>
              <w:spacing w:line="360" w:lineRule="auto"/>
              <w:ind w:left="0" w:leftChars="0" w:firstLine="0" w:firstLineChars="0"/>
              <w:rPr>
                <w:rFonts w:hint="eastAsia" w:ascii="宋体" w:hAnsi="宋体" w:cs="宋体"/>
                <w:kern w:val="0"/>
                <w:sz w:val="20"/>
                <w:szCs w:val="20"/>
                <w:lang w:bidi="ar"/>
              </w:rPr>
            </w:pPr>
            <w:bookmarkStart w:id="3" w:name="OLE_LINK12"/>
            <w:r>
              <w:rPr>
                <w:rFonts w:hint="eastAsia" w:ascii="宋体" w:hAnsi="宋体" w:cs="宋体"/>
                <w:kern w:val="0"/>
                <w:sz w:val="20"/>
                <w:szCs w:val="20"/>
                <w:lang w:bidi="ar"/>
              </w:rPr>
              <w:t>★5、整机支持提笔书写，在Windows系统下可实现无需点击任意功能入口，当检测到红外笔笔尖接触屏幕时，自动进入书写模式。（投标时须提供国家认可的第三方检测机构出具的关于该功能检测报告复印件）</w:t>
            </w:r>
          </w:p>
          <w:bookmarkEnd w:id="3"/>
          <w:p w14:paraId="2D9FB934">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6、支持智能板擦功能，系统可根据触控物体的形状自动识别出实物板擦，可擦除电子白板中的内容，无需依赖外部电子设备。</w:t>
            </w:r>
          </w:p>
          <w:p w14:paraId="3690F5B4">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7、支持Windows 7、Windows 8、Windows 10、Windows11、Linux、Mac Os、UOS和麒麟系统外置电脑操作系统接入时，无需安装触摸驱动。</w:t>
            </w:r>
          </w:p>
          <w:p w14:paraId="7B1978D7">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★8、整机触摸支持动态压力感应，支持无任何电子功能的普通书写笔在整机上书写或点压时，整机能感应压力变化，书写或点压过程笔迹呈现不同粗细。</w:t>
            </w:r>
          </w:p>
          <w:p w14:paraId="521F4A88">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二、无线传输与互联</w:t>
            </w:r>
          </w:p>
          <w:p w14:paraId="3104DE25">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1、整机无需外接无线网卡，在Windows系统下可实现Wi-Fi无线上网连接、AP无线热点发射和BT蓝牙连接功能。</w:t>
            </w:r>
          </w:p>
          <w:p w14:paraId="580188C5">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2、Wi-Fi和AP热点工作距离≥12m。</w:t>
            </w:r>
          </w:p>
          <w:p w14:paraId="6AED392D">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3、整机支持蓝牙Bluetooth 5.4标准，固件版本号HCI13.0/LMP13.0。</w:t>
            </w:r>
          </w:p>
          <w:p w14:paraId="36D6F86F">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★4、整机支持发出频率为18kHz-22kHz超声波信号，智能手机和笔记本电脑接收超声波信号后可以自动识别附近投屏设备，点击对应设备即可完成投屏操作。</w:t>
            </w:r>
          </w:p>
          <w:p w14:paraId="6A858989">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5、整机内置传屏接收模块，整机不需要连接任何附加设备，可实现外部电脑、手机设备的音视频信号实时传输到整机上；当使用外部电脑传屏时，支持触摸回传，屏幕上部显示传屏工具栏，可以进行触摸回传控制、勿扰模式、暂停投屏功能；开启勿扰模式时，不允许其他人再进行传屏；投屏时可以选择特定应用窗口，从而实现过滤其他应用窗口，如邮件应用窗口。</w:t>
            </w:r>
          </w:p>
          <w:p w14:paraId="69B8E28E">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6、整机PC端支持主动发现蓝牙外设从而连接（无需整机进入发现模式），支持连接外部蓝牙音箱播放音频。</w:t>
            </w:r>
          </w:p>
          <w:p w14:paraId="16315437">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7、整机无需外接无线网卡，在Windows系统下接入无线网络，切换到嵌入式Android系统下可直接实现无线上网功能，不需手动重复设置。</w:t>
            </w:r>
          </w:p>
          <w:p w14:paraId="44B60E91">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8、Wi-Fi及AP热点支持频段2.4GHz/5GHz 。</w:t>
            </w:r>
          </w:p>
          <w:p w14:paraId="48FB15A7">
            <w:pPr>
              <w:pStyle w:val="8"/>
              <w:spacing w:line="360" w:lineRule="auto"/>
              <w:ind w:left="0" w:leftChars="0" w:firstLine="0" w:firstLineChars="0"/>
              <w:rPr>
                <w:rFonts w:hint="eastAsia" w:ascii="宋体" w:hAnsi="宋体" w:cs="宋体"/>
                <w:kern w:val="0"/>
                <w:sz w:val="20"/>
                <w:szCs w:val="20"/>
                <w:lang w:bidi="ar"/>
              </w:rPr>
            </w:pPr>
            <w:bookmarkStart w:id="4" w:name="OLE_LINK9"/>
            <w:r>
              <w:rPr>
                <w:rFonts w:hint="eastAsia" w:ascii="宋体" w:hAnsi="宋体" w:cs="宋体"/>
                <w:kern w:val="0"/>
                <w:sz w:val="20"/>
                <w:szCs w:val="20"/>
                <w:lang w:bidi="ar"/>
              </w:rPr>
              <w:t>9、Wi-Fi制式支持IEEE 802.11 a/b/g/n/ac/ax；支持版本Wi-Fi6。</w:t>
            </w:r>
          </w:p>
          <w:p w14:paraId="6F15DF3D">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★10、整机内置双WiFi6无线网卡（不接受外接），在Android和Windows系统下，可实现Wi-Fi无线上网连接、AP无线热点发射。（投标时须提供国家认可的第三方检测机构出具的关于该功能检测报告复印件）</w:t>
            </w:r>
          </w:p>
          <w:p w14:paraId="450E5702">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11、整机内置双WiFi6无线网卡（不接受外接），在Android下支持无线设备同时连接数量≥32个，在Windows系统下支持无线设备同时连接≥8个。（投标时须提供国家认可的第三方检测机构出具的关于该功能检测报告复印件）</w:t>
            </w:r>
          </w:p>
          <w:bookmarkEnd w:id="4"/>
          <w:p w14:paraId="670B19E2">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三、音视频采集</w:t>
            </w:r>
          </w:p>
          <w:p w14:paraId="20126475">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★1、支持标准、听力、观影和AI空间感知音效模式，AI空间感知音效模式可通过内置麦克风采集教室物理环境声音，自动生成符合当前教室物理环境的频段、音量、音效。</w:t>
            </w:r>
          </w:p>
          <w:p w14:paraId="6A897A6B">
            <w:pPr>
              <w:pStyle w:val="8"/>
              <w:spacing w:line="360" w:lineRule="auto"/>
              <w:ind w:left="0" w:leftChars="0" w:firstLine="0" w:firstLineChars="0"/>
              <w:rPr>
                <w:rFonts w:hint="eastAsia" w:ascii="宋体" w:hAnsi="宋体" w:cs="宋体"/>
                <w:kern w:val="0"/>
                <w:sz w:val="20"/>
                <w:szCs w:val="20"/>
                <w:lang w:bidi="ar"/>
              </w:rPr>
            </w:pPr>
            <w:bookmarkStart w:id="5" w:name="OLE_LINK8"/>
            <w:r>
              <w:rPr>
                <w:rFonts w:hint="eastAsia" w:ascii="宋体" w:hAnsi="宋体" w:cs="宋体"/>
                <w:kern w:val="0"/>
                <w:sz w:val="20"/>
                <w:szCs w:val="20"/>
                <w:lang w:bidi="ar"/>
              </w:rPr>
              <w:t>2、整机可选择高级音效设置，支持在左右声道平衡显示范围中进行更改。中低频段可选择调节范围125Hz～1kHz，高频段可选择调节范围 2kHz～16kHz，分贝可选择调节范围-12dB～12dB。（投标时须提供国家认可的第三方检测机构出具的关于该功能检测报告复印件）</w:t>
            </w:r>
          </w:p>
          <w:bookmarkEnd w:id="5"/>
          <w:p w14:paraId="753A20B5">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3、整机上边框内置非独立式摄像头，摄像头数量≥5个。</w:t>
            </w:r>
          </w:p>
          <w:p w14:paraId="39735F18">
            <w:pPr>
              <w:pStyle w:val="8"/>
              <w:spacing w:line="360" w:lineRule="auto"/>
              <w:ind w:left="0" w:leftChars="0" w:firstLine="0" w:firstLineChars="0"/>
              <w:rPr>
                <w:rFonts w:hint="eastAsia" w:ascii="宋体" w:hAnsi="宋体" w:cs="宋体"/>
                <w:kern w:val="0"/>
                <w:sz w:val="20"/>
                <w:szCs w:val="20"/>
                <w:lang w:bidi="ar"/>
              </w:rPr>
            </w:pPr>
            <w:bookmarkStart w:id="6" w:name="OLE_LINK7"/>
            <w:r>
              <w:rPr>
                <w:rFonts w:hint="eastAsia" w:ascii="宋体" w:hAnsi="宋体" w:cs="宋体"/>
                <w:kern w:val="0"/>
                <w:sz w:val="20"/>
                <w:szCs w:val="20"/>
                <w:lang w:bidi="ar"/>
              </w:rPr>
              <w:t>★4、整机上边框内置非独立式四个智能拼接摄像头，视场角≥151度且水平视场角≥132度，支持拍摄有效像素数≥5200万的照片，支持拍摄8192×2772分辨率的视频，支持畸变矫正功能。（投标时须提供国家认可的第三方检测机构出具的关于该功能检测报告复印件）</w:t>
            </w:r>
          </w:p>
          <w:p w14:paraId="0012EF21">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★5、整机上边框内置非独立式摄像头，摄像头数量≥5个，其中至少四个摄像头像素值均≥1300 万，同时输出至少3路视频流，同时支持课堂远程巡课、课堂教学数据采集、本地画面预览（拍照或视频录制）。（投标时须提供国家认可的第三方检测机构出具的关于该功能检测报告复印件）</w:t>
            </w:r>
          </w:p>
          <w:bookmarkEnd w:id="6"/>
          <w:p w14:paraId="330929F7">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6、具备摄像头工作指示灯，摄像头运行时，有指示灯提示。</w:t>
            </w:r>
          </w:p>
          <w:p w14:paraId="39874130">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7、整机扬声器在100%音量下，可做到1米处声压级≥92dB，10米处声压级≥82dB。</w:t>
            </w:r>
          </w:p>
          <w:p w14:paraId="1ABDF3F9">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8、整机内置2.2声道扬声器，位于设备上边框，顶置朝前发声，12W高音扬声器2个，上朝向30W中低音扬声器2个，最大功率≥84W。内置扬声器采用缝隙发声技术，喇叭采用槽式开口设计。（投标时须提供国家认可的第三方检测机构出具的关于该功能检测报告复印件）</w:t>
            </w:r>
          </w:p>
          <w:p w14:paraId="3AD100BB">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9、整机内置非独立外扩展的8阵列麦克风，拾音角度≥180°，可用于对教室环境音频进行采集，拾音距离≥12m。</w:t>
            </w:r>
          </w:p>
          <w:p w14:paraId="4A583997">
            <w:pPr>
              <w:pStyle w:val="8"/>
              <w:spacing w:line="360" w:lineRule="auto"/>
              <w:ind w:left="0" w:leftChars="0" w:firstLine="0" w:firstLineChars="0"/>
              <w:rPr>
                <w:rFonts w:hint="eastAsia" w:ascii="宋体" w:hAnsi="宋体" w:cs="宋体"/>
                <w:kern w:val="0"/>
                <w:sz w:val="20"/>
                <w:szCs w:val="20"/>
                <w:lang w:bidi="ar"/>
              </w:rPr>
            </w:pPr>
            <w:bookmarkStart w:id="7" w:name="OLE_LINK6"/>
            <w:r>
              <w:rPr>
                <w:rFonts w:hint="eastAsia" w:ascii="宋体" w:hAnsi="宋体" w:cs="宋体"/>
                <w:kern w:val="0"/>
                <w:sz w:val="20"/>
                <w:szCs w:val="20"/>
                <w:lang w:bidi="ar"/>
              </w:rPr>
              <w:t>★10、整机上边框内置非独立的广角高清摄像头，在距离整机1.7米情况下，且拍摄范围可以覆盖摄像头垂直法线左右距离大于等于4米，可以实现人脸识别。（投标时须提供国家认可的第三方检测机构出具的关于该功能检测报告复印件）</w:t>
            </w:r>
          </w:p>
          <w:bookmarkEnd w:id="7"/>
          <w:p w14:paraId="2706F219">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11、整机上边框内置非独立式广角摄像头和智能拼接摄像头， 均支持 3D 降噪算法和数字宽动态范围成像WDR 技术，支持输出 MJPG、 H.264 视频格式。</w:t>
            </w:r>
          </w:p>
          <w:p w14:paraId="2382D6AC">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12、整机摄像头支持人脸识别、清点人数、随机抽人；识别所有学生，显示标记，然后随机抽选，同时显示标记不少于60人。</w:t>
            </w:r>
          </w:p>
          <w:p w14:paraId="7FCC1CAE">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四、侧边栏工具</w:t>
            </w:r>
          </w:p>
          <w:p w14:paraId="486A6FE5">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1、整机全通道侧边栏快捷菜单包含如下小工具：批注、降半屏、截屏、放大镜、倒计时、日历、聚光灯、秒表、冻屏、倒数日、答题、节拍器。</w:t>
            </w:r>
          </w:p>
          <w:p w14:paraId="56E4222D">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2、整机全通道侧边栏支持使用批注小工具进行批注讲解，可切换书写笔颜色、截屏保存批注内容、清屏，可根据手与屏幕的接触面积自动调整板擦工具的大小。</w:t>
            </w:r>
          </w:p>
          <w:p w14:paraId="6AF17A94">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3、整机全通道侧边栏快捷菜单支持快捷调节音量、亮度，支持自动亮度模式，支持点击静音按钮静音。</w:t>
            </w:r>
          </w:p>
          <w:p w14:paraId="5E6E8940">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4、整机全通道侧边栏快捷菜单中可实时查看物联设备的连接情况，点击设备图标即可调出中控菜单进行管控。</w:t>
            </w:r>
          </w:p>
          <w:p w14:paraId="006DD110">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5、整机安卓和外接通道(2路HDMI)下侧边栏支持节拍器，支持设置节拍、轻重、节拍播放速度。全通道下可支持通过自定义按键调出该功能。</w:t>
            </w:r>
          </w:p>
          <w:p w14:paraId="4A6863CD">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6、整机安卓和外接通道(2路HDMI)下侧边栏支持设置倒数日。</w:t>
            </w:r>
          </w:p>
          <w:p w14:paraId="4CF9606D">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7、整机全通道侧边栏支持倒计时、正计时功能；倒计时，输入某特定时间值，可精确到秒，点击开始进入倒计时；正计时，点击开始计时便自动开始，并实时显示时间。</w:t>
            </w:r>
          </w:p>
          <w:p w14:paraId="0633CFB4">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8、整机全通道侧边栏支持放大选中区域内容，并可支持对未选中区域关灯处理，实现聚光灯效果。</w:t>
            </w:r>
          </w:p>
          <w:p w14:paraId="3AB5FB8F">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9、整机安卓和外接通道(2路HDMI)下侧边栏支持通过扫描二维码加入班级，老师设置题型，学生回答后提交，教师查看正确率比例及详细讲解；支持随机抽选、实时弹幕；支持管理当前班级成员；支持导出学生报告，全通道下可支持通过自定义按键调出该功能。</w:t>
            </w:r>
          </w:p>
          <w:p w14:paraId="32E80EA3">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五、教学互动与管理</w:t>
            </w:r>
          </w:p>
          <w:p w14:paraId="00742AB2">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1、整机内置学生日历功能，支持全屏查看日历、显示法定节日；用户可以添加日历事件，设定特定时间并关联本机安卓应用，事件到期后，可以通过事件提醒打开关联的应用，如欢迎词、白板应用。</w:t>
            </w:r>
          </w:p>
          <w:p w14:paraId="133E5053">
            <w:pPr>
              <w:pStyle w:val="8"/>
              <w:spacing w:line="360" w:lineRule="auto"/>
              <w:ind w:left="0" w:leftChars="0" w:firstLine="0" w:firstLineChars="0"/>
              <w:rPr>
                <w:rFonts w:hint="eastAsia" w:ascii="宋体" w:hAnsi="宋体" w:cs="宋体"/>
                <w:kern w:val="0"/>
                <w:sz w:val="20"/>
                <w:szCs w:val="20"/>
                <w:lang w:bidi="ar"/>
              </w:rPr>
            </w:pPr>
            <w:bookmarkStart w:id="8" w:name="OLE_LINK5"/>
            <w:r>
              <w:rPr>
                <w:rFonts w:hint="eastAsia" w:ascii="宋体" w:hAnsi="宋体" w:cs="宋体"/>
                <w:kern w:val="0"/>
                <w:sz w:val="20"/>
                <w:szCs w:val="20"/>
                <w:lang w:bidi="ar"/>
              </w:rPr>
              <w:t>★2、整机内置AR授课工具，支持对视频展台所采集的画面中叠加动态的3D 模型。3D模型包括：动物、微生物、人体骨骼、乐器、星球、地形。（投标时须提供国家认可的第三方检测机构出具的关于该功能检测报告复印件）</w:t>
            </w:r>
          </w:p>
          <w:p w14:paraId="2EBF0702">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★3、整机内置 AI 授课工具，支持对整机页面显示的题目或视频展台所采集的题目内容进行识别，支持手动框选题目范围，能够对题目进行详细的讲解，讲解内容包括解题步骤和注意事项。（投标时须提供国家认可的第三方检测机构出具的关于该功能检测报告复印件）</w:t>
            </w:r>
          </w:p>
          <w:p w14:paraId="13725B13">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★4、整机内置AI授课工具，可根据题目所涉及的知识点和难度级别，可推荐相似题目，推荐题目数量可根据用户需求进行设置。（投标时须提供国家认可的第三方检测机构出具的关于该功能检测报告复印件）</w:t>
            </w:r>
          </w:p>
          <w:bookmarkEnd w:id="8"/>
          <w:p w14:paraId="60FC6749">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5、整机内置AI作文批改工具，支持对视频展台所采集的内容进行识别，识别到英文作文类型后，支持作文内容进行批改。可根据作文的整体表现给出一个综合评分，并提供详细的评分依据。</w:t>
            </w:r>
          </w:p>
          <w:p w14:paraId="53B3A7AC">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6、整机内置AI作文批改工具，能够从作文的词汇词组、语法句子、内容连贯性多个维度进行分析和评价。对于存在的语法错误和错别字，能够指出并提供修改建议。</w:t>
            </w:r>
          </w:p>
          <w:p w14:paraId="6F219233">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7、整机内置AI智能体（非第三方应用），根据教学和学习需求可快速创建，支持个性化设定角色信息包括角色性格、技能与头像信息，支持语音和文字两种方式与智能体进行对话交互，创建的智能体可上传到本校资源进行共享使用。</w:t>
            </w:r>
          </w:p>
          <w:p w14:paraId="79D1100A">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8、整机内置AI智能体（非第三方应用），支持用户通过当前设备与历史学家智能体进行对话交流。智能体包涵历史文物、文化遗址、博物馆展览文博知识。用户可通过语音方式向智能体提问，智能体能够根据用户的问题提供准确、详细的回答，支持多轮对话，可根据用户的兴趣偏好，推荐相关的文博展览、文物故事内容。</w:t>
            </w:r>
          </w:p>
          <w:p w14:paraId="7FCCCD58">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9、整机自带AI书写美化能力，智能识别批注的书写轨迹，进行笔锋智能美化，模拟纸上书写的起笔、行笔和收笔效果。</w:t>
            </w:r>
          </w:p>
          <w:p w14:paraId="704E04B5">
            <w:pPr>
              <w:pStyle w:val="8"/>
              <w:spacing w:line="360" w:lineRule="auto"/>
              <w:ind w:left="0" w:leftChars="0" w:firstLine="0" w:firstLineChars="0"/>
              <w:rPr>
                <w:rFonts w:hint="eastAsia" w:ascii="宋体" w:hAnsi="宋体" w:cs="宋体"/>
                <w:kern w:val="0"/>
                <w:sz w:val="20"/>
                <w:szCs w:val="20"/>
                <w:lang w:bidi="ar"/>
              </w:rPr>
            </w:pPr>
            <w:bookmarkStart w:id="9" w:name="OLE_LINK4"/>
            <w:r>
              <w:rPr>
                <w:rFonts w:hint="eastAsia" w:ascii="宋体" w:hAnsi="宋体" w:cs="宋体"/>
                <w:kern w:val="0"/>
                <w:sz w:val="20"/>
                <w:szCs w:val="20"/>
                <w:lang w:bidi="ar"/>
              </w:rPr>
              <w:t>★10、整机内置微课制作工具，支持对全屏/区域的屏幕内容、整机声音、麦克风声音、摄像头内容进行录制，支持切换录制分辨率，支持录制过程中进行画笔标注与擦除；支持中途暂停录制和继续录制。（投标时须提供国家认可的第三方检测机构出具的关于该功能检测报告复印件）</w:t>
            </w:r>
          </w:p>
          <w:p w14:paraId="48D66F2F">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★11、整机内置文字快剪功能，支持微课录制结束后提取视频中的文字，按照提取出的文字，对视频进行快速视频剪辑。（投标时须提供国家认可的第三方检测机构出具的关于该功能检测报告复印件）</w:t>
            </w:r>
          </w:p>
          <w:p w14:paraId="202D22E9">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12、整机具备班级视力检测功能，学⽣站在距离屏幕前5m处，可通过⼿势识别方式来标识方向进行视力测试，测试完成后可直接⽣成视⼒检测结果，并建⽴学⽣视⼒档案，对学⽣视⼒情况进⾏管理。（投标时须提供国家认可的第三方检测机构出具的关于该功能检测报告复印件）</w:t>
            </w:r>
          </w:p>
          <w:bookmarkEnd w:id="9"/>
          <w:p w14:paraId="1C3142CD">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13、支持智能书写功能，书写文字自动识别为标准印刷体，支持图形识别功能，可将多种手绘图形转化为矩形、三角形、圆形标准图形。</w:t>
            </w:r>
          </w:p>
          <w:p w14:paraId="1EC17825">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14、整机白板软件支持智能图表绘制，可将手绘表格转化为智能表格，形成表格对象后表格中书写区域可根据书写内容自适应调整大小，支持将表格外书写内容一键拖动到表格。</w:t>
            </w:r>
          </w:p>
          <w:p w14:paraId="7377C6D8">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15、交互式白板软件支持手写笔迹的智能编辑，支持通过手绘置换符快速置换前后文字语序，支持手动涂抹笔迹对象进行快速删除，支持圈选笔迹对象进行手写笔迹缩放，支持文字间手绘竖线进行文字间距的快速调整。</w:t>
            </w:r>
          </w:p>
          <w:p w14:paraId="5CEEA5B2">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16、整机内置交互式白板软件支持课件多人在线协同编辑，支持以链接的形式进行课件分享、邀请协作，支持查看当前在线用户，针对邀请协同的用户可设置可编辑、可阅读权限，支持将PPT课件转化为交互式课件进行协同编辑。</w:t>
            </w:r>
          </w:p>
          <w:p w14:paraId="3AF8C76A">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17、整机教学桌面支持教学白板软件和文件管理软件；教学桌面首页支持自定义桌面应用，支持展示 8 个应用入口，并提供进入本机所有应用的入口。</w:t>
            </w:r>
          </w:p>
          <w:p w14:paraId="4EC16889">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18、整机关机状态下，通过长按电源键进入设置界面后，可点击屏幕选择故障检测、系统还原功能，系统还原可单独还原PC系统，单独还原整机系统。</w:t>
            </w:r>
          </w:p>
          <w:p w14:paraId="4EF8E37D">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六、教学备授课软件设计</w:t>
            </w:r>
          </w:p>
          <w:p w14:paraId="5D01A049">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★1、教学系统为全校教师提供可扩展，易于学校管理，安全可靠的云存储空间，根据每名教师使用时长与教学资料制作频率提供可扩展升级至不小于200G的个人云空间。</w:t>
            </w:r>
          </w:p>
          <w:p w14:paraId="7F5D63E1">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2、教学系统须为使用方全体教师配备个人账号，形成一体的信息化教学账号体系；根据教师账号信息将教师云空间匹配至对应学校、学科校本资源库。支持通过数字账号、微信二维码、硬件密钥方式登录教师个人账号。</w:t>
            </w:r>
          </w:p>
          <w:p w14:paraId="7C35B07A">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3、互动教学课件支持定向精准分享：分享者可将互动课件、课件组精准推送至指定接收方账号云空间，接收方可在云空间接收并打开分享课件。</w:t>
            </w:r>
          </w:p>
          <w:p w14:paraId="30F755A3">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4、上传下载一体化云存储：备课时支持将云空间中存储图片、音频、视频等素材插入课件，同时支持将课件中的图片、音频、视频等素材右键上传至云空间。互动教学课件支持开放式云分享：分享者可将互动课件、课件组以公开或加密的 web 链接和二维码形式进行分享，分享链接可设置访问有效期。</w:t>
            </w:r>
          </w:p>
          <w:p w14:paraId="73C5312E">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5、语文工具：具备汉字生字卡，直观展示汉字部首、笔画数量，笔画书写支持分步展示和连续展示，教师可一次性生成多个汉字生字卡，同步生成数量不少于 5 个。可以调出可直接书写的田字格、四线三格，书写笔画笔顺指导功能。支持授课助手：同步教学写字的视频、朗读泛读音频、支持手机扫学生作品能够投影大屏幕、手机现场录音支持上传视听、支持连接绘本教学资源及字理教学视频播放、支持笔顺笔画的视频教学播放。</w:t>
            </w:r>
          </w:p>
          <w:p w14:paraId="6355A4DF">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6、支持软件联网自动静默升级，无需用户手动更新。</w:t>
            </w:r>
          </w:p>
          <w:p w14:paraId="0B00BFF7">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7、课件背景：提供不少于8种以上背景模板供老师选择，持自定义背景。</w:t>
            </w:r>
          </w:p>
          <w:p w14:paraId="62CA54C4">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8、互动分类游戏：支持创建互动分类游戏，可自定义不同类别及相对应的对象，实现将不同对象拖拽到对应的类别容器中可自动辨识分类，分类正确或错误均有相应提示。类别和对象的样式、数量均可以自定义设置。系统需提供不少于9种游戏模板，直接选择并输入相应内容即可轻松生成互动分类游戏，提升课堂趣味性。</w:t>
            </w:r>
          </w:p>
          <w:p w14:paraId="7486CB6A">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9、智能选词填空：支持创建智能选词填空游戏，教师可随意编辑填空题题干以及相应的答案选项，将选项拖到对应题干空白处，系统将自动判别答案是否正确。系统需提供不少于 8 种游戏模板供老师选择，且模板样式支持自定义修改。</w:t>
            </w:r>
          </w:p>
          <w:p w14:paraId="722571A8">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★10、智能配对游戏：支持创建配对游戏，教师可随意将知识点进行配对。当开始配对游戏时，拖动知识点进行配对，系统将自动判断是否正确。系统至少提供7种游戏模版，且模版样式支持自定义修改。</w:t>
            </w:r>
          </w:p>
          <w:p w14:paraId="77CFFF52">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11、分组竞争游戏：支持创建分组竞争游戏，教师可设置正确项／干扰项，让两组学生开展竞争游戏。系统提供不少于 3 种难度、10种游戏模版选择，且模版样式支持自定义修改。</w:t>
            </w:r>
          </w:p>
          <w:p w14:paraId="6A237151">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★12、数学公式编辑器：支持复杂数学公式输入，提供不少于 20 个数学符号及模板，输出的公式内容支持不同颜色标记及二次编辑。</w:t>
            </w:r>
          </w:p>
          <w:p w14:paraId="7DA2E2EF">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13、数学画板功能：</w:t>
            </w:r>
          </w:p>
          <w:p w14:paraId="460D8C72">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a)能在白板中插入在线画板，授课时可以一键打开,方便老师配合课件内容进行讲解。</w:t>
            </w:r>
          </w:p>
          <w:p w14:paraId="0775C4DC">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b)提供不少于 500 个数学画板资源，覆盖小学、初中、高中学段数学学科主要知识点，并按照知识点分类，便于老师查找。</w:t>
            </w:r>
          </w:p>
          <w:p w14:paraId="08F20992">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c)画板资源互动性强，利于老师讲解抽象知识点，如小学阶段的四边形互相转换资源，可支持点击，动态切换四边形形态；中学阶段的平方差公式资源，可支持图形展示平方差公式计算原理，并可改变数值，重复演示。</w:t>
            </w:r>
          </w:p>
          <w:p w14:paraId="0B7EC683">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d)老师创建个人画板，除了点、线、面等基础元素以外，画板还可提供线段中点、椭圆焦点、极坐标方程等数十种数学常用工具，保证老师日常备授课所需。创建完成后，老师可一键将画板插入白板，与课件无缝连接。</w:t>
            </w:r>
          </w:p>
          <w:p w14:paraId="76114A4D">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14、思维导图：提供思维导图、鱼骨图及组织结构图编辑功能，可轻松增删或拖拽编辑内容节点，并支持在节点上插入图片、音频、视频、网页链接、课件页面链接。支持思维导图逐级、逐个节点展开，并可任意缩放，满足不同演示需求。</w:t>
            </w:r>
          </w:p>
          <w:p w14:paraId="7EAE6268">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15、表格：</w:t>
            </w:r>
          </w:p>
          <w:p w14:paraId="2B0BC670">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a)具有表格插入功能，并提供5种以上表格样式供老师选择。</w:t>
            </w:r>
          </w:p>
          <w:p w14:paraId="3C2926DE">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b)表格能自适应，可一键将表格的行、列调整到最合适的大小。</w:t>
            </w:r>
          </w:p>
          <w:p w14:paraId="595BBC5C">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c)具有表格遮罩功能，可对表格中任意一格添加遮罩，在授课模式下通过点击可消除遮罩，方便老师设置互动活动。</w:t>
            </w:r>
          </w:p>
          <w:p w14:paraId="48AD290D">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d)在授课模式下，支持表格克隆功能，可克隆出多个相同表格，</w:t>
            </w:r>
          </w:p>
          <w:p w14:paraId="7F89354F">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方便老师请多位同学进行答题互动。</w:t>
            </w:r>
          </w:p>
          <w:p w14:paraId="7C645894">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16、图表：</w:t>
            </w:r>
          </w:p>
          <w:p w14:paraId="25FD10C0">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a)具有图表插入功能，并提供柱状图、扇形图、折线图 3 种图表形式，且每种形式提供不少于5种样式供选择。</w:t>
            </w:r>
          </w:p>
          <w:p w14:paraId="559B8AC0">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b)具有图表二维及三维展示形式任意切换，且三维图表支持旋转，方便多角度展示数据变化。</w:t>
            </w:r>
          </w:p>
          <w:p w14:paraId="7DEE1A76">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c)具有图表添加超链接，可连接至课件其他页面、网页、软件自带小工具等地方。</w:t>
            </w:r>
          </w:p>
          <w:p w14:paraId="1B65DBE3">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d)在授课模式下，支持图表克隆功能，可克隆出多个相同图表，</w:t>
            </w:r>
          </w:p>
          <w:p w14:paraId="7336E4B0">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方便老师进行对比观察。</w:t>
            </w:r>
          </w:p>
          <w:p w14:paraId="028CC00A">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★17、古诗词资源：</w:t>
            </w:r>
          </w:p>
          <w:p w14:paraId="69479D4B">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a)提供覆盖多学段的古诗词、古文资源，包含原文、翻译、背景介绍、作者介绍、朗诵音频等。</w:t>
            </w:r>
          </w:p>
          <w:p w14:paraId="21D7B729">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b)支持用户根据年级、朝代、诗人等进行分类查找，也可直接搜索诗词、古文名称或作者名查找。</w:t>
            </w:r>
          </w:p>
          <w:p w14:paraId="3583309B">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c)提供不少于9种古诗词专用背景模板，老师可贴合古诗词意境选择合适背景进行教学。</w:t>
            </w:r>
          </w:p>
          <w:p w14:paraId="6D7057AE">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d)每篇古诗词、古文均提供原文及翻译、背景介绍、作者介绍等，同时支持一键跳转打开网页，展示对应的背景或作者介绍。</w:t>
            </w:r>
          </w:p>
          <w:p w14:paraId="37256096">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e)支持老师备课时对原文进行注释、标重点等操作，方便老师讲解重点字词。</w:t>
            </w:r>
          </w:p>
          <w:p w14:paraId="40FD9409">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f)提供原文朗读功能，全部诗词、古文均配备专业朗读配音，且支持老师在备课时对朗读音频进行打点操作，上课时可播放提前选择好的片段。</w:t>
            </w:r>
          </w:p>
          <w:p w14:paraId="21F421C3">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18、3D星球模型：提供3D立体星球模型，包括地球、太阳、火星、水星等太阳系行星，支持360°自由旋转、缩放展示；并支持在地球教学工具中，清晰展现地球表面的六大板块、降水分布、气温分布、气候分布、人口分布、表层洋流、陆地自然带、海平面等压线等内容；且支持三维、二维切换展示，方便地理学科教学。</w:t>
            </w:r>
          </w:p>
          <w:p w14:paraId="70EBC890">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★19、美术画板：具有美术画板工具，提供铅笔、毛笔、油画笔，可实现模拟调色盘功能，老师可自由选择不同颜色进行混合调色，搭配出任意色彩。</w:t>
            </w:r>
          </w:p>
          <w:p w14:paraId="76DAE8A2">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20、美术工具：具备图形自由创作工具，教师可自由绘制复杂的任意多边图形及曲边图形；教师自主创作的图形可存储至个人云空间便于后续使用。</w:t>
            </w:r>
          </w:p>
          <w:p w14:paraId="08B2571E">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七、教学辅助工具</w:t>
            </w:r>
          </w:p>
          <w:p w14:paraId="7BBAFF1A">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支持设备功能，支持展示当前设备的硬件信息和系统信息。支持查看硬件信息包括：CPU、主板、显卡、硬盘、显示器、网卡、声卡。支持查看系统信息，包括：操作系统、系统激活状态、连接ID、SN号、MAC地址、内外网IP。</w:t>
            </w:r>
          </w:p>
          <w:p w14:paraId="73791193">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2、支持查看设备运行状态，包含当前设备内存、CPU使用率、硬盘、系统盘和网速信息。</w:t>
            </w:r>
          </w:p>
          <w:p w14:paraId="3DF33CB1">
            <w:pPr>
              <w:pStyle w:val="8"/>
              <w:spacing w:line="360" w:lineRule="auto"/>
              <w:ind w:left="0" w:leftChars="0" w:firstLine="0" w:firstLineChars="0"/>
              <w:rPr>
                <w:rFonts w:hint="eastAsia" w:ascii="宋体" w:hAnsi="宋体" w:cs="宋体"/>
                <w:kern w:val="0"/>
                <w:sz w:val="20"/>
                <w:szCs w:val="20"/>
                <w:lang w:bidi="ar"/>
              </w:rPr>
            </w:pPr>
            <w:bookmarkStart w:id="10" w:name="OLE_LINK3"/>
            <w:r>
              <w:rPr>
                <w:rFonts w:hint="eastAsia" w:ascii="宋体" w:hAnsi="宋体" w:cs="宋体"/>
                <w:kern w:val="0"/>
                <w:sz w:val="20"/>
                <w:szCs w:val="20"/>
                <w:lang w:bidi="ar"/>
              </w:rPr>
              <w:t>★3、学校管理员支持通过手机微信扫描接收端软件的二维码登录，支持选择学校并输入设备名称，接收端软件即可完成关联学校；支持学校管理员修改已关联的设备名称。普通老师加入该学校后可在发送端软件中看到该设备并可远程创建接收夹。（投标时须提供国家认可的第三方检测机构出具的关于该功能检测报告复印件）</w:t>
            </w:r>
          </w:p>
          <w:bookmarkEnd w:id="10"/>
          <w:p w14:paraId="5CD53359">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4、支持查看当前学校的设备列表，包括设备状态、归属用户、操作系统、IP地址、上线时间与最后在线时；支持对设备进行分组管理；支持通过设备名称与归属用户进行搜索。</w:t>
            </w:r>
          </w:p>
          <w:p w14:paraId="702E64D9">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5、支持查看单个硬件信息与系统信息。</w:t>
            </w:r>
          </w:p>
          <w:p w14:paraId="47755A51">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6、支持对单个或批量设备下发关机与重启指令、移动分组、移除设备。</w:t>
            </w:r>
          </w:p>
          <w:p w14:paraId="2B988E58">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7、支持展示实时的数据信息，包括CPU、内存、系统盘、总存储、实时网速数据信息，离线的设备展示最后的数据信息。</w:t>
            </w:r>
          </w:p>
          <w:p w14:paraId="3BD8D91F">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8、支持在统信系统与麒麟系统使用</w:t>
            </w:r>
          </w:p>
          <w:p w14:paraId="602ECA2B">
            <w:pPr>
              <w:pStyle w:val="8"/>
              <w:spacing w:line="360" w:lineRule="auto"/>
              <w:ind w:left="0" w:leftChars="0" w:firstLine="0" w:firstLineChars="0"/>
              <w:rPr>
                <w:rFonts w:hint="eastAsia" w:ascii="宋体" w:hAnsi="宋体" w:cs="宋体"/>
                <w:kern w:val="0"/>
                <w:sz w:val="20"/>
                <w:szCs w:val="20"/>
                <w:lang w:bidi="ar"/>
              </w:rPr>
            </w:pPr>
            <w:bookmarkStart w:id="11" w:name="OLE_LINK2"/>
            <w:r>
              <w:rPr>
                <w:rFonts w:hint="eastAsia" w:ascii="宋体" w:hAnsi="宋体" w:cs="宋体"/>
                <w:kern w:val="0"/>
                <w:sz w:val="20"/>
                <w:szCs w:val="20"/>
                <w:lang w:bidi="ar"/>
              </w:rPr>
              <w:t>★9、支持使用文件快传功能，从发送端传送文件至接收端；支持一次发送20个文件；支持发送图片、视频、文档类型的文件；支持从文件夹或选择文件拖动至文件传输发送区域；支持查看待发送的文件列表；支持在待发送列表中删除文件。（投标时须提供国家认可的第三方检测机构出具的关于该功能检测报告复印件）</w:t>
            </w:r>
          </w:p>
          <w:bookmarkEnd w:id="11"/>
          <w:p w14:paraId="32A74255">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10、支持一次发送文件给不同的接收端设备。接收端离线时文件能够暂存在云端，接收端设备在线后支持进行自动下载。</w:t>
            </w:r>
          </w:p>
          <w:p w14:paraId="6EF3BADF">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★11、支持发送端发的文件在windows、统信系统、麒麟系统的接收端接收文件。（投标时须提供国家认可的第三方检测机构出具的关于该功能检测报告复印件）</w:t>
            </w:r>
          </w:p>
          <w:p w14:paraId="5C4D9158">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12、采用云端存储的方式，用户可在发送端软件查看上传的文件；列表展示方式包含列表视图和栅格视图；列表视图中，支持展示文件更新时间和大小。支持在栅格视图中展示小预览图，支持在列表视图中展示文件格式预览图；支持对资料夹文件进行排序，支持按照文件名称、更新时间和大小排序；支持对资料夹文件进行筛选，支持图片、音视频和文档筛选；上传的文件支持用户在手机的移动软件中查看；支持查看当前文件夹的路径，支持点击文件路径跳转至目标文件夹；文件支持根据窗口的显示大小会进行适配，一行显示不同的数量</w:t>
            </w:r>
          </w:p>
          <w:p w14:paraId="512837A8">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13、支持助手栏添加并展示应用、网站和组件，可通过助手栏打开软件。支持在发送端软件内打开备课、课件库、校本资源、集体备课、作业本、快传、设备；助手栏打开多个软件时支持在窗口内部切换、关闭标签；支持对窗口进行最小化、最大化、关闭操作。（投标时须提供国家认可的第三方检测机构出具的关于该功能检测报告复印件）</w:t>
            </w:r>
          </w:p>
          <w:p w14:paraId="65DE79EA">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14、拖动文件时，支持根据文件判定并展示需要的功能项，文件拖入功能项后打开对应的功能；功能包括PDF转格式、图片转格式、文字快剪、提取文字、发送到大屏、发送到班级；右键点击文件时，支持根据文件判定并展示需要的功能项，选择后打开对应的功能；功能包括PDF转格式、图片转格式、文字快剪、提取文字、发送到大屏、发送到资料夹。（投标时须提供国家认可的第三方检测机构出具的关于该功能检测报告复印件）</w:t>
            </w:r>
          </w:p>
          <w:p w14:paraId="16214543">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15、支持在线对PDF的文件进行转换格式，支持转换格式为XLSX、DOCX、PPT；转换后文件内容的排布与源PDF保持一致；PDF文件转换后支持下载文件至电脑本地，支持对转换后的文件进行编辑，包括编辑文本、编辑表格、编辑图片。</w:t>
            </w:r>
          </w:p>
          <w:p w14:paraId="026FC733">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16、支持输入主题一键生成活动感想、发言稿、活动策划；支持选择生成的文字数量。</w:t>
            </w:r>
          </w:p>
          <w:p w14:paraId="3DDA3D06">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八、产品售后保障服务</w:t>
            </w:r>
          </w:p>
          <w:p w14:paraId="3487B60C">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1、微信售后报修服务：快速输入相关问题及所在区域进行在线保修，贴心服务人员实时在线提供客服专线报修，更好更快的解决售后故障问题带来的使用不便。</w:t>
            </w:r>
          </w:p>
          <w:p w14:paraId="0DD0132E">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2、微信问题查询服务：提供八大模块的问题查询及解决方案，现场完成简单故障的快速修复指导。</w:t>
            </w:r>
          </w:p>
          <w:p w14:paraId="509B67DD">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九、其他要求</w:t>
            </w:r>
          </w:p>
          <w:p w14:paraId="15162C0E">
            <w:pPr>
              <w:pStyle w:val="8"/>
              <w:spacing w:line="360" w:lineRule="auto"/>
              <w:ind w:left="0" w:leftChars="0" w:firstLine="0" w:firstLineChars="0"/>
              <w:rPr>
                <w:rFonts w:hint="eastAsia" w:ascii="宋体" w:hAnsi="宋体" w:cs="宋体"/>
                <w:color w:val="FF0000"/>
                <w:kern w:val="0"/>
                <w:sz w:val="20"/>
                <w:szCs w:val="20"/>
                <w:highlight w:val="yellow"/>
                <w:lang w:bidi="ar"/>
              </w:rPr>
            </w:pPr>
            <w:bookmarkStart w:id="12" w:name="OLE_LINK1"/>
            <w:r>
              <w:rPr>
                <w:rFonts w:hint="eastAsia" w:ascii="宋体" w:hAnsi="宋体" w:cs="宋体"/>
                <w:kern w:val="0"/>
                <w:sz w:val="20"/>
                <w:szCs w:val="20"/>
                <w:lang w:bidi="ar"/>
              </w:rPr>
              <w:t>1、为确保货物质量及原厂品质，中标供应商在正式供货时必须提供生产厂家针对此项目的售后服务保证原件、供货证明原件，否则采购方将不予验收通过。</w:t>
            </w:r>
            <w:r>
              <w:rPr>
                <w:rFonts w:hint="eastAsia" w:ascii="宋体" w:hAnsi="宋体" w:cs="宋体"/>
                <w:color w:val="FF0000"/>
                <w:kern w:val="0"/>
                <w:sz w:val="20"/>
                <w:szCs w:val="20"/>
                <w:highlight w:val="yellow"/>
                <w:lang w:bidi="ar"/>
              </w:rPr>
              <w:t>交互智能平板设备提供六年原厂质保服务。</w:t>
            </w:r>
          </w:p>
          <w:bookmarkEnd w:id="12"/>
          <w:p w14:paraId="6E30B18C">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2、打“★”号条款为重要技术参数，投标人必须满足否则中标无效。中标公示期内若有其他投标人质疑情况下，中标单位必须提供与标书技术要求及功能符合的全部样品一套至用户处进行整体性能与标书文件核对，协助质疑答复。如出现所提供样品不符招标要求或无法提供所有样品，均视为虚假应标处理并根据招标法及标书要求追究法律责任。</w:t>
            </w:r>
          </w:p>
          <w:p w14:paraId="08EAE68F">
            <w:pPr>
              <w:pStyle w:val="8"/>
              <w:spacing w:line="360" w:lineRule="auto"/>
              <w:ind w:left="0" w:leftChars="0" w:firstLine="0" w:firstLineChars="0"/>
              <w:rPr>
                <w:rFonts w:hint="eastAsia" w:ascii="宋体" w:hAnsi="宋体" w:cs="宋体"/>
                <w:kern w:val="0"/>
                <w:sz w:val="20"/>
                <w:szCs w:val="20"/>
                <w:lang w:bidi="ar"/>
              </w:rPr>
            </w:pPr>
            <w:r>
              <w:rPr>
                <w:rFonts w:hint="eastAsia" w:ascii="宋体" w:hAnsi="宋体" w:cs="宋体"/>
                <w:kern w:val="0"/>
                <w:sz w:val="20"/>
                <w:szCs w:val="20"/>
                <w:lang w:bidi="ar"/>
              </w:rPr>
              <w:t>（</w:t>
            </w:r>
            <w:r>
              <w:rPr>
                <w:rFonts w:hint="eastAsia" w:ascii="宋体" w:hAnsi="宋体" w:cs="宋体"/>
                <w:kern w:val="0"/>
                <w:sz w:val="20"/>
                <w:szCs w:val="20"/>
                <w:lang w:val="en-US" w:eastAsia="zh-CN" w:bidi="ar"/>
              </w:rPr>
              <w:t>二</w:t>
            </w:r>
            <w:r>
              <w:rPr>
                <w:rFonts w:hint="eastAsia" w:ascii="宋体" w:hAnsi="宋体" w:cs="宋体"/>
                <w:kern w:val="0"/>
                <w:sz w:val="20"/>
                <w:szCs w:val="20"/>
                <w:lang w:bidi="ar"/>
              </w:rPr>
              <w:t>）集控工具</w:t>
            </w:r>
          </w:p>
          <w:p w14:paraId="50247CBD">
            <w:pPr>
              <w:pStyle w:val="8"/>
              <w:spacing w:line="360" w:lineRule="auto"/>
              <w:ind w:left="0" w:leftChars="0" w:firstLine="0" w:firstLineChars="0"/>
              <w:rPr>
                <w:rFonts w:hint="eastAsia" w:ascii="宋体" w:hAnsi="宋体" w:cs="宋体"/>
                <w:kern w:val="0"/>
                <w:sz w:val="20"/>
                <w:szCs w:val="20"/>
                <w:lang w:bidi="ar"/>
              </w:rPr>
            </w:pPr>
            <w:r>
              <w:rPr>
                <w:rFonts w:ascii="宋体" w:hAnsi="宋体" w:cs="宋体"/>
                <w:kern w:val="0"/>
                <w:sz w:val="20"/>
                <w:szCs w:val="20"/>
                <w:lang w:bidi="ar"/>
              </w:rPr>
              <w:t>1、专属工作台：支持设置显隐组件来定制专属工作台。支持通过设备总览组件快捷查看学校所有设备实时状态及达标情况。支持通过设备巡视组件实时了解教室和设备的情况。支持通过设备使用情况组件了解设备活跃分布及长时间未使用的设备情况，设置智能策略来对设备进行管控；支持通过软件使用情况组件掌握学校教师常用的教学软件，快速拦截风险应用；支持通过老师使用情况了解教师对信息化设备的使用率；支持通过网站访问情况了解设备上使用的常用网址，并可快速设置黑名单来禁止设备上的违规访问行为。（</w:t>
            </w:r>
            <w:r>
              <w:rPr>
                <w:rFonts w:hint="eastAsia" w:ascii="宋体" w:hAnsi="宋体" w:cs="宋体"/>
                <w:kern w:val="0"/>
                <w:sz w:val="20"/>
                <w:szCs w:val="20"/>
                <w:lang w:bidi="ar"/>
              </w:rPr>
              <w:t>投标时须提供功能截图</w:t>
            </w:r>
            <w:r>
              <w:rPr>
                <w:rFonts w:ascii="宋体" w:hAnsi="宋体" w:cs="宋体"/>
                <w:kern w:val="0"/>
                <w:sz w:val="20"/>
                <w:szCs w:val="20"/>
                <w:lang w:bidi="ar"/>
              </w:rPr>
              <w:t>）</w:t>
            </w:r>
          </w:p>
          <w:p w14:paraId="042AB766">
            <w:pPr>
              <w:pStyle w:val="8"/>
              <w:spacing w:line="360" w:lineRule="auto"/>
              <w:ind w:left="0" w:leftChars="0" w:firstLine="0" w:firstLineChars="0"/>
              <w:rPr>
                <w:rFonts w:hint="eastAsia" w:ascii="宋体" w:hAnsi="宋体" w:cs="宋体"/>
                <w:kern w:val="0"/>
                <w:sz w:val="20"/>
                <w:szCs w:val="20"/>
                <w:lang w:bidi="ar"/>
              </w:rPr>
            </w:pPr>
            <w:r>
              <w:rPr>
                <w:rFonts w:ascii="宋体" w:hAnsi="宋体" w:cs="宋体"/>
                <w:kern w:val="0"/>
                <w:sz w:val="20"/>
                <w:szCs w:val="20"/>
                <w:lang w:bidi="ar"/>
              </w:rPr>
              <w:t>2、支持在Windows、Linux、Android、IOS等多种操作系统通过网页浏览器登陆操作，提供多种智能身份识别方式：支持通过账号登录、手机扫码登录等方式。</w:t>
            </w:r>
          </w:p>
          <w:p w14:paraId="5377F25B">
            <w:pPr>
              <w:pStyle w:val="8"/>
              <w:spacing w:line="360" w:lineRule="auto"/>
              <w:ind w:left="0" w:leftChars="0" w:firstLine="0" w:firstLineChars="0"/>
              <w:rPr>
                <w:rFonts w:hint="eastAsia" w:ascii="宋体" w:hAnsi="宋体" w:cs="宋体"/>
                <w:kern w:val="0"/>
                <w:sz w:val="20"/>
                <w:szCs w:val="20"/>
                <w:lang w:bidi="ar"/>
              </w:rPr>
            </w:pPr>
            <w:r>
              <w:rPr>
                <w:rFonts w:ascii="宋体" w:hAnsi="宋体" w:cs="宋体"/>
                <w:kern w:val="0"/>
                <w:sz w:val="20"/>
                <w:szCs w:val="20"/>
                <w:lang w:bidi="ar"/>
              </w:rPr>
              <w:t>3、管理平台提供管理员移动管理平台，免安装并支持Android、IOS等多种移动操作系统，便于远程管理及告警信息通知。</w:t>
            </w:r>
          </w:p>
          <w:p w14:paraId="52BDD55B">
            <w:pPr>
              <w:pStyle w:val="8"/>
              <w:spacing w:line="360" w:lineRule="auto"/>
              <w:ind w:left="0" w:leftChars="0" w:firstLine="0" w:firstLineChars="0"/>
              <w:rPr>
                <w:rFonts w:hint="eastAsia" w:ascii="宋体" w:hAnsi="宋体" w:cs="宋体"/>
                <w:kern w:val="0"/>
                <w:sz w:val="20"/>
                <w:szCs w:val="20"/>
                <w:lang w:bidi="ar"/>
              </w:rPr>
            </w:pPr>
            <w:r>
              <w:rPr>
                <w:rFonts w:ascii="宋体" w:hAnsi="宋体" w:cs="宋体"/>
                <w:kern w:val="0"/>
                <w:sz w:val="20"/>
                <w:szCs w:val="20"/>
                <w:lang w:bidi="ar"/>
              </w:rPr>
              <w:t>4、冰点还原及穿透：支持远程向已冰冻的设备发送指令、安装软件，在设备正常关机时触发穿透动作，穿透完成后，设备即可使用已安装软件、执行已接收指令，且穿透过程中无需人为解冻。（</w:t>
            </w:r>
            <w:r>
              <w:rPr>
                <w:rFonts w:hint="eastAsia" w:ascii="宋体" w:hAnsi="宋体" w:cs="宋体"/>
                <w:kern w:val="0"/>
                <w:sz w:val="20"/>
                <w:szCs w:val="20"/>
                <w:lang w:bidi="ar"/>
              </w:rPr>
              <w:t>投标时须提供功能截图</w:t>
            </w:r>
            <w:r>
              <w:rPr>
                <w:rFonts w:ascii="宋体" w:hAnsi="宋体" w:cs="宋体"/>
                <w:kern w:val="0"/>
                <w:sz w:val="20"/>
                <w:szCs w:val="20"/>
                <w:lang w:bidi="ar"/>
              </w:rPr>
              <w:t>）</w:t>
            </w:r>
          </w:p>
          <w:p w14:paraId="49B8285A">
            <w:pPr>
              <w:pStyle w:val="8"/>
              <w:spacing w:line="360" w:lineRule="auto"/>
              <w:ind w:left="0" w:leftChars="0" w:firstLine="0" w:firstLineChars="0"/>
              <w:rPr>
                <w:rFonts w:hint="eastAsia" w:ascii="宋体" w:hAnsi="宋体" w:cs="宋体"/>
                <w:kern w:val="0"/>
                <w:sz w:val="20"/>
                <w:szCs w:val="20"/>
                <w:lang w:bidi="ar"/>
              </w:rPr>
            </w:pPr>
            <w:r>
              <w:rPr>
                <w:rFonts w:ascii="宋体" w:hAnsi="宋体" w:cs="宋体"/>
                <w:kern w:val="0"/>
                <w:sz w:val="20"/>
                <w:szCs w:val="20"/>
                <w:lang w:bidi="ar"/>
              </w:rPr>
              <w:t>5、管理平台可控制连接广域网的交互智能设备整机关机、开机和重启；可批量设定智能设备开关机的执行时间，并支持自定义循环模式（循环操作、定时操作）。</w:t>
            </w:r>
          </w:p>
          <w:p w14:paraId="751F978C">
            <w:pPr>
              <w:pStyle w:val="8"/>
              <w:spacing w:line="360" w:lineRule="auto"/>
              <w:ind w:left="0" w:leftChars="0" w:firstLine="0" w:firstLineChars="0"/>
              <w:rPr>
                <w:rFonts w:hint="eastAsia" w:ascii="宋体" w:hAnsi="宋体" w:cs="宋体"/>
                <w:kern w:val="0"/>
                <w:sz w:val="20"/>
                <w:szCs w:val="20"/>
                <w:lang w:bidi="ar"/>
              </w:rPr>
            </w:pPr>
            <w:r>
              <w:rPr>
                <w:rFonts w:ascii="宋体" w:hAnsi="宋体" w:cs="宋体"/>
                <w:kern w:val="0"/>
                <w:sz w:val="20"/>
                <w:szCs w:val="20"/>
                <w:lang w:bidi="ar"/>
              </w:rPr>
              <w:t>6、管理平台可远程对选定的交互智能设备推送动态文字滚动公告，可对公告文字的颜色、粗体以及播放次数、推送时间进行设置。</w:t>
            </w:r>
          </w:p>
          <w:p w14:paraId="1CD48CBE">
            <w:pPr>
              <w:pStyle w:val="8"/>
              <w:spacing w:line="360" w:lineRule="auto"/>
              <w:ind w:left="0" w:leftChars="0" w:firstLine="0" w:firstLineChars="0"/>
              <w:rPr>
                <w:rFonts w:hint="eastAsia" w:ascii="宋体" w:hAnsi="宋体" w:cs="宋体"/>
                <w:kern w:val="0"/>
                <w:sz w:val="20"/>
                <w:szCs w:val="20"/>
                <w:lang w:bidi="ar"/>
              </w:rPr>
            </w:pPr>
            <w:r>
              <w:rPr>
                <w:rFonts w:ascii="宋体" w:hAnsi="宋体" w:cs="宋体"/>
                <w:kern w:val="0"/>
                <w:sz w:val="20"/>
                <w:szCs w:val="20"/>
                <w:lang w:bidi="ar"/>
              </w:rPr>
              <w:t>7、管理平台可远程开启指定交互智能设备倒计日功能并设定倒计日截止日期。</w:t>
            </w:r>
          </w:p>
          <w:p w14:paraId="40076220">
            <w:pPr>
              <w:pStyle w:val="8"/>
              <w:spacing w:line="360" w:lineRule="auto"/>
              <w:ind w:left="0" w:leftChars="0" w:firstLine="0" w:firstLineChars="0"/>
              <w:rPr>
                <w:rFonts w:hint="eastAsia" w:ascii="宋体" w:hAnsi="宋体" w:cs="宋体"/>
                <w:kern w:val="0"/>
                <w:sz w:val="20"/>
                <w:szCs w:val="20"/>
                <w:lang w:bidi="ar"/>
              </w:rPr>
            </w:pPr>
            <w:r>
              <w:rPr>
                <w:rFonts w:ascii="宋体" w:hAnsi="宋体" w:cs="宋体"/>
                <w:kern w:val="0"/>
                <w:sz w:val="20"/>
                <w:szCs w:val="20"/>
                <w:lang w:bidi="ar"/>
              </w:rPr>
              <w:t>8、管理平台提供巡课值守模式，自动轮循显示所有的交互智能设备使用界面。</w:t>
            </w:r>
          </w:p>
          <w:p w14:paraId="37AE33A5">
            <w:pPr>
              <w:pStyle w:val="8"/>
              <w:spacing w:line="360" w:lineRule="auto"/>
              <w:ind w:left="0" w:leftChars="0" w:firstLine="0" w:firstLineChars="0"/>
              <w:rPr>
                <w:rFonts w:hint="eastAsia" w:ascii="宋体" w:hAnsi="宋体" w:cs="宋体"/>
                <w:kern w:val="0"/>
                <w:sz w:val="20"/>
                <w:szCs w:val="20"/>
                <w:lang w:bidi="ar"/>
              </w:rPr>
            </w:pPr>
            <w:r>
              <w:rPr>
                <w:rFonts w:ascii="宋体" w:hAnsi="宋体" w:cs="宋体"/>
                <w:kern w:val="0"/>
                <w:sz w:val="20"/>
                <w:szCs w:val="20"/>
                <w:lang w:bidi="ar"/>
              </w:rPr>
              <w:t>9、基建优化建议：支持解读设备运行数据，提供基建优化建议；支持根据网络带宽利用率分析网络稳定性并提供优化方案；支持根据硬件参数及流畅度达标情况分析设备运行稳定性并提供优化方案；支持根据安全服务开启情况分析设备运行风险并提供优化方案。（</w:t>
            </w:r>
            <w:r>
              <w:rPr>
                <w:rFonts w:hint="eastAsia" w:ascii="宋体" w:hAnsi="宋体" w:cs="宋体"/>
                <w:kern w:val="0"/>
                <w:sz w:val="20"/>
                <w:szCs w:val="20"/>
                <w:lang w:bidi="ar"/>
              </w:rPr>
              <w:t>投标时须提供功能截图</w:t>
            </w:r>
            <w:r>
              <w:rPr>
                <w:rFonts w:ascii="宋体" w:hAnsi="宋体" w:cs="宋体"/>
                <w:kern w:val="0"/>
                <w:sz w:val="20"/>
                <w:szCs w:val="20"/>
                <w:lang w:bidi="ar"/>
              </w:rPr>
              <w:t>）</w:t>
            </w:r>
          </w:p>
          <w:p w14:paraId="5920632C">
            <w:pPr>
              <w:pStyle w:val="8"/>
              <w:spacing w:line="360" w:lineRule="auto"/>
              <w:ind w:left="0" w:leftChars="0" w:firstLine="0" w:firstLineChars="0"/>
              <w:rPr>
                <w:rFonts w:hint="eastAsia" w:ascii="宋体" w:hAnsi="宋体" w:cs="宋体"/>
                <w:kern w:val="0"/>
                <w:sz w:val="20"/>
                <w:szCs w:val="20"/>
                <w:lang w:bidi="ar"/>
              </w:rPr>
            </w:pPr>
            <w:r>
              <w:rPr>
                <w:rFonts w:ascii="宋体" w:hAnsi="宋体" w:cs="宋体"/>
                <w:kern w:val="0"/>
                <w:sz w:val="20"/>
                <w:szCs w:val="20"/>
                <w:lang w:bidi="ar"/>
              </w:rPr>
              <w:t>10、素养提升建议：支持分析解读教师使用数据，提供信息化素养提升建议；支持根据各学科/设备/老师使用数据分析经验丰富的老师，并提供信息化素养提升建议；支持根据不同类型软件的使用明细分析本校常用软件，并提供软件普及、替换或拦截建议。（</w:t>
            </w:r>
            <w:r>
              <w:rPr>
                <w:rFonts w:hint="eastAsia" w:ascii="宋体" w:hAnsi="宋体" w:cs="宋体"/>
                <w:kern w:val="0"/>
                <w:sz w:val="20"/>
                <w:szCs w:val="20"/>
                <w:lang w:bidi="ar"/>
              </w:rPr>
              <w:t>投标时须提供功能截图</w:t>
            </w:r>
            <w:r>
              <w:rPr>
                <w:rFonts w:ascii="宋体" w:hAnsi="宋体" w:cs="宋体"/>
                <w:kern w:val="0"/>
                <w:sz w:val="20"/>
                <w:szCs w:val="20"/>
                <w:lang w:bidi="ar"/>
              </w:rPr>
              <w:t>）</w:t>
            </w:r>
          </w:p>
        </w:tc>
        <w:tc>
          <w:tcPr>
            <w:tcW w:w="483" w:type="dxa"/>
            <w:vAlign w:val="center"/>
          </w:tcPr>
          <w:p w14:paraId="10088FB9">
            <w:pPr>
              <w:pStyle w:val="7"/>
              <w:spacing w:line="240" w:lineRule="exact"/>
              <w:jc w:val="center"/>
              <w:rPr>
                <w:rFonts w:hint="eastAsia" w:hAnsi="宋体" w:cs="宋体" w:eastAsiaTheme="minorEastAsia"/>
                <w:color w:val="000000"/>
                <w:sz w:val="18"/>
                <w:szCs w:val="18"/>
                <w:lang w:eastAsia="zh-CN"/>
              </w:rPr>
            </w:pPr>
            <w:r>
              <w:rPr>
                <w:rFonts w:hint="eastAsia" w:hAnsi="宋体" w:cs="宋体"/>
                <w:color w:val="000000"/>
                <w:sz w:val="18"/>
                <w:szCs w:val="18"/>
                <w:lang w:val="en-US" w:eastAsia="zh-CN"/>
              </w:rPr>
              <w:t>2</w:t>
            </w:r>
          </w:p>
        </w:tc>
        <w:tc>
          <w:tcPr>
            <w:tcW w:w="553" w:type="dxa"/>
            <w:vAlign w:val="center"/>
          </w:tcPr>
          <w:p w14:paraId="0F1CAA30">
            <w:pPr>
              <w:pStyle w:val="7"/>
              <w:spacing w:line="240" w:lineRule="exact"/>
              <w:jc w:val="center"/>
              <w:rPr>
                <w:rFonts w:hint="eastAsia" w:hAnsi="宋体" w:cs="宋体"/>
                <w:color w:val="000000"/>
                <w:sz w:val="18"/>
                <w:szCs w:val="18"/>
              </w:rPr>
            </w:pPr>
            <w:r>
              <w:rPr>
                <w:rFonts w:hint="eastAsia" w:hAnsi="宋体" w:cs="宋体"/>
                <w:color w:val="000000"/>
                <w:sz w:val="18"/>
                <w:szCs w:val="18"/>
              </w:rPr>
              <w:t>套</w:t>
            </w:r>
          </w:p>
        </w:tc>
        <w:tc>
          <w:tcPr>
            <w:tcW w:w="1064" w:type="dxa"/>
            <w:vAlign w:val="center"/>
          </w:tcPr>
          <w:p w14:paraId="0C2A3B19">
            <w:pPr>
              <w:widowControl/>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bidi="ar"/>
              </w:rPr>
              <w:t>24000</w:t>
            </w:r>
          </w:p>
        </w:tc>
        <w:tc>
          <w:tcPr>
            <w:tcW w:w="1064" w:type="dxa"/>
            <w:vAlign w:val="center"/>
          </w:tcPr>
          <w:p w14:paraId="6A7FE384">
            <w:pPr>
              <w:widowControl/>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bidi="ar"/>
              </w:rPr>
              <w:t>48000</w:t>
            </w:r>
          </w:p>
        </w:tc>
      </w:tr>
      <w:tr w14:paraId="24751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499" w:type="dxa"/>
            <w:vAlign w:val="center"/>
          </w:tcPr>
          <w:p w14:paraId="4F13B1B3">
            <w:pPr>
              <w:pStyle w:val="7"/>
              <w:spacing w:line="240" w:lineRule="exact"/>
              <w:jc w:val="center"/>
              <w:rPr>
                <w:rFonts w:hint="eastAsia" w:hAnsi="宋体" w:cs="宋体"/>
                <w:color w:val="000000"/>
                <w:sz w:val="18"/>
                <w:szCs w:val="18"/>
              </w:rPr>
            </w:pPr>
          </w:p>
        </w:tc>
        <w:tc>
          <w:tcPr>
            <w:tcW w:w="815" w:type="dxa"/>
            <w:vAlign w:val="center"/>
          </w:tcPr>
          <w:p w14:paraId="046C675B">
            <w:pPr>
              <w:pStyle w:val="12"/>
              <w:spacing w:line="360" w:lineRule="auto"/>
              <w:jc w:val="center"/>
              <w:rPr>
                <w:rFonts w:hint="eastAsia" w:ascii="宋体" w:hAnsi="宋体"/>
                <w:kern w:val="2"/>
                <w:sz w:val="21"/>
                <w:szCs w:val="20"/>
              </w:rPr>
            </w:pPr>
            <w:r>
              <w:rPr>
                <w:rFonts w:hint="eastAsia" w:ascii="宋体" w:hAnsi="宋体"/>
                <w:kern w:val="2"/>
                <w:sz w:val="21"/>
                <w:szCs w:val="20"/>
              </w:rPr>
              <w:t>合计</w:t>
            </w:r>
          </w:p>
        </w:tc>
        <w:tc>
          <w:tcPr>
            <w:tcW w:w="6322" w:type="dxa"/>
            <w:vAlign w:val="center"/>
          </w:tcPr>
          <w:p w14:paraId="7FD9FAE5">
            <w:pPr>
              <w:pStyle w:val="12"/>
              <w:spacing w:line="360" w:lineRule="auto"/>
              <w:rPr>
                <w:rFonts w:hint="eastAsia" w:ascii="宋体" w:hAnsi="宋体"/>
                <w:kern w:val="2"/>
                <w:sz w:val="21"/>
                <w:szCs w:val="20"/>
              </w:rPr>
            </w:pPr>
          </w:p>
        </w:tc>
        <w:tc>
          <w:tcPr>
            <w:tcW w:w="483" w:type="dxa"/>
            <w:vAlign w:val="center"/>
          </w:tcPr>
          <w:p w14:paraId="4491B3BB">
            <w:pPr>
              <w:pStyle w:val="7"/>
              <w:spacing w:line="240" w:lineRule="exact"/>
              <w:jc w:val="center"/>
              <w:rPr>
                <w:rFonts w:hint="eastAsia" w:hAnsi="宋体" w:cs="宋体" w:eastAsiaTheme="minorEastAsia"/>
                <w:color w:val="000000"/>
                <w:sz w:val="18"/>
                <w:szCs w:val="18"/>
                <w:lang w:eastAsia="zh-CN"/>
              </w:rPr>
            </w:pPr>
            <w:r>
              <w:rPr>
                <w:rFonts w:hint="eastAsia" w:hAnsi="宋体" w:cs="宋体"/>
                <w:color w:val="000000"/>
                <w:sz w:val="18"/>
                <w:szCs w:val="18"/>
                <w:lang w:val="en-US" w:eastAsia="zh-CN"/>
              </w:rPr>
              <w:t>2</w:t>
            </w:r>
          </w:p>
        </w:tc>
        <w:tc>
          <w:tcPr>
            <w:tcW w:w="553" w:type="dxa"/>
            <w:vAlign w:val="center"/>
          </w:tcPr>
          <w:p w14:paraId="371168C7">
            <w:pPr>
              <w:pStyle w:val="7"/>
              <w:spacing w:line="240" w:lineRule="exact"/>
              <w:jc w:val="center"/>
              <w:rPr>
                <w:rFonts w:hint="eastAsia" w:hAnsi="宋体" w:cs="宋体"/>
                <w:color w:val="000000"/>
                <w:sz w:val="18"/>
                <w:szCs w:val="18"/>
              </w:rPr>
            </w:pPr>
            <w:r>
              <w:rPr>
                <w:rFonts w:hint="eastAsia" w:hAnsi="宋体" w:cs="宋体"/>
                <w:color w:val="000000"/>
                <w:sz w:val="18"/>
                <w:szCs w:val="18"/>
              </w:rPr>
              <w:t>套</w:t>
            </w:r>
          </w:p>
        </w:tc>
        <w:tc>
          <w:tcPr>
            <w:tcW w:w="1064" w:type="dxa"/>
            <w:vAlign w:val="center"/>
          </w:tcPr>
          <w:p w14:paraId="218D9273">
            <w:pPr>
              <w:pStyle w:val="7"/>
              <w:spacing w:line="240" w:lineRule="exact"/>
              <w:jc w:val="center"/>
              <w:rPr>
                <w:rFonts w:hint="eastAsia" w:hAnsi="宋体" w:cs="宋体"/>
                <w:color w:val="000000"/>
                <w:sz w:val="18"/>
                <w:szCs w:val="18"/>
              </w:rPr>
            </w:pPr>
          </w:p>
        </w:tc>
        <w:tc>
          <w:tcPr>
            <w:tcW w:w="1064" w:type="dxa"/>
            <w:vAlign w:val="center"/>
          </w:tcPr>
          <w:p w14:paraId="25BE5233">
            <w:pPr>
              <w:pStyle w:val="7"/>
              <w:spacing w:line="240" w:lineRule="exact"/>
              <w:jc w:val="center"/>
              <w:rPr>
                <w:rFonts w:hint="default" w:hAnsi="宋体" w:cs="宋体" w:eastAsiaTheme="minorEastAsia"/>
                <w:color w:val="000000"/>
                <w:sz w:val="18"/>
                <w:szCs w:val="18"/>
                <w:lang w:val="en-US" w:eastAsia="zh-CN"/>
              </w:rPr>
            </w:pPr>
            <w:r>
              <w:rPr>
                <w:rFonts w:hint="eastAsia" w:hAnsi="宋体" w:cs="宋体"/>
                <w:color w:val="000000"/>
                <w:sz w:val="18"/>
                <w:szCs w:val="18"/>
                <w:lang w:val="en-US" w:eastAsia="zh-CN"/>
              </w:rPr>
              <w:t>48000</w:t>
            </w:r>
          </w:p>
        </w:tc>
      </w:tr>
    </w:tbl>
    <w:p w14:paraId="3AB79E1D"/>
    <w:p w14:paraId="7CCE4A4B"/>
    <w:p w14:paraId="2C150863"/>
    <w:tbl>
      <w:tblPr>
        <w:tblStyle w:val="9"/>
        <w:tblW w:w="108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7"/>
        <w:gridCol w:w="8135"/>
      </w:tblGrid>
      <w:tr w14:paraId="471F3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jc w:val="center"/>
        </w:trPr>
        <w:tc>
          <w:tcPr>
            <w:tcW w:w="10832" w:type="dxa"/>
            <w:gridSpan w:val="2"/>
            <w:vAlign w:val="center"/>
          </w:tcPr>
          <w:p w14:paraId="5EF11A33">
            <w:pPr>
              <w:pStyle w:val="7"/>
              <w:spacing w:line="240" w:lineRule="exact"/>
              <w:jc w:val="center"/>
              <w:rPr>
                <w:rFonts w:hint="eastAsia" w:hAnsi="宋体" w:cs="宋体"/>
                <w:color w:val="000000"/>
                <w:sz w:val="18"/>
                <w:szCs w:val="18"/>
              </w:rPr>
            </w:pPr>
            <w:r>
              <w:rPr>
                <w:rFonts w:hint="eastAsia" w:hAnsi="宋体" w:cs="宋体"/>
                <w:b/>
                <w:bCs/>
                <w:color w:val="000000"/>
                <w:sz w:val="24"/>
                <w:szCs w:val="24"/>
              </w:rPr>
              <w:t>商务条款</w:t>
            </w:r>
          </w:p>
        </w:tc>
      </w:tr>
      <w:tr w14:paraId="3CDE6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2697" w:type="dxa"/>
            <w:vAlign w:val="center"/>
          </w:tcPr>
          <w:p w14:paraId="7BF6B298">
            <w:pPr>
              <w:widowControl/>
              <w:jc w:val="center"/>
              <w:rPr>
                <w:rFonts w:hint="eastAsia" w:ascii="宋体" w:hAnsi="宋体" w:eastAsia="宋体" w:cs="宋体"/>
                <w:kern w:val="0"/>
                <w:sz w:val="20"/>
                <w:szCs w:val="20"/>
                <w:lang w:bidi="ar"/>
              </w:rPr>
            </w:pPr>
            <w:r>
              <w:rPr>
                <w:rFonts w:hint="eastAsia" w:ascii="宋体" w:hAnsi="宋体" w:eastAsia="宋体" w:cs="宋体"/>
                <w:kern w:val="0"/>
                <w:sz w:val="20"/>
                <w:szCs w:val="20"/>
                <w:lang w:bidi="ar"/>
              </w:rPr>
              <w:t>售后服务要求及免费保修期</w:t>
            </w:r>
          </w:p>
        </w:tc>
        <w:tc>
          <w:tcPr>
            <w:tcW w:w="8135" w:type="dxa"/>
            <w:vAlign w:val="center"/>
          </w:tcPr>
          <w:p w14:paraId="02E6E196">
            <w:pPr>
              <w:widowControl/>
              <w:spacing w:line="360" w:lineRule="auto"/>
              <w:jc w:val="left"/>
              <w:rPr>
                <w:rFonts w:hint="eastAsia" w:ascii="宋体" w:hAnsi="宋体" w:eastAsia="宋体" w:cs="宋体"/>
                <w:kern w:val="0"/>
                <w:sz w:val="20"/>
                <w:szCs w:val="20"/>
                <w:lang w:bidi="ar"/>
              </w:rPr>
            </w:pPr>
            <w:r>
              <w:rPr>
                <w:rFonts w:hint="eastAsia" w:ascii="宋体" w:hAnsi="宋体" w:eastAsia="宋体" w:cs="宋体"/>
                <w:color w:val="FF0000"/>
                <w:kern w:val="0"/>
                <w:sz w:val="20"/>
                <w:szCs w:val="20"/>
                <w:highlight w:val="yellow"/>
                <w:lang w:bidi="ar"/>
              </w:rPr>
              <w:t>1.免费质保期：按国家有关产品“三包”规定执行“三包”；所投交互智能平板产品提供原厂质保期最短不得少于6年；所投教学电脑产品提供原厂质保期最短不得少于3年(自货物验收合格之日起计算)。</w:t>
            </w:r>
            <w:r>
              <w:rPr>
                <w:rFonts w:hint="eastAsia" w:ascii="宋体" w:hAnsi="宋体" w:eastAsia="宋体" w:cs="宋体"/>
                <w:kern w:val="0"/>
                <w:sz w:val="20"/>
                <w:szCs w:val="20"/>
                <w:lang w:bidi="ar"/>
              </w:rPr>
              <w:t>免费送货上门、安装、调试合格。</w:t>
            </w:r>
          </w:p>
          <w:p w14:paraId="16C9D840">
            <w:pPr>
              <w:widowControl/>
              <w:spacing w:line="360" w:lineRule="auto"/>
              <w:jc w:val="left"/>
              <w:rPr>
                <w:rFonts w:hint="eastAsia" w:ascii="宋体" w:hAnsi="宋体" w:eastAsia="宋体" w:cs="宋体"/>
                <w:kern w:val="0"/>
                <w:sz w:val="20"/>
                <w:szCs w:val="20"/>
                <w:lang w:bidi="ar"/>
              </w:rPr>
            </w:pPr>
            <w:r>
              <w:rPr>
                <w:rFonts w:hint="eastAsia" w:ascii="宋体" w:hAnsi="宋体" w:eastAsia="宋体" w:cs="宋体"/>
                <w:kern w:val="0"/>
                <w:sz w:val="20"/>
                <w:szCs w:val="20"/>
                <w:lang w:bidi="ar"/>
              </w:rPr>
              <w:t>2.质保期内免费维修、更换配件，提供免费上门服务。</w:t>
            </w:r>
          </w:p>
          <w:p w14:paraId="055E5104">
            <w:pPr>
              <w:widowControl/>
              <w:spacing w:line="360" w:lineRule="auto"/>
              <w:jc w:val="left"/>
              <w:rPr>
                <w:rFonts w:hint="eastAsia" w:ascii="宋体" w:hAnsi="宋体" w:eastAsia="宋体" w:cs="宋体"/>
                <w:kern w:val="0"/>
                <w:sz w:val="20"/>
                <w:szCs w:val="20"/>
                <w:lang w:bidi="ar"/>
              </w:rPr>
            </w:pPr>
            <w:r>
              <w:rPr>
                <w:rFonts w:hint="eastAsia" w:ascii="宋体" w:hAnsi="宋体" w:eastAsia="宋体" w:cs="宋体"/>
                <w:kern w:val="0"/>
                <w:sz w:val="20"/>
                <w:szCs w:val="20"/>
                <w:lang w:bidi="ar"/>
              </w:rPr>
              <w:t>3.设备如出现故障接到用户通知后在2小时内响应，12小时内上门服务，24小时内解决故障；未能在规定时间内排除故障的，必须在48小时内提供同档次的备用机。</w:t>
            </w:r>
          </w:p>
          <w:p w14:paraId="04DEEF7A">
            <w:pPr>
              <w:widowControl/>
              <w:spacing w:line="360" w:lineRule="auto"/>
              <w:jc w:val="left"/>
              <w:rPr>
                <w:rFonts w:hint="eastAsia" w:ascii="宋体" w:hAnsi="宋体" w:eastAsia="宋体" w:cs="宋体"/>
                <w:kern w:val="0"/>
                <w:sz w:val="20"/>
                <w:szCs w:val="20"/>
                <w:lang w:bidi="ar"/>
              </w:rPr>
            </w:pPr>
            <w:r>
              <w:rPr>
                <w:rFonts w:hint="eastAsia" w:ascii="宋体" w:hAnsi="宋体" w:eastAsia="宋体" w:cs="宋体"/>
                <w:kern w:val="0"/>
                <w:sz w:val="20"/>
                <w:szCs w:val="20"/>
                <w:lang w:bidi="ar"/>
              </w:rPr>
              <w:t>4.免费提供现场技术培训，保证使用人员正常操作系统的各项功能。</w:t>
            </w:r>
          </w:p>
        </w:tc>
      </w:tr>
      <w:tr w14:paraId="5C697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2697" w:type="dxa"/>
            <w:vAlign w:val="center"/>
          </w:tcPr>
          <w:p w14:paraId="2FD30037">
            <w:pPr>
              <w:widowControl/>
              <w:jc w:val="center"/>
              <w:rPr>
                <w:rFonts w:hint="eastAsia" w:ascii="宋体" w:hAnsi="宋体" w:eastAsia="宋体" w:cs="宋体"/>
                <w:kern w:val="0"/>
                <w:sz w:val="20"/>
                <w:szCs w:val="20"/>
                <w:lang w:bidi="ar"/>
              </w:rPr>
            </w:pPr>
            <w:r>
              <w:rPr>
                <w:rFonts w:hint="eastAsia" w:ascii="宋体" w:hAnsi="宋体" w:eastAsia="宋体" w:cs="宋体"/>
                <w:kern w:val="0"/>
                <w:sz w:val="20"/>
                <w:szCs w:val="20"/>
                <w:lang w:bidi="ar"/>
              </w:rPr>
              <w:t>交付使用时间及地点</w:t>
            </w:r>
          </w:p>
        </w:tc>
        <w:tc>
          <w:tcPr>
            <w:tcW w:w="8135" w:type="dxa"/>
            <w:vAlign w:val="center"/>
          </w:tcPr>
          <w:p w14:paraId="6D8FB41F">
            <w:pPr>
              <w:widowControl/>
              <w:spacing w:line="360" w:lineRule="auto"/>
              <w:jc w:val="left"/>
              <w:rPr>
                <w:rFonts w:hint="eastAsia" w:ascii="宋体" w:hAnsi="宋体" w:eastAsia="宋体" w:cs="宋体"/>
                <w:kern w:val="0"/>
                <w:sz w:val="20"/>
                <w:szCs w:val="20"/>
                <w:lang w:eastAsia="zh-CN" w:bidi="ar"/>
              </w:rPr>
            </w:pPr>
            <w:r>
              <w:rPr>
                <w:rFonts w:hint="eastAsia" w:ascii="宋体" w:hAnsi="宋体" w:eastAsia="宋体" w:cs="宋体"/>
                <w:kern w:val="0"/>
                <w:sz w:val="20"/>
                <w:szCs w:val="20"/>
                <w:lang w:bidi="ar"/>
              </w:rPr>
              <w:t>1.交货时间：交互智能平板 自合同签订之日起</w:t>
            </w:r>
            <w:r>
              <w:rPr>
                <w:rFonts w:hint="eastAsia" w:ascii="宋体" w:hAnsi="宋体" w:eastAsia="宋体" w:cs="宋体"/>
                <w:color w:val="FF0000"/>
                <w:kern w:val="0"/>
                <w:sz w:val="20"/>
                <w:szCs w:val="20"/>
                <w:highlight w:val="yellow"/>
                <w:lang w:bidi="ar"/>
              </w:rPr>
              <w:t>10个工作日</w:t>
            </w:r>
            <w:r>
              <w:rPr>
                <w:rFonts w:hint="eastAsia" w:ascii="宋体" w:hAnsi="宋体" w:eastAsia="宋体" w:cs="宋体"/>
                <w:kern w:val="0"/>
                <w:sz w:val="20"/>
                <w:szCs w:val="20"/>
                <w:lang w:bidi="ar"/>
              </w:rPr>
              <w:t>内交货，教学电脑 自合同签订之日起</w:t>
            </w:r>
            <w:r>
              <w:rPr>
                <w:rFonts w:hint="eastAsia" w:ascii="宋体" w:hAnsi="宋体" w:eastAsia="宋体" w:cs="宋体"/>
                <w:color w:val="FF0000"/>
                <w:kern w:val="0"/>
                <w:sz w:val="20"/>
                <w:szCs w:val="20"/>
                <w:highlight w:val="yellow"/>
                <w:lang w:bidi="ar"/>
              </w:rPr>
              <w:t>15个工作日</w:t>
            </w:r>
            <w:r>
              <w:rPr>
                <w:rFonts w:hint="eastAsia" w:ascii="宋体" w:hAnsi="宋体" w:eastAsia="宋体" w:cs="宋体"/>
                <w:kern w:val="0"/>
                <w:sz w:val="20"/>
                <w:szCs w:val="20"/>
                <w:lang w:bidi="ar"/>
              </w:rPr>
              <w:t>内交货，接到采购人安装</w:t>
            </w:r>
            <w:r>
              <w:rPr>
                <w:rFonts w:hint="eastAsia" w:ascii="宋体" w:hAnsi="宋体" w:eastAsia="宋体" w:cs="宋体"/>
                <w:color w:val="FF0000"/>
                <w:kern w:val="0"/>
                <w:sz w:val="20"/>
                <w:szCs w:val="20"/>
                <w:highlight w:val="yellow"/>
                <w:lang w:bidi="ar"/>
              </w:rPr>
              <w:t>通知后5日内</w:t>
            </w:r>
            <w:r>
              <w:rPr>
                <w:rFonts w:hint="eastAsia" w:ascii="宋体" w:hAnsi="宋体" w:eastAsia="宋体" w:cs="宋体"/>
                <w:kern w:val="0"/>
                <w:sz w:val="20"/>
                <w:szCs w:val="20"/>
                <w:lang w:bidi="ar"/>
              </w:rPr>
              <w:t>安装调试完毕交付使用。</w:t>
            </w:r>
          </w:p>
          <w:p w14:paraId="4E31FEE9">
            <w:pPr>
              <w:widowControl/>
              <w:spacing w:line="360" w:lineRule="auto"/>
              <w:jc w:val="left"/>
              <w:rPr>
                <w:rFonts w:hint="eastAsia" w:ascii="宋体" w:hAnsi="宋体" w:eastAsia="宋体" w:cs="宋体"/>
                <w:kern w:val="0"/>
                <w:sz w:val="20"/>
                <w:szCs w:val="20"/>
                <w:lang w:bidi="ar"/>
              </w:rPr>
            </w:pPr>
            <w:r>
              <w:rPr>
                <w:rFonts w:hint="eastAsia" w:ascii="宋体" w:hAnsi="宋体" w:eastAsia="宋体" w:cs="宋体"/>
                <w:kern w:val="0"/>
                <w:sz w:val="20"/>
                <w:szCs w:val="20"/>
                <w:lang w:bidi="ar"/>
              </w:rPr>
              <w:t>2.交货地点：广西桂林市采购人指定地点。</w:t>
            </w:r>
          </w:p>
        </w:tc>
      </w:tr>
      <w:tr w14:paraId="49BC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jc w:val="center"/>
        </w:trPr>
        <w:tc>
          <w:tcPr>
            <w:tcW w:w="2697" w:type="dxa"/>
            <w:vAlign w:val="center"/>
          </w:tcPr>
          <w:p w14:paraId="650A7EEC">
            <w:pPr>
              <w:widowControl/>
              <w:spacing w:line="360" w:lineRule="auto"/>
              <w:jc w:val="center"/>
              <w:rPr>
                <w:rFonts w:hint="eastAsia" w:ascii="宋体" w:hAnsi="宋体" w:eastAsia="宋体" w:cs="宋体"/>
                <w:kern w:val="0"/>
                <w:sz w:val="20"/>
                <w:szCs w:val="20"/>
                <w:lang w:bidi="ar"/>
              </w:rPr>
            </w:pPr>
            <w:r>
              <w:rPr>
                <w:rFonts w:hint="eastAsia" w:ascii="宋体" w:hAnsi="宋体" w:eastAsia="宋体" w:cs="宋体"/>
                <w:kern w:val="0"/>
                <w:sz w:val="20"/>
                <w:szCs w:val="20"/>
                <w:lang w:bidi="ar"/>
              </w:rPr>
              <w:t>付款方式</w:t>
            </w:r>
          </w:p>
        </w:tc>
        <w:tc>
          <w:tcPr>
            <w:tcW w:w="8135" w:type="dxa"/>
            <w:vAlign w:val="center"/>
          </w:tcPr>
          <w:p w14:paraId="79F109A0">
            <w:pPr>
              <w:widowControl/>
              <w:spacing w:line="360" w:lineRule="auto"/>
              <w:jc w:val="left"/>
              <w:rPr>
                <w:rFonts w:hint="eastAsia" w:ascii="宋体" w:hAnsi="宋体" w:eastAsia="宋体" w:cs="宋体"/>
                <w:kern w:val="0"/>
                <w:sz w:val="20"/>
                <w:szCs w:val="20"/>
                <w:lang w:bidi="ar"/>
              </w:rPr>
            </w:pPr>
            <w:r>
              <w:rPr>
                <w:rFonts w:hint="eastAsia" w:ascii="宋体" w:hAnsi="宋体" w:eastAsia="宋体" w:cs="宋体"/>
                <w:kern w:val="0"/>
                <w:sz w:val="20"/>
                <w:szCs w:val="20"/>
                <w:lang w:bidi="ar"/>
              </w:rPr>
              <w:t>本项目无预付款，在货物安装验收合格及设备正常使用后60日内支付合同金额给成交供应商。</w:t>
            </w:r>
          </w:p>
        </w:tc>
      </w:tr>
      <w:tr w14:paraId="155DD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2" w:hRule="atLeast"/>
          <w:jc w:val="center"/>
        </w:trPr>
        <w:tc>
          <w:tcPr>
            <w:tcW w:w="2697" w:type="dxa"/>
            <w:vAlign w:val="center"/>
          </w:tcPr>
          <w:p w14:paraId="7C9FA171">
            <w:pPr>
              <w:widowControl/>
              <w:spacing w:line="360" w:lineRule="auto"/>
              <w:jc w:val="center"/>
              <w:rPr>
                <w:rFonts w:hint="eastAsia" w:ascii="宋体" w:hAnsi="宋体" w:eastAsia="宋体" w:cs="宋体"/>
                <w:kern w:val="0"/>
                <w:sz w:val="20"/>
                <w:szCs w:val="20"/>
                <w:lang w:bidi="ar"/>
              </w:rPr>
            </w:pPr>
            <w:r>
              <w:rPr>
                <w:rFonts w:hint="eastAsia" w:ascii="宋体" w:hAnsi="宋体" w:eastAsia="宋体" w:cs="宋体"/>
                <w:kern w:val="0"/>
                <w:sz w:val="20"/>
                <w:szCs w:val="20"/>
                <w:lang w:bidi="ar"/>
              </w:rPr>
              <w:t>验收标准</w:t>
            </w:r>
          </w:p>
        </w:tc>
        <w:tc>
          <w:tcPr>
            <w:tcW w:w="8135" w:type="dxa"/>
            <w:vAlign w:val="center"/>
          </w:tcPr>
          <w:p w14:paraId="266FC402">
            <w:pPr>
              <w:widowControl/>
              <w:spacing w:line="360" w:lineRule="auto"/>
              <w:jc w:val="left"/>
              <w:rPr>
                <w:rFonts w:hint="eastAsia" w:ascii="宋体" w:hAnsi="宋体" w:eastAsia="宋体" w:cs="宋体"/>
                <w:kern w:val="0"/>
                <w:sz w:val="20"/>
                <w:szCs w:val="20"/>
                <w:lang w:bidi="ar"/>
              </w:rPr>
            </w:pPr>
            <w:r>
              <w:rPr>
                <w:rFonts w:hint="eastAsia" w:ascii="宋体" w:hAnsi="宋体" w:eastAsia="宋体" w:cs="宋体"/>
                <w:kern w:val="0"/>
                <w:sz w:val="20"/>
                <w:szCs w:val="20"/>
                <w:lang w:bidi="ar"/>
              </w:rPr>
              <w:t>1.中标供应商所提供的货物与投标文件中承诺的技术参数不符的或未提供以上货物去采购人处进行验收的，采购人将报同级财政监督管理部门进行处理，由此导致整批货物被拒收或索赔而引发的所有损失由中标供应商承担。</w:t>
            </w:r>
          </w:p>
          <w:p w14:paraId="17E5CF04">
            <w:pPr>
              <w:widowControl/>
              <w:spacing w:line="360" w:lineRule="auto"/>
              <w:jc w:val="left"/>
              <w:rPr>
                <w:rFonts w:hint="eastAsia" w:ascii="宋体" w:hAnsi="宋体" w:eastAsia="宋体" w:cs="宋体"/>
                <w:kern w:val="0"/>
                <w:sz w:val="20"/>
                <w:szCs w:val="20"/>
                <w:lang w:bidi="ar"/>
              </w:rPr>
            </w:pPr>
            <w:r>
              <w:rPr>
                <w:rFonts w:hint="eastAsia" w:ascii="宋体" w:hAnsi="宋体" w:eastAsia="宋体" w:cs="宋体"/>
                <w:kern w:val="0"/>
                <w:sz w:val="20"/>
                <w:szCs w:val="20"/>
                <w:lang w:bidi="ar"/>
              </w:rPr>
              <w:t>2.本项目的货物必须是原装正品行货、全新未开封的、符合国家标准的产品， 中标供应商按采购人的要求地址进行送货到位，验收时货物有不响应采购需求的，不予验收，采购人将报同级财政监督管理部门进行处理， 由此导致整批货物被拒收或索赔而引发的所有损失由中标供应商承担。</w:t>
            </w:r>
          </w:p>
          <w:p w14:paraId="7E88B8E8">
            <w:pPr>
              <w:widowControl/>
              <w:spacing w:line="360" w:lineRule="auto"/>
              <w:jc w:val="left"/>
              <w:rPr>
                <w:rFonts w:hint="eastAsia" w:ascii="宋体" w:hAnsi="宋体" w:eastAsia="宋体" w:cs="宋体"/>
                <w:kern w:val="0"/>
                <w:sz w:val="20"/>
                <w:szCs w:val="20"/>
                <w:lang w:bidi="ar"/>
              </w:rPr>
            </w:pPr>
            <w:r>
              <w:rPr>
                <w:rFonts w:hint="eastAsia" w:ascii="宋体" w:hAnsi="宋体" w:eastAsia="宋体" w:cs="宋体"/>
                <w:kern w:val="0"/>
                <w:sz w:val="20"/>
                <w:szCs w:val="20"/>
                <w:lang w:bidi="ar"/>
              </w:rPr>
              <w:t>3.备品备件及耗材等要求：本项目采购的全部设备和零部件、配件及安装材料必须是未经使用的、全新的，并符合国家相关质量标准的。</w:t>
            </w:r>
          </w:p>
          <w:p w14:paraId="5FA043DC">
            <w:pPr>
              <w:widowControl/>
              <w:spacing w:line="360" w:lineRule="auto"/>
              <w:jc w:val="left"/>
              <w:rPr>
                <w:rFonts w:hint="eastAsia" w:ascii="宋体" w:hAnsi="宋体" w:eastAsia="宋体" w:cs="宋体"/>
                <w:kern w:val="0"/>
                <w:sz w:val="20"/>
                <w:szCs w:val="20"/>
                <w:lang w:bidi="ar"/>
              </w:rPr>
            </w:pPr>
            <w:r>
              <w:rPr>
                <w:rFonts w:hint="eastAsia" w:ascii="宋体" w:hAnsi="宋体" w:eastAsia="宋体" w:cs="宋体"/>
                <w:kern w:val="0"/>
                <w:sz w:val="20"/>
                <w:szCs w:val="20"/>
                <w:lang w:bidi="ar"/>
              </w:rPr>
              <w:t>4.产品属于国家强制标准要求的，必须提供产品相应符合标准证明材料。</w:t>
            </w:r>
          </w:p>
          <w:p w14:paraId="25083921">
            <w:pPr>
              <w:widowControl/>
              <w:spacing w:line="360" w:lineRule="auto"/>
              <w:jc w:val="left"/>
              <w:rPr>
                <w:rFonts w:hint="eastAsia" w:ascii="宋体" w:hAnsi="宋体" w:eastAsia="宋体" w:cs="宋体"/>
                <w:kern w:val="0"/>
                <w:sz w:val="20"/>
                <w:szCs w:val="20"/>
                <w:lang w:bidi="ar"/>
              </w:rPr>
            </w:pPr>
            <w:r>
              <w:rPr>
                <w:rFonts w:hint="eastAsia" w:ascii="宋体" w:hAnsi="宋体" w:eastAsia="宋体" w:cs="宋体"/>
                <w:kern w:val="0"/>
                <w:sz w:val="20"/>
                <w:szCs w:val="20"/>
                <w:lang w:bidi="ar"/>
              </w:rPr>
              <w:t>5.凡要求中标人提供性能参数承诺函及相关检测报告的，验收时按承诺函中性能 参数标定及相关检测报告标准进行验收。</w:t>
            </w:r>
          </w:p>
          <w:p w14:paraId="62173C86">
            <w:pPr>
              <w:widowControl/>
              <w:spacing w:line="360" w:lineRule="auto"/>
              <w:jc w:val="left"/>
              <w:rPr>
                <w:rFonts w:hint="eastAsia" w:ascii="宋体" w:hAnsi="宋体" w:eastAsia="宋体" w:cs="宋体"/>
                <w:kern w:val="0"/>
                <w:sz w:val="20"/>
                <w:szCs w:val="20"/>
                <w:lang w:bidi="ar"/>
              </w:rPr>
            </w:pPr>
            <w:r>
              <w:rPr>
                <w:rFonts w:hint="eastAsia" w:ascii="宋体" w:hAnsi="宋体" w:eastAsia="宋体" w:cs="宋体"/>
                <w:kern w:val="0"/>
                <w:sz w:val="20"/>
                <w:szCs w:val="20"/>
                <w:lang w:bidi="ar"/>
              </w:rPr>
              <w:t>6.验收过程中，如采购人觉得有必要，可以邀请有资质的第三方检测机构对中标供应商提供的产品进行检测，费用由中标供应商负担。</w:t>
            </w:r>
          </w:p>
        </w:tc>
      </w:tr>
      <w:tr w14:paraId="2EF75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atLeast"/>
          <w:jc w:val="center"/>
        </w:trPr>
        <w:tc>
          <w:tcPr>
            <w:tcW w:w="2697" w:type="dxa"/>
            <w:vAlign w:val="center"/>
          </w:tcPr>
          <w:p w14:paraId="57EEBCBA">
            <w:pPr>
              <w:widowControl/>
              <w:spacing w:line="360" w:lineRule="auto"/>
              <w:jc w:val="center"/>
              <w:rPr>
                <w:rFonts w:hint="eastAsia" w:ascii="宋体" w:hAnsi="宋体" w:eastAsia="宋体" w:cs="宋体"/>
                <w:kern w:val="0"/>
                <w:sz w:val="20"/>
                <w:szCs w:val="20"/>
                <w:lang w:bidi="ar"/>
              </w:rPr>
            </w:pPr>
            <w:r>
              <w:rPr>
                <w:rFonts w:hint="eastAsia" w:ascii="宋体" w:hAnsi="宋体" w:eastAsia="宋体" w:cs="宋体"/>
                <w:kern w:val="0"/>
                <w:sz w:val="20"/>
                <w:szCs w:val="20"/>
                <w:lang w:bidi="ar"/>
              </w:rPr>
              <w:t>其他要求</w:t>
            </w:r>
          </w:p>
        </w:tc>
        <w:tc>
          <w:tcPr>
            <w:tcW w:w="8135" w:type="dxa"/>
            <w:vAlign w:val="center"/>
          </w:tcPr>
          <w:p w14:paraId="1620441F">
            <w:pPr>
              <w:widowControl/>
              <w:spacing w:line="360" w:lineRule="auto"/>
              <w:jc w:val="left"/>
              <w:rPr>
                <w:rFonts w:hint="eastAsia" w:ascii="宋体" w:hAnsi="宋体" w:eastAsia="宋体" w:cs="宋体"/>
                <w:b/>
                <w:bCs/>
                <w:kern w:val="0"/>
                <w:sz w:val="20"/>
                <w:szCs w:val="20"/>
                <w:lang w:bidi="ar"/>
              </w:rPr>
            </w:pPr>
            <w:r>
              <w:rPr>
                <w:rFonts w:hint="eastAsia" w:ascii="宋体" w:hAnsi="宋体" w:eastAsia="宋体" w:cs="宋体"/>
                <w:b/>
                <w:bCs/>
                <w:kern w:val="0"/>
                <w:sz w:val="20"/>
                <w:szCs w:val="20"/>
                <w:lang w:bidi="ar"/>
              </w:rPr>
              <w:t>1.为确保货物质量及原厂品质，中标供应商在正式供货时必须提供生产厂家针对此项目的售后服务保证原件（加盖厂家公章）、供货证明原件（加盖厂家公章），否则采购方将不予验收通过。</w:t>
            </w:r>
          </w:p>
          <w:p w14:paraId="12486228">
            <w:pPr>
              <w:widowControl/>
              <w:spacing w:line="360" w:lineRule="auto"/>
              <w:jc w:val="left"/>
              <w:rPr>
                <w:rFonts w:hint="eastAsia" w:ascii="宋体" w:hAnsi="宋体" w:eastAsia="宋体" w:cs="宋体"/>
                <w:b/>
                <w:bCs/>
                <w:kern w:val="0"/>
                <w:sz w:val="20"/>
                <w:szCs w:val="20"/>
                <w:lang w:bidi="ar"/>
              </w:rPr>
            </w:pPr>
            <w:r>
              <w:rPr>
                <w:rFonts w:hint="eastAsia" w:ascii="宋体" w:hAnsi="宋体" w:eastAsia="宋体" w:cs="宋体"/>
                <w:b/>
                <w:bCs/>
                <w:kern w:val="0"/>
                <w:sz w:val="20"/>
                <w:szCs w:val="20"/>
                <w:lang w:bidi="ar"/>
              </w:rPr>
              <w:t>2.报价时须上传采购需求文件中要求提供的相关证明文件，并通过采购人审核通过，如果没有上传相关证明材料或提供的证明材料不符合要求，则视为投标报价无效。</w:t>
            </w:r>
          </w:p>
          <w:p w14:paraId="7BAFC31C">
            <w:pPr>
              <w:widowControl/>
              <w:spacing w:line="360" w:lineRule="auto"/>
              <w:jc w:val="left"/>
              <w:rPr>
                <w:rFonts w:hint="eastAsia" w:ascii="宋体" w:hAnsi="宋体" w:eastAsia="宋体" w:cs="宋体"/>
                <w:kern w:val="0"/>
                <w:sz w:val="20"/>
                <w:szCs w:val="20"/>
                <w:lang w:bidi="ar"/>
              </w:rPr>
            </w:pPr>
            <w:r>
              <w:rPr>
                <w:rFonts w:hint="eastAsia" w:ascii="宋体" w:hAnsi="宋体" w:eastAsia="宋体" w:cs="宋体"/>
                <w:kern w:val="0"/>
                <w:sz w:val="20"/>
                <w:szCs w:val="20"/>
                <w:lang w:bidi="ar"/>
              </w:rPr>
              <w:t>3.本项目货物不接受进口产品（即通过中国海关报关验放进入中国境内且产自关境外的产品）参与投标。</w:t>
            </w:r>
          </w:p>
        </w:tc>
      </w:tr>
    </w:tbl>
    <w:p w14:paraId="5A877057">
      <w:pPr>
        <w:pStyle w:val="3"/>
        <w:jc w:val="both"/>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RjODA3M2QwNDkwOGY3ZDUwNTQ0YjZjNjUxMWRkZjgifQ=="/>
  </w:docVars>
  <w:rsids>
    <w:rsidRoot w:val="3C6F109E"/>
    <w:rsid w:val="002127F2"/>
    <w:rsid w:val="00444E20"/>
    <w:rsid w:val="004E60FE"/>
    <w:rsid w:val="005C1CC5"/>
    <w:rsid w:val="008A0DC6"/>
    <w:rsid w:val="00A570BA"/>
    <w:rsid w:val="00B8046B"/>
    <w:rsid w:val="00BC189B"/>
    <w:rsid w:val="06DE0ABE"/>
    <w:rsid w:val="13515C6D"/>
    <w:rsid w:val="199FF4AF"/>
    <w:rsid w:val="1EFE5577"/>
    <w:rsid w:val="26B801AB"/>
    <w:rsid w:val="354E5181"/>
    <w:rsid w:val="3A667F7C"/>
    <w:rsid w:val="3C6F109E"/>
    <w:rsid w:val="3CCF6877"/>
    <w:rsid w:val="3EB33737"/>
    <w:rsid w:val="3ED656D0"/>
    <w:rsid w:val="3FEF095B"/>
    <w:rsid w:val="41ED0B1F"/>
    <w:rsid w:val="42707E35"/>
    <w:rsid w:val="4A1A7BC7"/>
    <w:rsid w:val="4D5469EB"/>
    <w:rsid w:val="6198032E"/>
    <w:rsid w:val="63E678B4"/>
    <w:rsid w:val="682922CA"/>
    <w:rsid w:val="6F272038"/>
    <w:rsid w:val="701658F3"/>
    <w:rsid w:val="73721D37"/>
    <w:rsid w:val="73FF294F"/>
    <w:rsid w:val="752F0D63"/>
    <w:rsid w:val="759E37A9"/>
    <w:rsid w:val="77FF3ADF"/>
    <w:rsid w:val="79956BE2"/>
    <w:rsid w:val="7A017705"/>
    <w:rsid w:val="7E427D0F"/>
    <w:rsid w:val="7FEDBF36"/>
    <w:rsid w:val="9FFB3915"/>
    <w:rsid w:val="DAAF2B3C"/>
    <w:rsid w:val="F3F27110"/>
    <w:rsid w:val="F9FE4F3C"/>
    <w:rsid w:val="FDFEDCEA"/>
    <w:rsid w:val="FE3FD4AA"/>
    <w:rsid w:val="FFD318E2"/>
    <w:rsid w:val="FFFF8A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3">
    <w:name w:val="heading 4"/>
    <w:basedOn w:val="1"/>
    <w:next w:val="1"/>
    <w:qFormat/>
    <w:uiPriority w:val="0"/>
    <w:pPr>
      <w:keepNext/>
      <w:keepLines/>
      <w:spacing w:before="280" w:after="290" w:line="480" w:lineRule="exact"/>
      <w:jc w:val="center"/>
      <w:outlineLvl w:val="3"/>
    </w:pPr>
    <w:rPr>
      <w:rFonts w:ascii="Cambria" w:hAnsi="Cambria" w:eastAsia="宋体" w:cs="Times New Roman"/>
      <w:b/>
      <w:bCs/>
      <w:sz w:val="28"/>
      <w:szCs w:val="28"/>
    </w:rPr>
  </w:style>
  <w:style w:type="character" w:default="1" w:styleId="11">
    <w:name w:val="Default Paragraph Font"/>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index 8"/>
    <w:basedOn w:val="1"/>
    <w:next w:val="1"/>
    <w:qFormat/>
    <w:uiPriority w:val="0"/>
    <w:pPr>
      <w:ind w:left="2940"/>
    </w:pPr>
  </w:style>
  <w:style w:type="paragraph" w:styleId="5">
    <w:name w:val="Body Text Indent"/>
    <w:basedOn w:val="1"/>
    <w:next w:val="6"/>
    <w:qFormat/>
    <w:uiPriority w:val="0"/>
    <w:pPr>
      <w:ind w:firstLine="830" w:firstLineChars="352"/>
    </w:pPr>
    <w:rPr>
      <w:rFonts w:ascii="仿宋_GB2312" w:eastAsia="仿宋_GB2312"/>
      <w:kern w:val="0"/>
      <w:sz w:val="32"/>
      <w:szCs w:val="20"/>
    </w:rPr>
  </w:style>
  <w:style w:type="paragraph" w:styleId="6">
    <w:name w:val="envelope return"/>
    <w:basedOn w:val="1"/>
    <w:qFormat/>
    <w:uiPriority w:val="0"/>
    <w:pPr>
      <w:adjustRightInd w:val="0"/>
      <w:snapToGrid w:val="0"/>
      <w:spacing w:line="360" w:lineRule="atLeast"/>
      <w:ind w:firstLine="640" w:firstLineChars="200"/>
    </w:pPr>
    <w:rPr>
      <w:rFonts w:ascii="Arial" w:hAnsi="Arial"/>
    </w:rPr>
  </w:style>
  <w:style w:type="paragraph" w:styleId="7">
    <w:name w:val="Plain Text"/>
    <w:basedOn w:val="1"/>
    <w:qFormat/>
    <w:uiPriority w:val="0"/>
    <w:rPr>
      <w:rFonts w:ascii="宋体" w:hAnsi="Courier New"/>
      <w:szCs w:val="20"/>
    </w:rPr>
  </w:style>
  <w:style w:type="paragraph" w:styleId="8">
    <w:name w:val="Body Text First Indent 2"/>
    <w:basedOn w:val="5"/>
    <w:unhideWhenUsed/>
    <w:qFormat/>
    <w:uiPriority w:val="99"/>
    <w:pPr>
      <w:spacing w:after="120"/>
      <w:ind w:left="420" w:leftChars="200" w:firstLine="420" w:firstLineChars="200"/>
    </w:pPr>
    <w:rPr>
      <w:rFonts w:ascii="Times New Roman" w:eastAsia="宋体"/>
      <w:kern w:val="2"/>
      <w:sz w:val="21"/>
      <w:szCs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styleId="13">
    <w:name w:val="List Paragraph"/>
    <w:basedOn w:val="1"/>
    <w:qFormat/>
    <w:uiPriority w:val="0"/>
    <w:pPr>
      <w:widowControl/>
      <w:ind w:firstLine="420" w:firstLineChars="200"/>
      <w:jc w:val="left"/>
    </w:pPr>
    <w:rPr>
      <w:rFonts w:ascii="宋体" w:hAnsi="宋体" w:cs="宋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11836</Words>
  <Characters>12494</Characters>
  <Lines>509</Lines>
  <Paragraphs>384</Paragraphs>
  <TotalTime>50</TotalTime>
  <ScaleCrop>false</ScaleCrop>
  <LinksUpToDate>false</LinksUpToDate>
  <CharactersWithSpaces>12554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2024-08-03T19:12:00Z</dcterms:created>
  <dc:creator>WPS_1514269075</dc:creator>
  <cp:lastModifiedBy>梁海华</cp:lastModifiedBy>
  <dcterms:modified xsi:type="dcterms:W3CDTF">2026-08-25T02:26:11Z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F2BCCE267ACCA2EA5EFE4E6A04C9141C_43</vt:lpwstr>
  </property>
  <property fmtid="{D5CDD505-2E9C-101B-9397-08002B2CF9AE}" pid="4" name="KSOTemplateDocerSaveRecord">
    <vt:lpwstr>eyJoZGlkIjoiY2IwNzIxNjgxZjI4YWUyMjdmZjBlMDQ2NjQzZDk3NTEiLCJ1c2VySWQiOiI3MTk0NTE4NzkifQ==</vt:lpwstr>
  </property>
</Properties>
</file>