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CA68C">
      <w:pPr>
        <w:jc w:val="center"/>
        <w:rPr>
          <w:rFonts w:hint="eastAsia"/>
          <w:b/>
          <w:bCs/>
          <w:sz w:val="28"/>
          <w:szCs w:val="28"/>
          <w:lang w:val="en-US" w:eastAsia="zh-CN"/>
        </w:rPr>
      </w:pPr>
      <w:r>
        <w:rPr>
          <w:rFonts w:hint="eastAsia"/>
          <w:b/>
          <w:bCs/>
          <w:sz w:val="28"/>
          <w:szCs w:val="28"/>
          <w:lang w:val="en-US" w:eastAsia="zh-CN"/>
        </w:rPr>
        <w:t>多媒体教学设备采购需求表</w:t>
      </w:r>
    </w:p>
    <w:tbl>
      <w:tblPr>
        <w:tblStyle w:val="9"/>
        <w:tblW w:w="10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815"/>
        <w:gridCol w:w="6322"/>
        <w:gridCol w:w="483"/>
        <w:gridCol w:w="553"/>
        <w:gridCol w:w="1064"/>
        <w:gridCol w:w="1064"/>
      </w:tblGrid>
      <w:tr w14:paraId="5B5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7995A514">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序号</w:t>
            </w:r>
          </w:p>
        </w:tc>
        <w:tc>
          <w:tcPr>
            <w:tcW w:w="815" w:type="dxa"/>
            <w:vAlign w:val="center"/>
          </w:tcPr>
          <w:p w14:paraId="4B5E9A95">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产品名称</w:t>
            </w:r>
          </w:p>
        </w:tc>
        <w:tc>
          <w:tcPr>
            <w:tcW w:w="6322" w:type="dxa"/>
            <w:vAlign w:val="center"/>
          </w:tcPr>
          <w:p w14:paraId="40DD46F6">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技术参数及要求</w:t>
            </w:r>
          </w:p>
        </w:tc>
        <w:tc>
          <w:tcPr>
            <w:tcW w:w="483" w:type="dxa"/>
            <w:vAlign w:val="center"/>
          </w:tcPr>
          <w:p w14:paraId="09C1EF77">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数量</w:t>
            </w:r>
          </w:p>
        </w:tc>
        <w:tc>
          <w:tcPr>
            <w:tcW w:w="553" w:type="dxa"/>
            <w:vAlign w:val="center"/>
          </w:tcPr>
          <w:p w14:paraId="74A38918">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单位</w:t>
            </w:r>
          </w:p>
        </w:tc>
        <w:tc>
          <w:tcPr>
            <w:tcW w:w="1064" w:type="dxa"/>
            <w:vAlign w:val="center"/>
          </w:tcPr>
          <w:p w14:paraId="297E291E">
            <w:pPr>
              <w:spacing w:line="276" w:lineRule="auto"/>
              <w:jc w:val="center"/>
              <w:rPr>
                <w:rFonts w:hint="eastAsia" w:hAnsi="宋体" w:cs="宋体"/>
                <w:b/>
                <w:bCs/>
                <w:color w:val="000000"/>
                <w:sz w:val="18"/>
                <w:szCs w:val="18"/>
                <w:lang w:val="en-US" w:eastAsia="zh-CN"/>
              </w:rPr>
            </w:pPr>
            <w:r>
              <w:rPr>
                <w:rFonts w:hint="eastAsia" w:ascii="宋体" w:hAnsi="宋体" w:eastAsia="宋体"/>
                <w:b/>
                <w:bCs/>
                <w:szCs w:val="21"/>
              </w:rPr>
              <w:t>单价（单位：元）</w:t>
            </w:r>
          </w:p>
        </w:tc>
        <w:tc>
          <w:tcPr>
            <w:tcW w:w="1064" w:type="dxa"/>
            <w:vAlign w:val="center"/>
          </w:tcPr>
          <w:p w14:paraId="4DFAFEFF">
            <w:pPr>
              <w:spacing w:line="276" w:lineRule="auto"/>
              <w:jc w:val="center"/>
              <w:rPr>
                <w:rFonts w:hint="default" w:hAnsi="宋体" w:cs="宋体"/>
                <w:b/>
                <w:bCs/>
                <w:color w:val="000000"/>
                <w:sz w:val="18"/>
                <w:szCs w:val="18"/>
                <w:lang w:val="en-US" w:eastAsia="zh-CN"/>
              </w:rPr>
            </w:pPr>
            <w:r>
              <w:rPr>
                <w:rFonts w:hint="eastAsia" w:ascii="宋体" w:hAnsi="宋体" w:eastAsia="宋体"/>
                <w:b/>
                <w:bCs/>
                <w:szCs w:val="21"/>
              </w:rPr>
              <w:t>总价（单位：元）</w:t>
            </w:r>
          </w:p>
        </w:tc>
      </w:tr>
      <w:tr w14:paraId="72C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6D0859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w:t>
            </w:r>
          </w:p>
        </w:tc>
        <w:tc>
          <w:tcPr>
            <w:tcW w:w="815" w:type="dxa"/>
            <w:shd w:val="clear" w:color="auto" w:fill="auto"/>
            <w:vAlign w:val="center"/>
          </w:tcPr>
          <w:p w14:paraId="54015A6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交互智能平板</w:t>
            </w:r>
            <w:r>
              <w:rPr>
                <w:rFonts w:hint="eastAsia" w:ascii="宋体" w:hAnsi="宋体" w:eastAsia="宋体" w:cs="宋体"/>
                <w:i w:val="0"/>
                <w:iCs w:val="0"/>
                <w:color w:val="FF0000"/>
                <w:kern w:val="0"/>
                <w:sz w:val="20"/>
                <w:szCs w:val="20"/>
                <w:highlight w:val="yellow"/>
                <w:u w:val="none"/>
                <w:lang w:val="en-US" w:eastAsia="zh-CN" w:bidi="ar"/>
              </w:rPr>
              <w:t>（六年质保）</w:t>
            </w:r>
          </w:p>
        </w:tc>
        <w:tc>
          <w:tcPr>
            <w:tcW w:w="6322" w:type="dxa"/>
            <w:shd w:val="clear" w:color="auto" w:fill="auto"/>
            <w:vAlign w:val="center"/>
          </w:tcPr>
          <w:p w14:paraId="643D9F58">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一</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教研功能设计：</w:t>
            </w:r>
          </w:p>
          <w:p w14:paraId="3B78263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一</w:t>
            </w:r>
            <w:r>
              <w:rPr>
                <w:rFonts w:hint="default" w:ascii="宋体" w:hAnsi="宋体" w:eastAsia="宋体" w:cs="宋体"/>
                <w:i w:val="0"/>
                <w:iCs w:val="0"/>
                <w:color w:val="auto"/>
                <w:kern w:val="0"/>
                <w:sz w:val="20"/>
                <w:szCs w:val="20"/>
                <w:highlight w:val="none"/>
                <w:u w:val="none"/>
                <w:lang w:val="en-US" w:eastAsia="zh-CN" w:bidi="ar"/>
              </w:rPr>
              <w:t>）.云教案功能</w:t>
            </w:r>
          </w:p>
          <w:p w14:paraId="7045670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1.云教案分享：云教案内容可自动同步至云空间，支持以链接方式进行定向式分享和开放式分享。接收者可直接在桌面浏览器.微信内打开预览，可将运教案转存至个人云空间。</w:t>
            </w:r>
          </w:p>
          <w:p w14:paraId="1A7B26D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2.云教案模板：提供教案模板以供老师撰写教案，预置表格式.提纲式.集备式.多课时式等不少于5个教案模板。</w:t>
            </w:r>
          </w:p>
          <w:p w14:paraId="2D1F483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3.支持校本教案模板设计，管理员在教研管理后台设置校本模板后，老师可在云教案模板直接调用。</w:t>
            </w:r>
          </w:p>
          <w:p w14:paraId="65D05A1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4.云教案与云课件可一对多关联绑定，产生绑定后，在课件页和教案页均支持在同一面板打开关联的云课件或云教案预览，便于老师备课时相互对照。</w:t>
            </w:r>
          </w:p>
          <w:p w14:paraId="2187307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二</w:t>
            </w:r>
            <w:r>
              <w:rPr>
                <w:rFonts w:hint="default" w:ascii="宋体" w:hAnsi="宋体" w:eastAsia="宋体" w:cs="宋体"/>
                <w:i w:val="0"/>
                <w:iCs w:val="0"/>
                <w:color w:val="auto"/>
                <w:kern w:val="0"/>
                <w:sz w:val="20"/>
                <w:szCs w:val="20"/>
                <w:highlight w:val="none"/>
                <w:u w:val="none"/>
                <w:lang w:val="en-US" w:eastAsia="zh-CN" w:bidi="ar"/>
              </w:rPr>
              <w:t>）电子化听评课功能</w:t>
            </w:r>
          </w:p>
          <w:p w14:paraId="250F0F4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★1.邀请评课：支持在授课模式中发起授课评价，根据课程和评课表生成二维码，可选择是否分享课件，若选择分享课件，评课人通过扫码即可参与评课并获取课件。</w:t>
            </w:r>
          </w:p>
          <w:p w14:paraId="5D6ADE4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2.查看评课记录：支持在我的学校中查看我评的课.我讲的课的历史评价记录。</w:t>
            </w:r>
          </w:p>
          <w:p w14:paraId="28FB976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3.导出评课报告和听课记录：支持导出我讲的课的评课报告为PDF文档，支持导出我评的课的评课表为WORD文档。</w:t>
            </w:r>
          </w:p>
          <w:p w14:paraId="436EA75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w:t>
            </w:r>
            <w:r>
              <w:rPr>
                <w:rFonts w:hint="eastAsia" w:ascii="宋体" w:hAnsi="宋体" w:cs="宋体"/>
                <w:i w:val="0"/>
                <w:iCs w:val="0"/>
                <w:color w:val="auto"/>
                <w:kern w:val="0"/>
                <w:sz w:val="20"/>
                <w:szCs w:val="20"/>
                <w:highlight w:val="none"/>
                <w:u w:val="none"/>
                <w:lang w:val="en-US" w:eastAsia="zh-CN" w:bidi="ar"/>
              </w:rPr>
              <w:t>三</w:t>
            </w:r>
            <w:r>
              <w:rPr>
                <w:rFonts w:hint="default" w:ascii="宋体" w:hAnsi="宋体" w:eastAsia="宋体" w:cs="宋体"/>
                <w:i w:val="0"/>
                <w:iCs w:val="0"/>
                <w:color w:val="auto"/>
                <w:kern w:val="0"/>
                <w:sz w:val="20"/>
                <w:szCs w:val="20"/>
                <w:highlight w:val="none"/>
                <w:u w:val="none"/>
                <w:lang w:val="en-US" w:eastAsia="zh-CN" w:bidi="ar"/>
              </w:rPr>
              <w:t>）.教研管理平台</w:t>
            </w:r>
          </w:p>
          <w:p w14:paraId="7C2A21E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14:paraId="01D7F74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集体备课数据详情查看：全校集体备课数据统一汇总，支持按照集体备课记录和教师集备记录两个维度查看集备数据。集体备课记录数据包含集备名称.主备人.学科.年级.章节.稿数.参备老师.评论数.批注数等数据，了解集体备课活动的开展和参与情况。</w:t>
            </w:r>
          </w:p>
          <w:p w14:paraId="26877FE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听课评课数据详情：全校听评课数据统一汇总，数据包含全校本月评课节数，本月评课次数，累计评课节数和累计评课次数，了解听评课教研活动的开展情况。支持按评课人数/评课平均分查看全校排行详细数据。[投标时须提供国家认可的第三方检测机构出具的关于该功能的检测报告复印件]。</w:t>
            </w:r>
          </w:p>
          <w:p w14:paraId="6753CA3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二.</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按键及接口设计</w:t>
            </w:r>
          </w:p>
          <w:p w14:paraId="1476C71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1.三合一电源按键，同一电源物理按键完成Android系统和Windows系统的开机.节能熄屏.关机操作；关机状态下按按键开机；开机状态下按按键实现节能熄屏/唤醒，长按按键实现关机。</w:t>
            </w:r>
          </w:p>
          <w:p w14:paraId="11E1900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2.整机具备至少6个前置按键，可实现开关机.调出中控菜单.音量+/-.护眼.录屏操作。</w:t>
            </w:r>
          </w:p>
          <w:p w14:paraId="619D4B7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3.支持经典护眼模式，可通过前置面板物理功能按键一键启用经典护眼模式。</w:t>
            </w:r>
          </w:p>
          <w:p w14:paraId="4E7EB09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4.设备支持通过前置面板物理按键一键启动录屏功能，可将屏幕中显示的课件.音频内容与人声同时录制。</w:t>
            </w:r>
          </w:p>
          <w:p w14:paraId="40835A3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p>
          <w:p w14:paraId="265FA63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[投标时须提供国家认可的第三方检测机构出具的关于该功能的检测报告复印件]</w:t>
            </w:r>
          </w:p>
          <w:p w14:paraId="2E28BA5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6.整机无需外接无线网卡，在Android和Windows系统下可实现Wi-Fi无线上网连接.AP无线热点发射和BT蓝牙连接功能。</w:t>
            </w:r>
          </w:p>
          <w:p w14:paraId="76BF795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7.Wi-Fi和AP热点工作距离：≥10m。</w:t>
            </w:r>
          </w:p>
          <w:p w14:paraId="3236AAC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★8.整机支持蓝牙Bluetooth5.4标准，固件版本号HCI13.0/LMP13.0。</w:t>
            </w:r>
          </w:p>
          <w:p w14:paraId="1AE98BC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9.整机支持发出频率为18kHz-22kHz超声波信号，智能手机通过麦克风接收后，智能手机与整机无需在同一局域网内，可实现配对，一键投屏，用户无需手动输入投屏码或扫码获取投屏码；整机内置传屏接收模块，整机不需要连接任何附加设备，可实现外部电脑.手机设备的音视频信号实时传输到整机上；</w:t>
            </w:r>
          </w:p>
          <w:p w14:paraId="4AEA934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10.整机PC端支持主动发现蓝牙外设从而连接（无需整机进入发现模式），支持连接外部蓝牙音箱播放音频。[投标时须提供国家认可的第三方检测机构出具的关于该功能的检测报告复印件]</w:t>
            </w:r>
          </w:p>
          <w:p w14:paraId="14BA737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11.整机内置双WiFi6无线网卡（不接受外接），在Android和Windows系统下，可实现Wi-Fi无线上网连接.AP无线热点发射。</w:t>
            </w:r>
          </w:p>
          <w:p w14:paraId="65F6D8E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12.整机内置双WiFi6无线网卡（不接受外接），在Android下支持无线设备同时连接数量：≥30个，在Windows系统下支持无线设备同时连接：≥8个；[投标时须提供国家认可的第三方检测机构出具的关于该功能的检测报告复印件]。</w:t>
            </w:r>
          </w:p>
          <w:p w14:paraId="2D6A7F6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13.整机无需外接无线网卡，在Windows系统下接入无线网络，切换到嵌入式Android系统下可直接实现无线上网功能，不需手动重复设置。</w:t>
            </w:r>
          </w:p>
          <w:p w14:paraId="6C0B582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14.Wi-Fi及AP热点支持频段2.4GHz/5GHz；Wi-Fi制式支持IEEE802.11a/b/g/n/ac/ax；支持版本Wi-Fi6。</w:t>
            </w:r>
          </w:p>
          <w:p w14:paraId="7F89C21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三</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显示及护眼功能</w:t>
            </w:r>
            <w:r>
              <w:rPr>
                <w:rFonts w:hint="default" w:ascii="宋体" w:hAnsi="宋体" w:eastAsia="宋体" w:cs="宋体"/>
                <w:i w:val="0"/>
                <w:iCs w:val="0"/>
                <w:color w:val="auto"/>
                <w:kern w:val="0"/>
                <w:sz w:val="20"/>
                <w:szCs w:val="20"/>
                <w:highlight w:val="none"/>
                <w:u w:val="none"/>
                <w:lang w:val="en-US" w:eastAsia="zh-CN" w:bidi="ar"/>
              </w:rPr>
              <w:tab/>
            </w:r>
          </w:p>
          <w:p w14:paraId="3124D39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1.整机屏幕采用：≥86英寸液晶显示器。整机采用超高清LED液晶显示屏，显示比例≥16:9，分辨率≥3840×2160。钢化玻璃表面硬度：≥9H。</w:t>
            </w:r>
          </w:p>
          <w:p w14:paraId="249B39A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整机内置全视角背光增光膜，通过增光膜对背光光源进行均光，整机屏幕中心亮度三分之一的亮度观看视角≥130°，满足GB40070关于亮度可视角≥120°要求。[投标时须提供国家认可的第三方检测机构出具的关于该功能的检测报告复印件]。</w:t>
            </w:r>
          </w:p>
          <w:p w14:paraId="704361A9">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★3.灰度等级：256级。整机支持色彩空间可选，包含标准模式和sRGB模式，在sRGB模式下可做到高色准△E：≤1。[投标时须提供国家认可的第三方检测机构出具的关于该功能的检测报告复印件]。</w:t>
            </w:r>
          </w:p>
          <w:p w14:paraId="15CD85D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4.整机采用硬件低蓝光背光技术，在源头减少有害蓝光波段能量，蓝光占比（有害蓝光415～455nm能量综合）/（整体蓝光400～500能量综合）=49%，低蓝光保护显示不偏色.不泛黄。</w:t>
            </w:r>
          </w:p>
          <w:p w14:paraId="2DB6ABF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5.支持标准.多媒体和节能三种图像模式调节。</w:t>
            </w:r>
          </w:p>
          <w:p w14:paraId="601935D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整机系统支持手势上滑调出人工智能画质调节模式（AI-PQ），在安卓通道下可根据屏幕内容自动调节画质参数，当屏幕出现人物.建筑.夜景等元素时，自动调整对比度.饱和度.锐利度.色调色相值.高光/阴影。[投标时须提供国家认可的第三方检测机构出具的关于该功能的检测报告复印件]。</w:t>
            </w:r>
          </w:p>
          <w:p w14:paraId="00173938">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7.支持自定义图像设置，可对对比度.屏幕色温.图像亮度.亮度范围.色彩空间调节设置。</w:t>
            </w:r>
          </w:p>
          <w:p w14:paraId="45BFFF1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8.整机全通道支持纸质护眼模式，可实现画面纹理的实时调整；支持纸质纹理：牛皮纸.素描纸.宣纸.水彩纸.水纹纸；支持透明度调节；支持色温调节；纸质护眼模式下，显示画面各像素点灰度不规则，减少背景干扰。[投标时须提供国家认可的第三方检测机构出具的关于该功能的检测报告复印件]。</w:t>
            </w:r>
          </w:p>
          <w:p w14:paraId="7FBED5B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四</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麦克风及扬声器功能</w:t>
            </w:r>
          </w:p>
          <w:p w14:paraId="7149A71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整机内置2.2声道扬声器，位于设备上边框，顶置朝前发声，12W高音扬声器2个，上朝向30W中低音扬声器2个，最大功率≥80W，最低谐振频率≤80Hz。[投标时须提供国家认可的第三方检测机构出具的关于该功能的检测报告复印件]。</w:t>
            </w:r>
          </w:p>
          <w:p w14:paraId="1B36F948">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2.整机可选择高级音效设置，支持在左右声道平衡显示范围中进行更改；中低频段显示调节范围125Hz～1KHz，高频段显示调节范围2KHz～16KHz，分贝显示-12dB～12dB调节范围。</w:t>
            </w:r>
          </w:p>
          <w:p w14:paraId="5DBD7F6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整机内置非独立外扩展的8阵列麦克风，拾音角度：180°，可用于对教室环境音频进行采集，整机内置麦克风声源定位算法，声源定位精度≤3度，可以识别回答问题的学生方位。[投标时须提供国家认可的第三方检测机构出具的关于该功能的检测报告复印件]。</w:t>
            </w:r>
          </w:p>
          <w:p w14:paraId="34C786D9">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4.整机内置扬声器采用缝隙发声技术，喇叭采用槽式开口设计，不大于5.8mm整机扬声器在100%音量下，可做到1米处声压级：88db，10米处声压级：79dB。</w:t>
            </w:r>
          </w:p>
          <w:p w14:paraId="6681E9B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五、</w:t>
            </w:r>
            <w:r>
              <w:rPr>
                <w:rFonts w:hint="default" w:ascii="宋体" w:hAnsi="宋体" w:eastAsia="宋体" w:cs="宋体"/>
                <w:i w:val="0"/>
                <w:iCs w:val="0"/>
                <w:color w:val="auto"/>
                <w:kern w:val="0"/>
                <w:sz w:val="20"/>
                <w:szCs w:val="20"/>
                <w:highlight w:val="none"/>
                <w:u w:val="none"/>
                <w:lang w:val="en-US" w:eastAsia="zh-CN" w:bidi="ar"/>
              </w:rPr>
              <w:t>内置电脑设计</w:t>
            </w:r>
          </w:p>
          <w:p w14:paraId="5D1A775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1.CPU：搭载Intel酷睿系列：i5CPU。</w:t>
            </w:r>
          </w:p>
          <w:p w14:paraId="42E9DCE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2.内存：8GBDDR4内存或以上配置。</w:t>
            </w:r>
          </w:p>
          <w:p w14:paraId="0130FD89">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3.硬盘：512GB或以上SSD固态硬盘。</w:t>
            </w:r>
          </w:p>
          <w:p w14:paraId="37A7301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4.PC模块可抽拉式插入整机，可实现无单独接线的插拔，和整机的连接采用万兆级接口，传输速率：10Gbps。</w:t>
            </w:r>
          </w:p>
          <w:p w14:paraId="069CD5A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六</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嵌入式系统设计</w:t>
            </w:r>
          </w:p>
          <w:p w14:paraId="6275D14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★1.整机嵌入式系统版本≥Android 15，CPU≥8核，主频≥1.5GHz，内存≥2GB，存储空间≥32GB。</w:t>
            </w:r>
          </w:p>
          <w:p w14:paraId="1C345F0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2.嵌入式Android操作系统下，白板支持对已经书写的笔迹和形状的颜色进行更换，使用白板软件时，整机可根据用户书写操作智能调节屏幕亮度。</w:t>
            </w:r>
          </w:p>
          <w:p w14:paraId="3949E9F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3.嵌入式Android操作系统下，互动白板支持不同背景颜色，同时提供学科背景，如：五线谱.信纸.田字格.英文格.篮球和足球场地平面图。</w:t>
            </w:r>
          </w:p>
          <w:p w14:paraId="3E82CAC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7C25DBF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5.在嵌入式操作系统下，能对TV多媒体USB所读取到的文件进行自动归类，可分类查找文档.板书.图片.音视频，检索后可直接在界面中打开。</w:t>
            </w:r>
          </w:p>
          <w:p w14:paraId="2D5F638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七</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触控及交互性能</w:t>
            </w:r>
          </w:p>
          <w:p w14:paraId="0A7662A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1.支持Windows7.Windows8.Windows10.Windows11.Linux.MacOs.UOS和麒麟系统外置电脑操作系统接入时，无需安装触摸驱动。</w:t>
            </w:r>
          </w:p>
          <w:p w14:paraId="1E5A7779">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2.触摸分辨率32768×32768。</w:t>
            </w:r>
          </w:p>
          <w:p w14:paraId="76ECA79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3.整机系统支持书写触控延迟：≤30ms</w:t>
            </w:r>
          </w:p>
          <w:p w14:paraId="2D071CE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4.整机触控书写功能集成预测算法，在书写速度：50cm/s，支持笔迹距离笔的距离小于20mm。</w:t>
            </w:r>
          </w:p>
          <w:p w14:paraId="4EFD6B6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5.触摸响应时间：4ms。</w:t>
            </w:r>
          </w:p>
          <w:p w14:paraId="784D1BB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6.触摸最小识别物：3mm。</w:t>
            </w:r>
          </w:p>
          <w:p w14:paraId="5DFEDC7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7.整机屏幕触摸有效识别高度不超过1.5mm，即触摸物体距离玻璃外表面高度不超过1.5mm时，触摸屏识别为点击操作。</w:t>
            </w:r>
          </w:p>
          <w:p w14:paraId="510C9BB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8.整机支持提笔书写，在Windows系统下可实现无需点击任意功能入口，当检测到红外笔笔尖接触屏幕时，自动进入书写模式。</w:t>
            </w:r>
          </w:p>
          <w:p w14:paraId="2639B24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9.支持同一支笔，笔头.笔尾书写不同的颜色，且颜色可自定义。</w:t>
            </w:r>
          </w:p>
          <w:p w14:paraId="1E3C138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10.整机触摸支持动态压力感应，支持无任何电子功能的普通书写笔在整机上书写或点压时，整机能感应压力变化，书写或点压过程笔迹呈现不同粗细。</w:t>
            </w:r>
          </w:p>
          <w:p w14:paraId="4E5FB508">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11.整机支持手笔分离，通过提笔即写唤醒批注功能后，可进行手笔分离功能，使用笔正常书写，使用手指可以操作应用，进行点击操作。[投标时须提供国家认可的第三方检测机构出具的关于该功能的检测报告复印件]。</w:t>
            </w:r>
          </w:p>
          <w:p w14:paraId="103BC1C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12.支持智能板擦功能，系统可根据触控物体的形状自动识别出实物板擦，可擦除电子白板中的内容，无需依赖外部电子设备。</w:t>
            </w:r>
          </w:p>
          <w:p w14:paraId="3853F0F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13.触摸屏具有防遮挡功能，触摸接收器在单点或多点遮挡后仍能正常书写。</w:t>
            </w:r>
          </w:p>
          <w:p w14:paraId="33EF6A4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八</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教学摄像头设计</w:t>
            </w:r>
          </w:p>
          <w:p w14:paraId="42DE308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1.整机内置摄像头（非外扩），PC通道下支持通过视频展台软件调用摄像头进行二维码扫码识别。具备摄像头工作指示灯，摄像头运行时，有指示灯提示。</w:t>
            </w:r>
          </w:p>
          <w:p w14:paraId="792176A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★2.整机上边框内置非独立摄像头，整机上边框内置非独立式摄像头，摄像头数量≥4个，其中至少四个摄像头像素值均≥1300 万，支持拍摄有效像素数≥5000万的照片，支持拍摄8192×2772分辨率的视频。[投标时须提供国家认可的第三方检测机构出具的关于该功能的检测报告复印件]。</w:t>
            </w:r>
          </w:p>
          <w:p w14:paraId="7CC252A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整机上边框内置非独立式摄像头，其中广角摄像头最大视场角≥145度且水平视场角≥130度，支持输出4:3、16:9比例的图片和视频；在清晰度为3840x2160分辨率下，支持30帧的视频输出，支持3D降噪算法和数字宽动态范围成像WDR技术，支持输出MJPG.H.264视频格式，在1.5m处拍摄ISO12233 8倍大小图卡，边缘和中心的清晰度TV lines 均≥ 1800 lines。[投标时须提供国家认可的第三方检测机构出具的关于该功能的检测报告复印件]。</w:t>
            </w:r>
          </w:p>
          <w:p w14:paraId="441002D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★4.整机具备五个摄像头，支持同时输出5路画面，视频画面覆盖整个教室1.7m-9m处全教室场景图像采集。[投标时须提供国家认可的第三方检测机构出具的关于该功能的检测报告复印件]。</w:t>
            </w:r>
          </w:p>
          <w:p w14:paraId="679ED73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★5.整机内置智能体AI图像生成功能 ，支持通过语音与大屏开展职业主题对话交互。大屏可同步生成对应职业形象，并将其转化为对话智能体实现双向对话交流。[投标时须提供国家认可的第三方检测机构出具的关于该功能的检测报告复印件]。</w:t>
            </w:r>
          </w:p>
          <w:p w14:paraId="34E2B64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6.整机支持通过人脸识别进行登录账号。整机摄像头支持环境色温判断，根据环境调节合适的显示图像效果。</w:t>
            </w:r>
          </w:p>
          <w:p w14:paraId="0CC9291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九</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教学辅助功能</w:t>
            </w:r>
          </w:p>
          <w:p w14:paraId="23E17E8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（一）教学工具栏设计</w:t>
            </w:r>
          </w:p>
          <w:p w14:paraId="508A3E2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1.整机全通道侧边栏快捷菜单包含如下小工具：批注.降半屏.截屏.放大镜.倒计时.日历.聚光灯.秒表.冻屏.倒数日.答题.节拍器。</w:t>
            </w:r>
          </w:p>
          <w:p w14:paraId="6CDF4DE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2.支持分屏模式，将桌面式操作系统显示画面上半部分下拉到显示屏的下半部分显示，此时依然可以正常触控操作桌面式操作系统；点击非桌面式操作系统显示画面区域，即可退出该模式，无需其他设置。</w:t>
            </w:r>
          </w:p>
          <w:p w14:paraId="6B29FC6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3.整机内置硬件自检维护工具，支持对多种模块进行检测和故障问题提示。</w:t>
            </w:r>
          </w:p>
          <w:p w14:paraId="3C41F25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整机安卓和全部外接通道（HDMI.Type-c）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CE374B8">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4.整机全通道侧边栏快捷菜单中应用软件可以进行切换，无需在已经开启的应用软件全屏模式下退出当前应用再选择更换，支持windows应用固定，可将应用固定后，在侧边栏进行快捷打开。</w:t>
            </w:r>
          </w:p>
          <w:p w14:paraId="53C6524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整机内置触摸中控菜单，在整机全信号源通道下通过手势在屏幕上调取该触摸菜单；支持信号源通道切换.护眼.声音调节功能；支持切换智能息屏.经典护眼模式.纸质护眼模式.自动亮度模式；并可支持快捷调节音量.亮度，支持自动亮度模式，支持点击静音按钮静音。</w:t>
            </w:r>
          </w:p>
          <w:p w14:paraId="0133DD9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★6.整机内置手势答题小工具，支持老师在课中发起互动选择题，学生通过手势给出对应答案，通过摄像头进行捕捉和AI识别，最终收集回作答情况，形成课中的互动学情。</w:t>
            </w:r>
          </w:p>
          <w:p w14:paraId="0703944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（二）教学桌面设计</w:t>
            </w:r>
          </w:p>
          <w:p w14:paraId="71921D6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1.整机设备开机启动后，自动进入教学桌面，支持支持通过账号登录.手机扫码登录，登录后可以自动获取并在桌面显示最近使用的教学课件，点击课件可直接进入授课模式。</w:t>
            </w:r>
          </w:p>
          <w:p w14:paraId="426D0EB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2.整机设备可将应用编辑到教学桌面首页，编辑方式支持从教学桌面首页进入编辑，支持在全部应用列表中进入编辑2种方式。教学桌面首页应用支持无需进入应用编辑页面，在首页指定应用上长按进行移除。</w:t>
            </w:r>
          </w:p>
          <w:p w14:paraId="557E37B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3.整机设备教学桌面支持U盘.移动硬盘外接存储设备直接在桌面显示，无需打开文件浏览器即可查看文件列表，并且支持文件打开。支持查看全部文件列表以及按照文档.图片.音视频分类方式查看文件列表。</w:t>
            </w:r>
          </w:p>
          <w:p w14:paraId="74A53FE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4.整机设备教学桌面支持进行通道切换.锁屏.重启.关机操作，且支持进行壁纸编辑，内置10张以上壁纸，支持自定义壁纸。</w:t>
            </w:r>
          </w:p>
          <w:p w14:paraId="4973C09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（三）文件传输功能</w:t>
            </w:r>
          </w:p>
          <w:p w14:paraId="7025766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★1.整机Windows通道支持文件传输应用，支持通过扫码.wifi直联.超声三种方式与手机进行连接，实现文件传输功能。[投标时须提供国家认可的第三方检测机构出具的关于该功能的检测报告复印件]。</w:t>
            </w:r>
          </w:p>
          <w:p w14:paraId="6201F2E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文件传输应用支持多人同时将手机文件传输到整机上；当手机端登录账号与整机一致时，接收文件不需要二次确认，当手机端登录账号与整机不一致时，且距离连接成功或上次传输超过3分钟，则接收文件需要二次确认。</w:t>
            </w:r>
          </w:p>
          <w:p w14:paraId="6C9D386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3.文件传输应用开启后，可自动打开整机热点，并在文件传输应用中显示热点信息，无需手动在设置中查看热点。</w:t>
            </w:r>
          </w:p>
          <w:p w14:paraId="0CD0BEC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4.文件传输应用接收的文件支持单份删除；接收的文件支持手动全部清空，全部清空需要经过二次确认。</w:t>
            </w:r>
          </w:p>
          <w:p w14:paraId="3157F4F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（四）备授课一体化教学软件</w:t>
            </w:r>
          </w:p>
          <w:p w14:paraId="03B7BE0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1.备授课一体化，具有备课模式及授课模式，且内置的操作界面可根据备课和授课使用场景不同而选择。</w:t>
            </w:r>
          </w:p>
          <w:p w14:paraId="39D49F8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2.备课模式工具栏具备自动根据老师账号中关联的学科不同而提供相对应的教学工具。</w:t>
            </w:r>
          </w:p>
          <w:p w14:paraId="6939848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投标时须提供国家检测部门或国家认可的第三方检测机构出具的关于该功能的检测报告或提供相关证明材料]。</w:t>
            </w:r>
          </w:p>
          <w:p w14:paraId="1C56603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p>
          <w:p w14:paraId="5731C4B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5.云教案功能：</w:t>
            </w:r>
          </w:p>
          <w:p w14:paraId="5400549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（1）云教案分享：云教案内容可自动同步至云空间，支持以链接方式进行定向式分享和开放式分享。接收者可直接在桌面浏览器.微信内打开预览，可将运教案转存至个人云空间。</w:t>
            </w:r>
          </w:p>
          <w:p w14:paraId="29D5255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（2）云教案模板：提供教案模板以供老师撰写教案，预置表格式.提纲式.集备式.多课时式等不少于3个教案模板。</w:t>
            </w:r>
          </w:p>
          <w:p w14:paraId="23CDFD2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（3）支持校本教案模板设计，管理员在教研管理后台设置校本模板后，老师可在云教案模板直接调用。</w:t>
            </w:r>
          </w:p>
          <w:p w14:paraId="59B866F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（4）云教案与云课件可一对多关联绑定，产生绑定后，在课件页和教案页均支持在同一面板打开关联的云课件或云教案预览，便于老师备课时相互对照。</w:t>
            </w:r>
          </w:p>
          <w:p w14:paraId="0594AF0F">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6.AI智能生成课堂活动：具有课堂活动智能填写功能，支持选词填空.判断对错和趣味选择三大课堂活动。输入文本后可以一键解析，自动将文本内容结构化填充至题干和正确选项，完成课堂活动的制作。[投标时须提供国家检测部门或国家认可的第三方检测机构出具的关于该功能的检测报告或提供相关证明材料]</w:t>
            </w:r>
          </w:p>
          <w:p w14:paraId="474706F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7.课堂互动游戏支持云储存功能：编辑完成的活动可一键存储至教师云空间，便于在不同课件中直接调用，无需反复编辑。</w:t>
            </w:r>
          </w:p>
          <w:p w14:paraId="2616BA1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p>
          <w:p w14:paraId="2B01C29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9.智能配对游戏：支持创建配对游戏，教师可随意将知识点进行配对。当开始配对游戏时，拖动知识点进行配对，系统将自动判断是否正确。系统至少提供10种游戏模版，且模版样式支持自定义修改，同时支持设置干扰项。</w:t>
            </w:r>
          </w:p>
          <w:p w14:paraId="63589AC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10.分组竞争游戏：支持创建分组竞争游戏，教师可设置正确项／干扰项，让两组学生开展竞争游戏。提供不少于3种难度.10种游戏模版供选择，且模版样式支持自定义修改。支持记录和展示学生作答结果，便于课堂知识点对比讲解。</w:t>
            </w:r>
          </w:p>
          <w:p w14:paraId="05EC21F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11.课件背景：提供：12种以上背景模板供用户选择，持自定义背景。</w:t>
            </w:r>
          </w:p>
          <w:p w14:paraId="7C976B7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12.AI智能英语工具：</w:t>
            </w:r>
          </w:p>
          <w:p w14:paraId="491F406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（1）软件内置的AI智能语义分析模块，可对输入的英文文本的拼写.句型.语法进行错误检查，并支持一键纠错。</w:t>
            </w:r>
          </w:p>
          <w:p w14:paraId="0FA77925">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不少于5种详解页背景模板供选择。</w:t>
            </w:r>
          </w:p>
          <w:p w14:paraId="55AEB01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★（3）AI音标助手：支持浏览和插入国际音标表，可直接点击发音，支持已整表和单个音标卡片插入。支持智能将字母.单词.句子转写为音标，并可一键插入到备课课件中形成文本</w:t>
            </w:r>
          </w:p>
          <w:p w14:paraId="6943AD4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13.快捷抠图：即可在白板软件中对导入的图片进行快捷抠图.去背景，处理后的图片主体边缘没有明显毛边，可导出保存成PNG格式。</w:t>
            </w:r>
          </w:p>
          <w:p w14:paraId="1C24903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14.数学公式编辑器：支持复杂数学公式输入，提供：≥20个数学符号及和：≥15种公式模板，输出的公式内容支持不同颜色标记及二次编辑。</w:t>
            </w:r>
          </w:p>
          <w:p w14:paraId="69B7FA6A">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15.3D星球模型：提供3D立体星球模型，太阳系行星模型：≥4个，支持360°自由旋转.缩放展示；并支持在立体地球模型清晰展现地球表面的六大板块.降水分布.气温分布.气候分布.人口分布.表层洋流.陆地自然带.海平面等压线等内容；且支持三维.二维切换展示，方便地理学科教学。</w:t>
            </w:r>
          </w:p>
          <w:p w14:paraId="50D9F34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16.混合教学功能：</w:t>
            </w:r>
          </w:p>
          <w:p w14:paraId="3D986C9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（1）一键开课：教师可在教室一体机一键开课，开课将进入屏幕共享推流模式。</w:t>
            </w:r>
          </w:p>
          <w:p w14:paraId="71C00A7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（2）课程分发：支持生成课程海报，学生扫描课程海报微信二维码即可加入直播课堂。支持通过行政班级学生名单</w:t>
            </w:r>
          </w:p>
          <w:p w14:paraId="651423AE">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（3）提前预约：在个人电脑提前选择好行政班的学生，到教室后开始直播学生可在手机端远程听课</w:t>
            </w:r>
          </w:p>
          <w:p w14:paraId="2B02E30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连麦互动：在直播课堂中，教师可指定授权学生远程连麦互动，学生视频连麦过程实时同步至班级其他学生，可支持不少于3位学生同时参与远程互动；支持学生端发起举手，教师端在同意后可自动进入连麦互动。</w:t>
            </w:r>
          </w:p>
          <w:p w14:paraId="7832338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17.课堂小测：提供：40000道初中数学试题。</w:t>
            </w:r>
          </w:p>
          <w:p w14:paraId="4153F9E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（1）老师可根据所使用教材版本自由选择人教新版.苏科新版.北师大版.北京课改新版等不同版本试题。</w:t>
            </w:r>
          </w:p>
          <w:p w14:paraId="4E9F8D93">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（2）试题按照教学进度分类，精确到每一章每一节，方便老师查找。</w:t>
            </w:r>
          </w:p>
          <w:p w14:paraId="28FAE5B2">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（3）试题按照使用场景分类，分为课堂小测.课时练习.课后基础.课后提高等，方便老师在不同场景下选择。</w:t>
            </w:r>
          </w:p>
          <w:p w14:paraId="22C0E047">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（4）题目已根据老师使用需要，组成套题，老师可一键批量选择；同时也支持老师自由组题，形成个性化套。</w:t>
            </w:r>
          </w:p>
          <w:p w14:paraId="4252C97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18.表格工具：</w:t>
            </w:r>
          </w:p>
          <w:p w14:paraId="520F6C1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（1）支持老师插入表格，并提供5种以上表格样式供老师选择。</w:t>
            </w:r>
          </w:p>
          <w:p w14:paraId="2D9F159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（2）支持表格自适应，可一键将表格的行.列调整到最合适的大小。</w:t>
            </w:r>
          </w:p>
          <w:p w14:paraId="0926E39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（3）支持表格遮罩功能，可对表格中任意一格添加遮罩，在授课模式下通过点击可消除遮罩，方便老师设置互动活动。</w:t>
            </w:r>
          </w:p>
          <w:p w14:paraId="169279FD">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（4）在授课模式下，支持表格克隆功能，可克隆出多个相同表格，方便老师请多位同学进行答题互动。</w:t>
            </w:r>
          </w:p>
          <w:p w14:paraId="3313A4D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十</w:t>
            </w:r>
            <w:r>
              <w:rPr>
                <w:rFonts w:hint="eastAsia" w:ascii="宋体" w:hAnsi="宋体" w:cs="宋体"/>
                <w:i w:val="0"/>
                <w:iCs w:val="0"/>
                <w:color w:val="auto"/>
                <w:kern w:val="0"/>
                <w:sz w:val="20"/>
                <w:szCs w:val="20"/>
                <w:highlight w:val="none"/>
                <w:u w:val="none"/>
                <w:lang w:val="en-US" w:eastAsia="zh-CN" w:bidi="ar"/>
              </w:rPr>
              <w:t>、</w:t>
            </w:r>
            <w:r>
              <w:rPr>
                <w:rFonts w:hint="default" w:ascii="宋体" w:hAnsi="宋体" w:eastAsia="宋体" w:cs="宋体"/>
                <w:i w:val="0"/>
                <w:iCs w:val="0"/>
                <w:color w:val="auto"/>
                <w:kern w:val="0"/>
                <w:sz w:val="20"/>
                <w:szCs w:val="20"/>
                <w:highlight w:val="none"/>
                <w:u w:val="none"/>
                <w:lang w:val="en-US" w:eastAsia="zh-CN" w:bidi="ar"/>
              </w:rPr>
              <w:t>产品售后保障服务</w:t>
            </w:r>
          </w:p>
          <w:p w14:paraId="51A10BB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1、全国24小时免费400电话保修、二维码扫描保修、区域化驻地技术工程师专线保修。</w:t>
            </w:r>
          </w:p>
          <w:p w14:paraId="1141A834">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2、微信售后报修服务：快速输入相关问题及所在区域进行在线保修，贴心服务人员实时在线提供客服专线报修，更好更快的解决售后故障问题带来的使用不便。</w:t>
            </w:r>
          </w:p>
          <w:p w14:paraId="713389FB">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3、微信问题查询服务：提供八大模块的问题查询及解决方案，现场完成简单故障的快速修复指导。</w:t>
            </w:r>
          </w:p>
          <w:p w14:paraId="7C42C0C6">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十</w:t>
            </w:r>
            <w:r>
              <w:rPr>
                <w:rFonts w:hint="eastAsia" w:ascii="宋体" w:hAnsi="宋体" w:cs="宋体"/>
                <w:i w:val="0"/>
                <w:iCs w:val="0"/>
                <w:color w:val="auto"/>
                <w:kern w:val="0"/>
                <w:sz w:val="20"/>
                <w:szCs w:val="20"/>
                <w:highlight w:val="none"/>
                <w:u w:val="none"/>
                <w:lang w:val="en-US" w:eastAsia="zh-CN" w:bidi="ar"/>
              </w:rPr>
              <w:t>一、</w:t>
            </w:r>
            <w:r>
              <w:rPr>
                <w:rFonts w:hint="default" w:ascii="宋体" w:hAnsi="宋体" w:eastAsia="宋体" w:cs="宋体"/>
                <w:i w:val="0"/>
                <w:iCs w:val="0"/>
                <w:color w:val="auto"/>
                <w:kern w:val="0"/>
                <w:sz w:val="20"/>
                <w:szCs w:val="20"/>
                <w:highlight w:val="none"/>
                <w:u w:val="none"/>
                <w:lang w:val="en-US" w:eastAsia="zh-CN" w:bidi="ar"/>
              </w:rPr>
              <w:t>其他要求</w:t>
            </w:r>
          </w:p>
          <w:p w14:paraId="48C1ADC0">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1、为确保货物质量及原厂品质，中标供应商在正式供货时必须提供生产厂家针对此项目的售后服务保证原件、供货证明原件，否则采购方将不予验收通过。</w:t>
            </w:r>
          </w:p>
          <w:p w14:paraId="2FADF261">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default" w:ascii="宋体" w:hAnsi="宋体" w:eastAsia="宋体" w:cs="宋体"/>
                <w:i w:val="0"/>
                <w:iCs w:val="0"/>
                <w:color w:val="auto"/>
                <w:kern w:val="0"/>
                <w:sz w:val="20"/>
                <w:szCs w:val="20"/>
                <w:highlight w:val="none"/>
                <w:u w:val="none"/>
                <w:lang w:val="en-US" w:eastAsia="zh-CN" w:bidi="ar"/>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07B9BB3C">
            <w:pPr>
              <w:pStyle w:val="8"/>
              <w:spacing w:line="360" w:lineRule="auto"/>
              <w:ind w:left="0" w:leftChars="0" w:firstLine="0" w:firstLineChars="0"/>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3.整机提供六年原厂质保服务</w:t>
            </w:r>
          </w:p>
        </w:tc>
        <w:tc>
          <w:tcPr>
            <w:tcW w:w="483" w:type="dxa"/>
            <w:vAlign w:val="center"/>
          </w:tcPr>
          <w:p w14:paraId="28814967">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4</w:t>
            </w:r>
          </w:p>
        </w:tc>
        <w:tc>
          <w:tcPr>
            <w:tcW w:w="553" w:type="dxa"/>
            <w:vAlign w:val="center"/>
          </w:tcPr>
          <w:p w14:paraId="222C8DA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套</w:t>
            </w:r>
          </w:p>
        </w:tc>
        <w:tc>
          <w:tcPr>
            <w:tcW w:w="1064" w:type="dxa"/>
            <w:shd w:val="clear" w:color="auto" w:fill="auto"/>
            <w:vAlign w:val="center"/>
          </w:tcPr>
          <w:p w14:paraId="55FBA0CD">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28000</w:t>
            </w:r>
          </w:p>
        </w:tc>
        <w:tc>
          <w:tcPr>
            <w:tcW w:w="1064" w:type="dxa"/>
            <w:shd w:val="clear" w:color="auto" w:fill="auto"/>
            <w:vAlign w:val="center"/>
          </w:tcPr>
          <w:p w14:paraId="596E4B1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112000</w:t>
            </w:r>
          </w:p>
        </w:tc>
      </w:tr>
      <w:tr w14:paraId="44D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2CA3D92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2</w:t>
            </w:r>
          </w:p>
        </w:tc>
        <w:tc>
          <w:tcPr>
            <w:tcW w:w="815" w:type="dxa"/>
            <w:shd w:val="clear" w:color="auto" w:fill="auto"/>
            <w:vAlign w:val="center"/>
          </w:tcPr>
          <w:p w14:paraId="6A2A11A1">
            <w:pPr>
              <w:pStyle w:val="12"/>
              <w:spacing w:line="360" w:lineRule="auto"/>
              <w:jc w:val="center"/>
              <w:rPr>
                <w:rFonts w:hint="eastAsia" w:ascii="宋体" w:hAnsi="宋体" w:eastAsia="宋体" w:cs="Times New Roman"/>
                <w:kern w:val="2"/>
                <w:sz w:val="21"/>
                <w:szCs w:val="20"/>
                <w:lang w:val="en-US" w:eastAsia="zh-CN" w:bidi="ar-SA"/>
              </w:rPr>
            </w:pPr>
            <w:r>
              <w:rPr>
                <w:rFonts w:hint="eastAsia" w:ascii="宋体" w:hAnsi="宋体" w:eastAsia="宋体"/>
                <w:szCs w:val="21"/>
                <w:lang w:val="en-US" w:eastAsia="zh-CN"/>
              </w:rPr>
              <w:t>教学电脑</w:t>
            </w:r>
          </w:p>
        </w:tc>
        <w:tc>
          <w:tcPr>
            <w:tcW w:w="6322" w:type="dxa"/>
            <w:shd w:val="clear" w:color="auto" w:fill="auto"/>
            <w:vAlign w:val="center"/>
          </w:tcPr>
          <w:p w14:paraId="142880F5">
            <w:pPr>
              <w:pStyle w:val="12"/>
              <w:spacing w:line="360" w:lineRule="auto"/>
              <w:rPr>
                <w:rFonts w:hint="eastAsia" w:ascii="宋体" w:hAnsi="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一、教研管理平台</w:t>
            </w:r>
          </w:p>
          <w:p w14:paraId="76D91E13">
            <w:pPr>
              <w:pStyle w:val="12"/>
              <w:spacing w:line="360" w:lineRule="auto"/>
              <w:rPr>
                <w:rFonts w:hint="eastAsia" w:ascii="宋体" w:hAnsi="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1.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p>
          <w:p w14:paraId="63A7538A">
            <w:pPr>
              <w:pStyle w:val="12"/>
              <w:spacing w:line="360" w:lineRule="auto"/>
              <w:rPr>
                <w:rFonts w:hint="eastAsia" w:ascii="宋体" w:hAnsi="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2.集体备课数据详情查看：全校集体备课数据统一汇总，支持按照集体备课记录和教师集备记录两个维度查看集备数据。集体备课记录数据包含集备名称.主备人.学科.年级.章节.稿数.参备老师.评论数.批注数等数据，了解集体备课活动的开展和参与情况。</w:t>
            </w:r>
          </w:p>
          <w:p w14:paraId="0DF138DC">
            <w:pPr>
              <w:pStyle w:val="12"/>
              <w:spacing w:line="360" w:lineRule="auto"/>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3.听课评课数据详情：全校听评课数据统一汇总，数据包含全校本月评课节数，本月评课次数，累计评课节数和累计评课次数，了解听评课教研活动的开展情况。支持按评课人数/评课平均分查看全校排行详细数据。[投标时须提供国家认可的第三方检测机构出具的关于该功能的检测报告复印件]。</w:t>
            </w:r>
          </w:p>
          <w:p w14:paraId="65038B70">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二</w:t>
            </w:r>
            <w:r>
              <w:rPr>
                <w:rFonts w:hint="eastAsia" w:ascii="宋体" w:hAnsi="宋体" w:eastAsia="宋体" w:cs="宋体"/>
                <w:i w:val="0"/>
                <w:iCs w:val="0"/>
                <w:color w:val="auto"/>
                <w:kern w:val="0"/>
                <w:sz w:val="20"/>
                <w:szCs w:val="20"/>
                <w:highlight w:val="none"/>
                <w:u w:val="none"/>
                <w:lang w:val="en-US" w:eastAsia="zh-CN" w:bidi="ar"/>
              </w:rPr>
              <w:t>、终端硬件参数</w:t>
            </w:r>
          </w:p>
          <w:p w14:paraId="6FC80D69">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1.CPU：</w:t>
            </w:r>
            <w:r>
              <w:rPr>
                <w:rFonts w:hint="eastAsia" w:ascii="宋体" w:hAnsi="宋体" w:cs="宋体"/>
                <w:i w:val="0"/>
                <w:iCs w:val="0"/>
                <w:color w:val="auto"/>
                <w:kern w:val="0"/>
                <w:sz w:val="20"/>
                <w:szCs w:val="20"/>
                <w:highlight w:val="none"/>
                <w:u w:val="none"/>
                <w:lang w:val="en-US" w:eastAsia="zh-CN" w:bidi="ar"/>
              </w:rPr>
              <w:t>要求国产系列CPU，</w:t>
            </w:r>
            <w:r>
              <w:rPr>
                <w:rFonts w:hint="eastAsia" w:ascii="宋体" w:hAnsi="宋体" w:eastAsia="宋体" w:cs="宋体"/>
                <w:i w:val="0"/>
                <w:iCs w:val="0"/>
                <w:color w:val="auto"/>
                <w:kern w:val="0"/>
                <w:sz w:val="20"/>
                <w:szCs w:val="20"/>
                <w:highlight w:val="none"/>
                <w:u w:val="none"/>
                <w:lang w:val="en-US" w:eastAsia="zh-CN" w:bidi="ar"/>
              </w:rPr>
              <w:t xml:space="preserve">主频≥3.0GHz </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≥8核处理器</w:t>
            </w:r>
            <w:r>
              <w:rPr>
                <w:rFonts w:hint="eastAsia" w:ascii="宋体" w:hAnsi="宋体"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≥16线程，三级缓存≥16MB。</w:t>
            </w:r>
            <w:bookmarkStart w:id="0" w:name="_GoBack"/>
            <w:bookmarkEnd w:id="0"/>
          </w:p>
          <w:p w14:paraId="7C9EFFF2">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 内存：8GB DDR4 3200MT/s 内存或以上。</w:t>
            </w:r>
          </w:p>
          <w:p w14:paraId="139DA3BF">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 硬盘：≥512GB M.2 NVMe SSD硬盘，支持拓展机械硬盘。</w:t>
            </w:r>
          </w:p>
          <w:p w14:paraId="43937A57">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4.支持拓展9.5mm标准光驱。</w:t>
            </w:r>
          </w:p>
          <w:p w14:paraId="20D6777C">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5.支持1000Mbps。网口支持wake on LAN。</w:t>
            </w:r>
          </w:p>
          <w:p w14:paraId="1BA0D6BF">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 集成标准声卡。</w:t>
            </w:r>
          </w:p>
          <w:p w14:paraId="0D5ED08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 USB有线键盘、鼠标。</w:t>
            </w:r>
          </w:p>
          <w:p w14:paraId="41AD191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8.前置面板：USB3.0≥2个；USB2.0≥4个；TypeC≥1个；四段式耳麦接口≥1个（支持耳机麦克风二合一）；三段式麦克风接口≥1</w:t>
            </w:r>
          </w:p>
          <w:p w14:paraId="7984CCC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9.后置面板：USB3.0≥7个；音频输入≥2个；音频输出≥1个；RJ45≥1个；串口≥1个。</w:t>
            </w:r>
          </w:p>
          <w:p w14:paraId="058CBF64">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10.独立显卡：≥2G。</w:t>
            </w:r>
          </w:p>
          <w:p w14:paraId="0DFB0790">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11.内部插槽：PCIEX16≥2个（支持拓展独立显卡）；PCIEX8≥1个；PCIEX1≥1个；M.2≥1个；SATA≥4个。</w:t>
            </w:r>
          </w:p>
          <w:p w14:paraId="145E1D6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12.机箱体积：≤15L。</w:t>
            </w:r>
          </w:p>
          <w:p w14:paraId="19A11C4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13.电源功率：≤300W。</w:t>
            </w:r>
          </w:p>
          <w:p w14:paraId="0F2A578C">
            <w:pPr>
              <w:pStyle w:val="12"/>
              <w:spacing w:line="360" w:lineRule="auto"/>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14.操作系统：配备正版国产操作系统。</w:t>
            </w:r>
          </w:p>
          <w:p w14:paraId="50E5B68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三</w:t>
            </w:r>
            <w:r>
              <w:rPr>
                <w:rFonts w:hint="eastAsia" w:ascii="宋体" w:hAnsi="宋体" w:eastAsia="宋体" w:cs="宋体"/>
                <w:i w:val="0"/>
                <w:iCs w:val="0"/>
                <w:color w:val="auto"/>
                <w:kern w:val="0"/>
                <w:sz w:val="20"/>
                <w:szCs w:val="20"/>
                <w:highlight w:val="none"/>
                <w:u w:val="none"/>
                <w:lang w:val="en-US" w:eastAsia="zh-CN" w:bidi="ar"/>
              </w:rPr>
              <w:t>、终端应用软件</w:t>
            </w:r>
          </w:p>
          <w:p w14:paraId="6F99EC14">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支持设备功能，支持展示当前设备的硬件信息和系统信息。支持查看硬件信息包括：CPU、主板、显卡、硬盘、显示器、网卡、声卡。支持查看系统信息，包括：操作系统、系统激活状态、连接ID、SN号、MAC地址、内外网IP。</w:t>
            </w:r>
          </w:p>
          <w:p w14:paraId="5249057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2.支持查看设备运行状态，包含当前设备内存、CPU使用率、硬盘、系统盘和网速信息。</w:t>
            </w:r>
          </w:p>
          <w:p w14:paraId="1ABE4902">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47C7E194">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4.支持查看当前学校的电脑列表，包括电脑设备状态、归属用户、操作系统、IP地址、上线时间与最后在线时；支持对设备进行分组管理；支持通过设备名称与归属用户进行搜索。</w:t>
            </w:r>
          </w:p>
          <w:p w14:paraId="5DA229B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5.支持查看单个电脑的硬件信息与系统信息。</w:t>
            </w:r>
          </w:p>
          <w:p w14:paraId="7798AB64">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6.支持对单个电脑或批量设备下发关机与重启指令、移动分组、移除设备。</w:t>
            </w:r>
          </w:p>
          <w:p w14:paraId="4527D0D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7.支持展示电脑实时的数据信息，包括CPU、内存、系统盘、总存储、实时网速数据信息，离线的设备展示最后的数据信息。</w:t>
            </w:r>
          </w:p>
          <w:p w14:paraId="464E4EF6">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8.支持在统信系统与麒麟系统使用</w:t>
            </w:r>
          </w:p>
          <w:p w14:paraId="496E4789">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148A4A9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★10.支持一次发送文件给不同的接收端设备。接收端离线时文件能够暂存在云端，接收端设备在线后支持进行自动下载。（投标时须提供国家认可的第三方检测机构出具的关于该功能检测报告复印件）</w:t>
            </w:r>
          </w:p>
          <w:p w14:paraId="6D51BAFA">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★11.支持发送端发的文件在windows、统信系统、麒麟系统的接收端接收文件。（投标时须提供国家认可的第三方检测机构出具的关于该功能检测报告复印件）</w:t>
            </w:r>
          </w:p>
          <w:p w14:paraId="0AA9840B">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2A19F989">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7B7105E2">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6F6D046F">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15.支持在线对PDF的文件进行转换格式，支持转换格式为XLSX、DOCX、PPT；转换后文件内容的排布与源PDF保持一致；PDF文件转换后支持下载文件至电脑本地，支持对转换后的文件进行编辑，包括编辑文本、编辑表格、编辑图片。（投标时须提供国家认可的第三方检测机构出具的关于该功能检测报告复印件）</w:t>
            </w:r>
          </w:p>
          <w:p w14:paraId="08C75DA0">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★16.支持输入主题一键生成活动感想、发言稿、活动策划；支持选择生成的文字数量。（投标时须提供国家认可的第三方检测机构出具的关于该功能检测报告复印件）</w:t>
            </w:r>
          </w:p>
          <w:p w14:paraId="7C224A61">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四</w:t>
            </w:r>
            <w:r>
              <w:rPr>
                <w:rFonts w:hint="eastAsia" w:ascii="宋体" w:hAnsi="宋体" w:eastAsia="宋体" w:cs="宋体"/>
                <w:i w:val="0"/>
                <w:iCs w:val="0"/>
                <w:color w:val="auto"/>
                <w:kern w:val="0"/>
                <w:sz w:val="20"/>
                <w:szCs w:val="20"/>
                <w:highlight w:val="none"/>
                <w:u w:val="none"/>
                <w:lang w:val="en-US" w:eastAsia="zh-CN" w:bidi="ar"/>
              </w:rPr>
              <w:t>、显示器配置</w:t>
            </w:r>
          </w:p>
          <w:p w14:paraId="68D30A90">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1.显示器采用≥23.8英寸显示屏幕，分辨率≥1920*1080，IPS屏；屏占比≥92%；屏幕亮度≥300cd/m2。</w:t>
            </w:r>
          </w:p>
          <w:p w14:paraId="3B6B6109">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★2.显示屏幕色域覆盖率≥90%（DCI-P3 CIE1976），≥99%（sRGB CIE1976）。（投标时须提供国家认可的第三方检测机构出具的关于该功能检测报告复印件）</w:t>
            </w:r>
          </w:p>
          <w:p w14:paraId="7BC2768C">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3.对比度≥1000:1，屏幕刷新率≥100Hz，灰阶响应时间≤7ms。</w:t>
            </w:r>
          </w:p>
          <w:p w14:paraId="1E33D021">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★4.显示屏分别提供标准模式、炫彩模式、护眼模式、阅读模式选项。（投标时须提供国家认可的第三方检测机构出具的关于该功能检测报告复印件）</w:t>
            </w:r>
          </w:p>
          <w:p w14:paraId="1AE839A2">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5.蓝光危害级别为RG0(Exempt,豁免级)，蓝光加权辐射亮度比BR≤0.0010W·cd-1·sr-1)。</w:t>
            </w:r>
          </w:p>
          <w:p w14:paraId="60117C4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★6.具备硬件低蓝光，获得TUV硬件低蓝光认证；具备无频闪，获得TUV无频闪认证。</w:t>
            </w:r>
          </w:p>
          <w:p w14:paraId="574A885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★7.具备自动重置功能，长按特定实体按键3s可自动重置显示参数。（投标时须提供国家认可的第三方检测机构出具的关于该功能检测报告复印件）</w:t>
            </w:r>
          </w:p>
          <w:p w14:paraId="789B4332">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8.具备信号自动识别功能，可根据接入的HDMI/VGA接口自动识别信号输入，无需手动调节输入通道。</w:t>
            </w:r>
          </w:p>
          <w:p w14:paraId="463F1100">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9.支持VGA≥1，HDMI≥1。</w:t>
            </w:r>
          </w:p>
          <w:p w14:paraId="58C3D5DA">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cs="宋体"/>
                <w:i w:val="0"/>
                <w:iCs w:val="0"/>
                <w:color w:val="auto"/>
                <w:kern w:val="0"/>
                <w:sz w:val="20"/>
                <w:szCs w:val="20"/>
                <w:highlight w:val="none"/>
                <w:u w:val="none"/>
                <w:lang w:val="en-US" w:eastAsia="zh-CN" w:bidi="ar"/>
              </w:rPr>
              <w:t>五</w:t>
            </w:r>
            <w:r>
              <w:rPr>
                <w:rFonts w:hint="eastAsia" w:ascii="宋体" w:hAnsi="宋体" w:eastAsia="宋体" w:cs="宋体"/>
                <w:i w:val="0"/>
                <w:iCs w:val="0"/>
                <w:color w:val="auto"/>
                <w:kern w:val="0"/>
                <w:sz w:val="20"/>
                <w:szCs w:val="20"/>
                <w:highlight w:val="none"/>
                <w:u w:val="none"/>
                <w:lang w:val="en-US" w:eastAsia="zh-CN" w:bidi="ar"/>
              </w:rPr>
              <w:t>、其他要求</w:t>
            </w:r>
          </w:p>
          <w:p w14:paraId="69133E96">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1.为了保障设备品质及服务，设备生产厂家须通过以下认证，符合GB/T 27922-2011售后服务评价体系标准，不低于十星级售后服务认证，供货时须提供相关证明材料。</w:t>
            </w:r>
          </w:p>
          <w:p w14:paraId="554313FE">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2.为确保货物质量及原厂品质，中标供应商在正式供货时必须提供生产厂家针对此项目的售后服务保证原件、供货证明原件，否则采购方将不予验收通过。</w:t>
            </w:r>
          </w:p>
          <w:p w14:paraId="4297EA19">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3.为了确保教育数据托付管理能力、存储能力及信息安全能力，所投产品生产厂家通过GB/T36073-2018《数据管理能力成熟度评估模型》认定，供货时须提供相关证明材料。</w:t>
            </w:r>
          </w:p>
          <w:p w14:paraId="7B8E3EE3">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4.根据市场需求持续进行软件开发、更新、维护，能出具SPCA软件能力成熟度模型等级3级或以上证书复印件的，供货时须提供相关证明材料。</w:t>
            </w:r>
          </w:p>
          <w:p w14:paraId="273A02CC">
            <w:pPr>
              <w:pStyle w:val="12"/>
              <w:spacing w:line="360" w:lineRule="auto"/>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5.电脑售后服务要求质保3年。</w:t>
            </w:r>
          </w:p>
        </w:tc>
        <w:tc>
          <w:tcPr>
            <w:tcW w:w="483" w:type="dxa"/>
            <w:vAlign w:val="center"/>
          </w:tcPr>
          <w:p w14:paraId="2EBCCC6C">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10</w:t>
            </w:r>
          </w:p>
        </w:tc>
        <w:tc>
          <w:tcPr>
            <w:tcW w:w="553" w:type="dxa"/>
            <w:vAlign w:val="center"/>
          </w:tcPr>
          <w:p w14:paraId="37E9AD8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台</w:t>
            </w:r>
          </w:p>
        </w:tc>
        <w:tc>
          <w:tcPr>
            <w:tcW w:w="1064" w:type="dxa"/>
            <w:vAlign w:val="center"/>
          </w:tcPr>
          <w:p w14:paraId="4C438B2A">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6000</w:t>
            </w:r>
          </w:p>
        </w:tc>
        <w:tc>
          <w:tcPr>
            <w:tcW w:w="1064" w:type="dxa"/>
            <w:vAlign w:val="center"/>
          </w:tcPr>
          <w:p w14:paraId="2A3D3148">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60000</w:t>
            </w:r>
          </w:p>
        </w:tc>
      </w:tr>
      <w:tr w14:paraId="00D9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499" w:type="dxa"/>
            <w:vAlign w:val="center"/>
          </w:tcPr>
          <w:p w14:paraId="4FF1B616">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815" w:type="dxa"/>
            <w:shd w:val="clear" w:color="auto" w:fill="auto"/>
            <w:vAlign w:val="center"/>
          </w:tcPr>
          <w:p w14:paraId="3FD19C89">
            <w:pPr>
              <w:pStyle w:val="12"/>
              <w:spacing w:line="360" w:lineRule="auto"/>
              <w:jc w:val="center"/>
              <w:rPr>
                <w:rFonts w:hint="default" w:ascii="宋体" w:hAnsi="宋体" w:eastAsia="宋体" w:cs="Times New Roman"/>
                <w:kern w:val="2"/>
                <w:sz w:val="21"/>
                <w:szCs w:val="20"/>
                <w:lang w:val="en-US" w:eastAsia="zh-CN" w:bidi="ar-SA"/>
              </w:rPr>
            </w:pPr>
            <w:r>
              <w:rPr>
                <w:rFonts w:hint="eastAsia" w:ascii="宋体" w:hAnsi="宋体" w:cs="Times New Roman"/>
                <w:kern w:val="2"/>
                <w:sz w:val="21"/>
                <w:szCs w:val="20"/>
                <w:lang w:val="en-US" w:eastAsia="zh-CN" w:bidi="ar-SA"/>
              </w:rPr>
              <w:t>合计</w:t>
            </w:r>
          </w:p>
        </w:tc>
        <w:tc>
          <w:tcPr>
            <w:tcW w:w="6322" w:type="dxa"/>
            <w:shd w:val="clear" w:color="auto" w:fill="auto"/>
            <w:vAlign w:val="center"/>
          </w:tcPr>
          <w:p w14:paraId="5AF0FFC8">
            <w:pPr>
              <w:pStyle w:val="12"/>
              <w:spacing w:line="360" w:lineRule="auto"/>
              <w:rPr>
                <w:rFonts w:hint="default" w:ascii="宋体" w:hAnsi="宋体" w:cs="Times New Roman"/>
                <w:kern w:val="2"/>
                <w:sz w:val="21"/>
                <w:szCs w:val="20"/>
                <w:lang w:val="en-US" w:eastAsia="zh-CN" w:bidi="ar-SA"/>
              </w:rPr>
            </w:pPr>
          </w:p>
        </w:tc>
        <w:tc>
          <w:tcPr>
            <w:tcW w:w="483" w:type="dxa"/>
            <w:vAlign w:val="center"/>
          </w:tcPr>
          <w:p w14:paraId="6C67B09D">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553" w:type="dxa"/>
            <w:vAlign w:val="center"/>
          </w:tcPr>
          <w:p w14:paraId="4C0ECC53">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eastAsia" w:hAnsi="宋体" w:cs="宋体"/>
                <w:b w:val="0"/>
                <w:bCs w:val="0"/>
                <w:color w:val="000000"/>
                <w:sz w:val="18"/>
                <w:szCs w:val="18"/>
                <w:lang w:val="en-US" w:eastAsia="zh-CN"/>
              </w:rPr>
            </w:pPr>
          </w:p>
        </w:tc>
        <w:tc>
          <w:tcPr>
            <w:tcW w:w="1064" w:type="dxa"/>
            <w:vAlign w:val="center"/>
          </w:tcPr>
          <w:p w14:paraId="2275800E">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p>
        </w:tc>
        <w:tc>
          <w:tcPr>
            <w:tcW w:w="1064" w:type="dxa"/>
            <w:vAlign w:val="center"/>
          </w:tcPr>
          <w:p w14:paraId="09A57154">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val="0"/>
                <w:bCs w:val="0"/>
                <w:color w:val="000000"/>
                <w:sz w:val="18"/>
                <w:szCs w:val="18"/>
                <w:lang w:val="en-US" w:eastAsia="zh-CN"/>
              </w:rPr>
              <w:t>172000</w:t>
            </w:r>
          </w:p>
        </w:tc>
      </w:tr>
    </w:tbl>
    <w:p w14:paraId="4FED2497"/>
    <w:p w14:paraId="7F3DBD0E"/>
    <w:p w14:paraId="2B2A3788">
      <w:pPr>
        <w:rPr>
          <w:rFonts w:hint="eastAsia" w:eastAsiaTheme="minorEastAsia"/>
          <w:lang w:val="en-US" w:eastAsia="zh-CN"/>
        </w:rPr>
      </w:pPr>
    </w:p>
    <w:tbl>
      <w:tblPr>
        <w:tblStyle w:val="9"/>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8135"/>
      </w:tblGrid>
      <w:tr w14:paraId="3BB8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9922" w:type="dxa"/>
            <w:gridSpan w:val="2"/>
            <w:vAlign w:val="center"/>
          </w:tcPr>
          <w:p w14:paraId="64DBA9FF">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hAnsi="宋体" w:cs="宋体"/>
                <w:b w:val="0"/>
                <w:bCs w:val="0"/>
                <w:color w:val="000000"/>
                <w:sz w:val="18"/>
                <w:szCs w:val="18"/>
                <w:lang w:val="en-US" w:eastAsia="zh-CN"/>
              </w:rPr>
            </w:pPr>
            <w:r>
              <w:rPr>
                <w:rFonts w:hint="eastAsia" w:hAnsi="宋体" w:cs="宋体"/>
                <w:b/>
                <w:bCs/>
                <w:color w:val="000000"/>
                <w:sz w:val="24"/>
                <w:szCs w:val="24"/>
                <w:lang w:val="en-US" w:eastAsia="zh-CN"/>
              </w:rPr>
              <w:t>商务条款</w:t>
            </w:r>
          </w:p>
        </w:tc>
      </w:tr>
      <w:tr w14:paraId="799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5893AF70">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售后服务要求及免费保修期</w:t>
            </w:r>
          </w:p>
        </w:tc>
        <w:tc>
          <w:tcPr>
            <w:tcW w:w="8135" w:type="dxa"/>
            <w:vAlign w:val="center"/>
          </w:tcPr>
          <w:p w14:paraId="249EC59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FF0000"/>
                <w:kern w:val="0"/>
                <w:sz w:val="20"/>
                <w:szCs w:val="20"/>
                <w:highlight w:val="yellow"/>
                <w:u w:val="none"/>
                <w:lang w:val="en-US" w:eastAsia="zh-CN" w:bidi="ar"/>
              </w:rPr>
              <w:t>1.免费质保期：按国家有关产品“三包”规定执行“三包”；所投交互智能平板产品提供原厂质保期最短不得少于6年；所投教学电脑产品提供原厂质保期最短不得少于3年(自货物验收合格之日起计算)。</w:t>
            </w:r>
            <w:r>
              <w:rPr>
                <w:rFonts w:hint="eastAsia" w:ascii="宋体" w:hAnsi="宋体" w:eastAsia="宋体" w:cs="宋体"/>
                <w:i w:val="0"/>
                <w:iCs w:val="0"/>
                <w:color w:val="auto"/>
                <w:kern w:val="0"/>
                <w:sz w:val="20"/>
                <w:szCs w:val="20"/>
                <w:u w:val="none"/>
                <w:lang w:val="en-US" w:eastAsia="zh-CN" w:bidi="ar"/>
              </w:rPr>
              <w:t>免费送货上门、安装、调试合格。</w:t>
            </w:r>
          </w:p>
          <w:p w14:paraId="082F756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2.质保期内免费维修、更换配件，提供免费上门服务。</w:t>
            </w:r>
          </w:p>
          <w:p w14:paraId="06CF9287">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3.设备如出现故障接到用户通知后在2小时内响应，12小时内上门服务，24小时内解决故障；未能在规定时间内排除故障的，必须在48小时内提供同档次的备用机。</w:t>
            </w:r>
          </w:p>
          <w:p w14:paraId="6274F7E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4.免费提供现场技术培训，保证使用人员正常操作系统的各项功能。</w:t>
            </w:r>
          </w:p>
        </w:tc>
      </w:tr>
      <w:tr w14:paraId="154B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787" w:type="dxa"/>
            <w:vAlign w:val="center"/>
          </w:tcPr>
          <w:p w14:paraId="08B579C4">
            <w:pPr>
              <w:widowControl/>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交付使用时间及地点</w:t>
            </w:r>
          </w:p>
        </w:tc>
        <w:tc>
          <w:tcPr>
            <w:tcW w:w="8135" w:type="dxa"/>
            <w:vAlign w:val="center"/>
          </w:tcPr>
          <w:p w14:paraId="76EE011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1.交货时间：交互智能平板 自合同签订之日起</w:t>
            </w:r>
            <w:r>
              <w:rPr>
                <w:rFonts w:hint="eastAsia" w:ascii="宋体" w:hAnsi="宋体" w:eastAsia="宋体" w:cs="宋体"/>
                <w:i w:val="0"/>
                <w:iCs w:val="0"/>
                <w:color w:val="FF0000"/>
                <w:kern w:val="0"/>
                <w:sz w:val="20"/>
                <w:szCs w:val="20"/>
                <w:highlight w:val="yellow"/>
                <w:u w:val="none"/>
                <w:lang w:val="en-US" w:eastAsia="zh-CN" w:bidi="ar"/>
              </w:rPr>
              <w:t>10个工作日</w:t>
            </w:r>
            <w:r>
              <w:rPr>
                <w:rFonts w:hint="eastAsia" w:ascii="宋体" w:hAnsi="宋体" w:eastAsia="宋体" w:cs="宋体"/>
                <w:i w:val="0"/>
                <w:iCs w:val="0"/>
                <w:color w:val="auto"/>
                <w:kern w:val="0"/>
                <w:sz w:val="20"/>
                <w:szCs w:val="20"/>
                <w:u w:val="none"/>
                <w:lang w:val="en-US" w:eastAsia="zh-CN" w:bidi="ar"/>
              </w:rPr>
              <w:t>内交货，教学电脑 自合同签订之日起</w:t>
            </w:r>
            <w:r>
              <w:rPr>
                <w:rFonts w:hint="eastAsia" w:ascii="宋体" w:hAnsi="宋体" w:eastAsia="宋体" w:cs="宋体"/>
                <w:i w:val="0"/>
                <w:iCs w:val="0"/>
                <w:color w:val="FF0000"/>
                <w:kern w:val="0"/>
                <w:sz w:val="20"/>
                <w:szCs w:val="20"/>
                <w:highlight w:val="yellow"/>
                <w:u w:val="none"/>
                <w:lang w:val="en-US" w:eastAsia="zh-CN" w:bidi="ar"/>
              </w:rPr>
              <w:t>15个工作日</w:t>
            </w:r>
            <w:r>
              <w:rPr>
                <w:rFonts w:hint="eastAsia" w:ascii="宋体" w:hAnsi="宋体" w:eastAsia="宋体" w:cs="宋体"/>
                <w:i w:val="0"/>
                <w:iCs w:val="0"/>
                <w:color w:val="auto"/>
                <w:kern w:val="0"/>
                <w:sz w:val="20"/>
                <w:szCs w:val="20"/>
                <w:u w:val="none"/>
                <w:lang w:val="en-US" w:eastAsia="zh-CN" w:bidi="ar"/>
              </w:rPr>
              <w:t>内交货，接到采购人安装</w:t>
            </w:r>
            <w:r>
              <w:rPr>
                <w:rFonts w:hint="eastAsia" w:ascii="宋体" w:hAnsi="宋体" w:eastAsia="宋体" w:cs="宋体"/>
                <w:i w:val="0"/>
                <w:iCs w:val="0"/>
                <w:color w:val="FF0000"/>
                <w:kern w:val="0"/>
                <w:sz w:val="20"/>
                <w:szCs w:val="20"/>
                <w:highlight w:val="yellow"/>
                <w:u w:val="none"/>
                <w:lang w:val="en-US" w:eastAsia="zh-CN" w:bidi="ar"/>
              </w:rPr>
              <w:t>通知后5日内</w:t>
            </w:r>
            <w:r>
              <w:rPr>
                <w:rFonts w:hint="eastAsia" w:ascii="宋体" w:hAnsi="宋体" w:eastAsia="宋体" w:cs="宋体"/>
                <w:i w:val="0"/>
                <w:iCs w:val="0"/>
                <w:color w:val="auto"/>
                <w:kern w:val="0"/>
                <w:sz w:val="20"/>
                <w:szCs w:val="20"/>
                <w:u w:val="none"/>
                <w:lang w:val="en-US" w:eastAsia="zh-CN" w:bidi="ar"/>
              </w:rPr>
              <w:t>安装调试完毕交付使用。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2.交货地点：广西桂林市采购人指定地点。</w:t>
            </w:r>
          </w:p>
        </w:tc>
      </w:tr>
      <w:tr w14:paraId="7B20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1787" w:type="dxa"/>
            <w:vAlign w:val="center"/>
          </w:tcPr>
          <w:p w14:paraId="32E2B224">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付款方式</w:t>
            </w:r>
          </w:p>
        </w:tc>
        <w:tc>
          <w:tcPr>
            <w:tcW w:w="8135" w:type="dxa"/>
            <w:vAlign w:val="center"/>
          </w:tcPr>
          <w:p w14:paraId="38137030">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本项目无预付款，在货物安装验收合格及设备正常使用后60日内支付合同金额给成交供应商。</w:t>
            </w:r>
          </w:p>
        </w:tc>
      </w:tr>
      <w:tr w14:paraId="5CE1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787" w:type="dxa"/>
            <w:vAlign w:val="center"/>
          </w:tcPr>
          <w:p w14:paraId="1A1CA7D8">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验收标准</w:t>
            </w:r>
          </w:p>
        </w:tc>
        <w:tc>
          <w:tcPr>
            <w:tcW w:w="8135" w:type="dxa"/>
            <w:vAlign w:val="center"/>
          </w:tcPr>
          <w:p w14:paraId="226AED72">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14:paraId="19DEC8A8">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2.本项目的货物必须是原装正品行货、全新未开封的、符合国家标准的产品， 中标供应商按采购人的要求地址进行送货到位，验收时货物有不响应采购需求的，不予验收，采购人将报同级财政监督管理部门进行处理， 由此导致整批货物被拒收或索赔而引发的所有损失由中标供应商承担。</w:t>
            </w:r>
          </w:p>
          <w:p w14:paraId="5E2784F4">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3.备品备件及耗材等要求：本项目采购的全部设备和零部件、配件及安装材料必须是未经使用的、全新的，并符合国家相关质量标准的。</w:t>
            </w:r>
          </w:p>
          <w:p w14:paraId="7AFFBE2C">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4.产品属于国家强制标准要求的，必须提供产品相应符合标准证明材料。</w:t>
            </w:r>
          </w:p>
          <w:p w14:paraId="37202DEF">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5.凡要求中标人提供性能参数承诺函及相关检测报告的，验收时按承诺函中性能 参数标定及相关检测报告标准进行验收。</w:t>
            </w:r>
          </w:p>
          <w:p w14:paraId="60D8E3E1">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6.验收过程中，如采购人觉得有必要，可以邀请有资质的第三方检测机构对中标供应商提供的产品进行检测，费用由中标供应商负担。</w:t>
            </w:r>
          </w:p>
        </w:tc>
      </w:tr>
      <w:tr w14:paraId="0085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1787" w:type="dxa"/>
            <w:vAlign w:val="center"/>
          </w:tcPr>
          <w:p w14:paraId="5B687990">
            <w:pPr>
              <w:widowControl/>
              <w:spacing w:line="360" w:lineRule="auto"/>
              <w:jc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其他要求</w:t>
            </w:r>
          </w:p>
        </w:tc>
        <w:tc>
          <w:tcPr>
            <w:tcW w:w="8135" w:type="dxa"/>
            <w:vAlign w:val="center"/>
          </w:tcPr>
          <w:p w14:paraId="3330454D">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1.为确保货物质量及原厂品质，中标供应商在正式供货时必须提供生产厂家针对此项目的售后服务保证原件（加盖厂家公章）、供货证明原件（加盖厂家公章），否则采购方将不予验收通过。</w:t>
            </w:r>
          </w:p>
          <w:p w14:paraId="7E965D93">
            <w:pPr>
              <w:widowControl/>
              <w:spacing w:line="360" w:lineRule="auto"/>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2.报价时须上传采购需求文件中要求提供的相关证明文件，并通过采购人审核通过，如果没有上传相关证明材料或提供的证明材料不符合要求，则视为投标报价无效。</w:t>
            </w:r>
          </w:p>
          <w:p w14:paraId="47469329">
            <w:pPr>
              <w:widowControl/>
              <w:spacing w:line="360" w:lineRule="auto"/>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3.本项目货物不接受进口产品（即通过中国海关报关验放进入中国境内且产自关境外的产品）参与投标。</w:t>
            </w:r>
          </w:p>
        </w:tc>
      </w:tr>
    </w:tbl>
    <w:p w14:paraId="18C6BE8E">
      <w:pPr>
        <w:pStyle w:val="3"/>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YzY5MjFhNjIwZjQyMDY1N2M3MGE5MDQwMTZjOTcifQ=="/>
  </w:docVars>
  <w:rsids>
    <w:rsidRoot w:val="3C6F109E"/>
    <w:rsid w:val="13515C6D"/>
    <w:rsid w:val="18956BD8"/>
    <w:rsid w:val="199FF4AF"/>
    <w:rsid w:val="1D305121"/>
    <w:rsid w:val="1EFE5577"/>
    <w:rsid w:val="22A77C33"/>
    <w:rsid w:val="26B801AB"/>
    <w:rsid w:val="2DFF6B75"/>
    <w:rsid w:val="354E5181"/>
    <w:rsid w:val="3C6F109E"/>
    <w:rsid w:val="3CAA5093"/>
    <w:rsid w:val="3CCF6877"/>
    <w:rsid w:val="3EB33737"/>
    <w:rsid w:val="3FEF095B"/>
    <w:rsid w:val="41ED0B1F"/>
    <w:rsid w:val="42707E35"/>
    <w:rsid w:val="4668275D"/>
    <w:rsid w:val="4C833181"/>
    <w:rsid w:val="4D6640C3"/>
    <w:rsid w:val="5778511F"/>
    <w:rsid w:val="5E225DE5"/>
    <w:rsid w:val="5F6670A3"/>
    <w:rsid w:val="5FE5531C"/>
    <w:rsid w:val="6198032E"/>
    <w:rsid w:val="682922CA"/>
    <w:rsid w:val="6F272038"/>
    <w:rsid w:val="701658F3"/>
    <w:rsid w:val="706E4EB9"/>
    <w:rsid w:val="73FF294F"/>
    <w:rsid w:val="752F0D63"/>
    <w:rsid w:val="759E37A9"/>
    <w:rsid w:val="769E33FF"/>
    <w:rsid w:val="77CA3C95"/>
    <w:rsid w:val="77EA1604"/>
    <w:rsid w:val="77FF3ADF"/>
    <w:rsid w:val="79956BE2"/>
    <w:rsid w:val="7BB340C8"/>
    <w:rsid w:val="7E427D0F"/>
    <w:rsid w:val="7FEDBF36"/>
    <w:rsid w:val="9FFB3915"/>
    <w:rsid w:val="DAAF2B3C"/>
    <w:rsid w:val="E9BF98DC"/>
    <w:rsid w:val="EFE70632"/>
    <w:rsid w:val="F3F27110"/>
    <w:rsid w:val="F9FE4F3C"/>
    <w:rsid w:val="FDFEDCEA"/>
    <w:rsid w:val="FE3FD4AA"/>
    <w:rsid w:val="FFD318E2"/>
    <w:rsid w:val="FFFF8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0"/>
    <w:pPr>
      <w:adjustRightInd w:val="0"/>
      <w:snapToGrid w:val="0"/>
      <w:spacing w:line="360" w:lineRule="atLeast"/>
      <w:ind w:firstLine="640" w:firstLineChars="200"/>
    </w:pPr>
    <w:rPr>
      <w:rFonts w:ascii="Arial" w:hAnsi="Arial"/>
    </w:rPr>
  </w:style>
  <w:style w:type="paragraph" w:styleId="7">
    <w:name w:val="Plain Text"/>
    <w:basedOn w:val="1"/>
    <w:qFormat/>
    <w:uiPriority w:val="0"/>
    <w:rPr>
      <w:rFonts w:ascii="宋体" w:hAnsi="Courier New"/>
      <w:szCs w:val="20"/>
    </w:rPr>
  </w:style>
  <w:style w:type="paragraph" w:styleId="8">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New New New"/>
    <w:qFormat/>
    <w:uiPriority w:val="0"/>
    <w:pPr>
      <w:widowControl w:val="0"/>
      <w:jc w:val="both"/>
    </w:pPr>
    <w:rPr>
      <w:rFonts w:ascii="Times New Roman" w:hAnsi="Times New Roman" w:eastAsia="宋体" w:cs="Times New Roman"/>
      <w:kern w:val="0"/>
      <w:sz w:val="20"/>
      <w:szCs w:val="24"/>
      <w:lang w:val="en-US" w:eastAsia="zh-CN" w:bidi="ar-SA"/>
    </w:rPr>
  </w:style>
  <w:style w:type="paragraph" w:styleId="13">
    <w:name w:val="List Paragraph"/>
    <w:basedOn w:val="1"/>
    <w:qFormat/>
    <w:uiPriority w:val="0"/>
    <w:pPr>
      <w:widowControl/>
      <w:ind w:firstLine="420" w:firstLineChars="200"/>
      <w:jc w:val="left"/>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12337</Words>
  <Characters>13389</Characters>
  <Lines>0</Lines>
  <Paragraphs>0</Paragraphs>
  <TotalTime>10</TotalTime>
  <ScaleCrop>false</ScaleCrop>
  <LinksUpToDate>false</LinksUpToDate>
  <CharactersWithSpaces>13419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2024-08-04T11:12:00Z</dcterms:created>
  <dc:creator>WPS_1514269075</dc:creator>
  <cp:lastModifiedBy>崔智勇</cp:lastModifiedBy>
  <dcterms:modified xsi:type="dcterms:W3CDTF">2026-07-29T06:44:09Z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91464D7495271E5D0C77696A2C6130E9_43</vt:lpwstr>
  </property>
  <property fmtid="{D5CDD505-2E9C-101B-9397-08002B2CF9AE}" pid="4" name="KSOTemplateDocerSaveRecord">
    <vt:lpwstr>eyJoZGlkIjoiMGUxYmE1YjhhMTcwOTFmY2M0ODI0NTVjMzgzMzI5ZmEiLCJ1c2VySWQiOiIxMTc2NDEyMDk4In0=</vt:lpwstr>
  </property>
</Properties>
</file>