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183B">
      <w:pPr>
        <w:pStyle w:val="16"/>
        <w:spacing w:line="440" w:lineRule="exact"/>
        <w:jc w:val="center"/>
        <w:rPr>
          <w:rFonts w:ascii="Arial" w:hAnsi="Arial" w:eastAsia="楷体_GB2312" w:cs="Arial"/>
          <w:b/>
          <w:bCs/>
          <w:color w:val="auto"/>
          <w:sz w:val="56"/>
          <w:szCs w:val="72"/>
        </w:rPr>
      </w:pPr>
    </w:p>
    <w:p w14:paraId="7DC975C8">
      <w:pPr>
        <w:pStyle w:val="16"/>
        <w:spacing w:line="600" w:lineRule="exact"/>
        <w:jc w:val="center"/>
        <w:rPr>
          <w:rFonts w:ascii="Arial" w:hAnsi="Arial" w:eastAsia="楷体_GB2312" w:cs="Arial"/>
          <w:b/>
          <w:bCs/>
          <w:color w:val="auto"/>
          <w:sz w:val="56"/>
          <w:szCs w:val="72"/>
        </w:rPr>
      </w:pPr>
    </w:p>
    <w:p w14:paraId="34B87E81">
      <w:pPr>
        <w:pStyle w:val="16"/>
        <w:spacing w:line="600" w:lineRule="exact"/>
        <w:jc w:val="center"/>
        <w:rPr>
          <w:rFonts w:ascii="Arial" w:hAnsi="Arial" w:eastAsia="楷体_GB2312" w:cs="Arial"/>
          <w:b/>
          <w:bCs/>
          <w:color w:val="auto"/>
          <w:sz w:val="56"/>
          <w:szCs w:val="72"/>
        </w:rPr>
      </w:pPr>
    </w:p>
    <w:p w14:paraId="24D9F6A7">
      <w:pPr>
        <w:pStyle w:val="16"/>
        <w:spacing w:line="600" w:lineRule="exact"/>
        <w:jc w:val="center"/>
        <w:rPr>
          <w:rFonts w:ascii="Arial" w:hAnsi="Arial" w:eastAsia="楷体_GB2312" w:cs="Arial"/>
          <w:b/>
          <w:bCs/>
          <w:color w:val="auto"/>
          <w:sz w:val="56"/>
          <w:szCs w:val="72"/>
        </w:rPr>
      </w:pPr>
    </w:p>
    <w:p w14:paraId="58D82BB3">
      <w:pPr>
        <w:pStyle w:val="16"/>
        <w:spacing w:line="640" w:lineRule="exact"/>
        <w:jc w:val="center"/>
        <w:rPr>
          <w:rFonts w:ascii="Arial" w:hAnsi="Arial" w:eastAsia="楷体_GB2312" w:cs="Arial"/>
          <w:b/>
          <w:bCs/>
          <w:color w:val="auto"/>
          <w:sz w:val="56"/>
          <w:szCs w:val="72"/>
        </w:rPr>
      </w:pPr>
    </w:p>
    <w:p w14:paraId="7811535B">
      <w:pPr>
        <w:pStyle w:val="16"/>
        <w:spacing w:line="640" w:lineRule="exact"/>
        <w:jc w:val="center"/>
        <w:rPr>
          <w:rFonts w:hint="default" w:hAnsi="宋体" w:eastAsia="宋体" w:cs="宋体"/>
          <w:b/>
          <w:bCs/>
          <w:color w:val="auto"/>
          <w:sz w:val="44"/>
          <w:szCs w:val="44"/>
          <w:lang w:val="en-US" w:eastAsia="zh-CN"/>
        </w:rPr>
      </w:pPr>
      <w:r>
        <w:rPr>
          <w:rFonts w:hint="eastAsia" w:hAnsi="宋体" w:cs="宋体"/>
          <w:b/>
          <w:bCs/>
          <w:color w:val="auto"/>
          <w:sz w:val="44"/>
          <w:szCs w:val="44"/>
        </w:rPr>
        <w:t>桂林市人民医院</w:t>
      </w:r>
      <w:r>
        <w:rPr>
          <w:rFonts w:hint="eastAsia" w:hAnsi="宋体" w:cs="宋体"/>
          <w:b/>
          <w:bCs/>
          <w:color w:val="auto"/>
          <w:sz w:val="44"/>
          <w:szCs w:val="44"/>
          <w:lang w:val="en-US" w:eastAsia="zh-CN"/>
        </w:rPr>
        <w:t>台式计算机采购项目</w:t>
      </w:r>
    </w:p>
    <w:p w14:paraId="4BB7C863">
      <w:pPr>
        <w:pStyle w:val="16"/>
        <w:spacing w:line="640" w:lineRule="exact"/>
        <w:jc w:val="center"/>
        <w:rPr>
          <w:rFonts w:hAnsi="宋体" w:cs="宋体"/>
          <w:b/>
          <w:bCs/>
          <w:color w:val="auto"/>
          <w:sz w:val="44"/>
          <w:szCs w:val="44"/>
        </w:rPr>
      </w:pPr>
      <w:r>
        <w:rPr>
          <w:rFonts w:hint="eastAsia" w:hAnsi="宋体" w:cs="宋体"/>
          <w:b/>
          <w:bCs/>
          <w:color w:val="auto"/>
          <w:sz w:val="44"/>
          <w:szCs w:val="44"/>
        </w:rPr>
        <w:t>（广西政府采购云平台）反向竞价采购文件</w:t>
      </w:r>
    </w:p>
    <w:p w14:paraId="648F6165">
      <w:pPr>
        <w:pStyle w:val="16"/>
        <w:spacing w:line="440" w:lineRule="exact"/>
        <w:jc w:val="center"/>
        <w:rPr>
          <w:rFonts w:ascii="Arial" w:hAnsi="Arial" w:eastAsia="楷体_GB2312" w:cs="Arial"/>
          <w:b/>
          <w:bCs/>
          <w:color w:val="auto"/>
          <w:sz w:val="24"/>
          <w:szCs w:val="24"/>
        </w:rPr>
      </w:pPr>
    </w:p>
    <w:p w14:paraId="6B983AF4">
      <w:pPr>
        <w:pStyle w:val="16"/>
        <w:spacing w:line="640" w:lineRule="exact"/>
        <w:jc w:val="center"/>
        <w:rPr>
          <w:rFonts w:ascii="Arial" w:hAnsi="Arial" w:cs="Arial"/>
          <w:color w:val="auto"/>
          <w:sz w:val="24"/>
          <w:szCs w:val="24"/>
        </w:rPr>
      </w:pPr>
    </w:p>
    <w:p w14:paraId="4A1A859F">
      <w:pPr>
        <w:pStyle w:val="16"/>
        <w:spacing w:line="440" w:lineRule="exact"/>
        <w:ind w:firstLine="2695"/>
        <w:rPr>
          <w:rFonts w:ascii="Arial" w:hAnsi="Arial" w:cs="Arial"/>
          <w:color w:val="auto"/>
          <w:sz w:val="28"/>
        </w:rPr>
      </w:pPr>
      <w:r>
        <w:rPr>
          <w:rFonts w:ascii="Arial" w:hAnsi="Arial" w:cs="Arial"/>
          <w:color w:val="auto"/>
          <w:sz w:val="28"/>
        </w:rPr>
        <w:cr/>
      </w:r>
    </w:p>
    <w:p w14:paraId="7684FCA6">
      <w:pPr>
        <w:pStyle w:val="16"/>
        <w:spacing w:line="440" w:lineRule="exact"/>
        <w:ind w:firstLine="2695"/>
        <w:rPr>
          <w:rFonts w:ascii="Arial" w:hAnsi="Arial" w:cs="Arial"/>
          <w:color w:val="auto"/>
          <w:sz w:val="28"/>
        </w:rPr>
      </w:pPr>
    </w:p>
    <w:p w14:paraId="66DD6EFA">
      <w:pPr>
        <w:pStyle w:val="16"/>
        <w:spacing w:line="440" w:lineRule="exact"/>
        <w:ind w:firstLine="2695"/>
        <w:rPr>
          <w:rFonts w:ascii="Arial" w:hAnsi="Arial" w:cs="Arial"/>
          <w:color w:val="auto"/>
          <w:sz w:val="28"/>
        </w:rPr>
      </w:pPr>
    </w:p>
    <w:p w14:paraId="57F764A1">
      <w:pPr>
        <w:pStyle w:val="16"/>
        <w:spacing w:line="440" w:lineRule="exact"/>
        <w:ind w:firstLine="2695"/>
        <w:rPr>
          <w:rFonts w:ascii="Arial" w:hAnsi="Arial" w:cs="Arial"/>
          <w:color w:val="auto"/>
          <w:sz w:val="28"/>
        </w:rPr>
      </w:pPr>
    </w:p>
    <w:p w14:paraId="48DC5F56">
      <w:pPr>
        <w:pStyle w:val="16"/>
        <w:spacing w:line="440" w:lineRule="exact"/>
        <w:ind w:firstLine="2695"/>
        <w:rPr>
          <w:rFonts w:ascii="Arial" w:hAnsi="Arial" w:cs="Arial"/>
          <w:color w:val="auto"/>
          <w:sz w:val="28"/>
        </w:rPr>
      </w:pPr>
    </w:p>
    <w:p w14:paraId="494240D5">
      <w:pPr>
        <w:pStyle w:val="16"/>
        <w:spacing w:line="440" w:lineRule="exact"/>
        <w:rPr>
          <w:rFonts w:ascii="Arial" w:hAnsi="Arial" w:cs="Arial"/>
          <w:color w:val="auto"/>
          <w:sz w:val="28"/>
        </w:rPr>
      </w:pPr>
    </w:p>
    <w:p w14:paraId="0DBDF603">
      <w:pPr>
        <w:pStyle w:val="16"/>
        <w:spacing w:line="440" w:lineRule="exact"/>
        <w:rPr>
          <w:rFonts w:ascii="Arial" w:hAnsi="Arial" w:cs="Arial"/>
          <w:color w:val="auto"/>
          <w:sz w:val="28"/>
        </w:rPr>
      </w:pPr>
    </w:p>
    <w:p w14:paraId="4B938145">
      <w:pPr>
        <w:pStyle w:val="8"/>
        <w:rPr>
          <w:rFonts w:ascii="Arial" w:hAnsi="Arial" w:cs="Arial"/>
          <w:color w:val="auto"/>
          <w:sz w:val="28"/>
        </w:rPr>
      </w:pPr>
    </w:p>
    <w:p w14:paraId="74D30609">
      <w:pPr>
        <w:rPr>
          <w:rFonts w:ascii="Arial" w:hAnsi="Arial" w:cs="Arial"/>
          <w:color w:val="auto"/>
          <w:sz w:val="28"/>
        </w:rPr>
      </w:pPr>
    </w:p>
    <w:p w14:paraId="5E9B7C88">
      <w:pPr>
        <w:rPr>
          <w:rFonts w:ascii="Arial" w:hAnsi="Arial" w:cs="Arial"/>
          <w:color w:val="auto"/>
          <w:sz w:val="28"/>
        </w:rPr>
      </w:pPr>
    </w:p>
    <w:p w14:paraId="0E055197">
      <w:pPr>
        <w:rPr>
          <w:color w:val="auto"/>
        </w:rPr>
      </w:pPr>
    </w:p>
    <w:p w14:paraId="7D17BBB5">
      <w:pPr>
        <w:rPr>
          <w:rFonts w:ascii="Arial" w:hAnsi="Arial" w:cs="Arial"/>
          <w:color w:val="auto"/>
          <w:sz w:val="28"/>
        </w:rPr>
      </w:pPr>
    </w:p>
    <w:p w14:paraId="12891541">
      <w:pPr>
        <w:pStyle w:val="16"/>
        <w:spacing w:line="440" w:lineRule="exact"/>
        <w:rPr>
          <w:rFonts w:ascii="Arial" w:hAnsi="Arial" w:cs="Arial"/>
          <w:color w:val="auto"/>
          <w:sz w:val="28"/>
        </w:rPr>
      </w:pPr>
    </w:p>
    <w:p w14:paraId="300113E3">
      <w:pPr>
        <w:pStyle w:val="16"/>
        <w:spacing w:line="440" w:lineRule="exact"/>
        <w:jc w:val="center"/>
        <w:rPr>
          <w:rFonts w:hAnsi="宋体" w:cs="宋体"/>
          <w:b/>
          <w:bCs/>
          <w:color w:val="auto"/>
          <w:sz w:val="36"/>
          <w:szCs w:val="36"/>
        </w:rPr>
      </w:pPr>
      <w:r>
        <w:rPr>
          <w:rFonts w:hint="eastAsia" w:hAnsi="宋体" w:cs="宋体"/>
          <w:b/>
          <w:bCs/>
          <w:color w:val="auto"/>
          <w:sz w:val="36"/>
          <w:szCs w:val="36"/>
        </w:rPr>
        <w:t>202</w:t>
      </w:r>
      <w:r>
        <w:rPr>
          <w:rFonts w:hint="eastAsia" w:hAnsi="宋体" w:cs="宋体"/>
          <w:b/>
          <w:bCs/>
          <w:color w:val="auto"/>
          <w:sz w:val="36"/>
          <w:szCs w:val="36"/>
          <w:lang w:val="en-US" w:eastAsia="zh-CN"/>
        </w:rPr>
        <w:t>6</w:t>
      </w:r>
      <w:r>
        <w:rPr>
          <w:rFonts w:hint="eastAsia" w:hAnsi="宋体" w:cs="宋体"/>
          <w:b/>
          <w:bCs/>
          <w:color w:val="auto"/>
          <w:sz w:val="36"/>
          <w:szCs w:val="36"/>
        </w:rPr>
        <w:t xml:space="preserve">年 </w:t>
      </w:r>
      <w:r>
        <w:rPr>
          <w:rFonts w:hint="eastAsia" w:hAnsi="宋体" w:cs="宋体"/>
          <w:b/>
          <w:bCs/>
          <w:color w:val="auto"/>
          <w:sz w:val="36"/>
          <w:szCs w:val="36"/>
          <w:lang w:val="en-US" w:eastAsia="zh-CN"/>
        </w:rPr>
        <w:t>6</w:t>
      </w:r>
      <w:r>
        <w:rPr>
          <w:rFonts w:hint="eastAsia" w:hAnsi="宋体" w:cs="宋体"/>
          <w:b/>
          <w:bCs/>
          <w:color w:val="auto"/>
          <w:sz w:val="36"/>
          <w:szCs w:val="36"/>
        </w:rPr>
        <w:t xml:space="preserve"> 月</w:t>
      </w:r>
      <w:r>
        <w:rPr>
          <w:rFonts w:hint="eastAsia" w:hAnsi="宋体" w:cs="宋体"/>
          <w:b/>
          <w:bCs/>
          <w:color w:val="auto"/>
          <w:sz w:val="36"/>
          <w:szCs w:val="36"/>
          <w:lang w:val="en-US" w:eastAsia="zh-CN"/>
        </w:rPr>
        <w:t>23</w:t>
      </w:r>
      <w:r>
        <w:rPr>
          <w:rFonts w:hint="eastAsia" w:hAnsi="宋体" w:cs="宋体"/>
          <w:b/>
          <w:bCs/>
          <w:color w:val="auto"/>
          <w:sz w:val="36"/>
          <w:szCs w:val="36"/>
        </w:rPr>
        <w:t>日</w:t>
      </w:r>
    </w:p>
    <w:p w14:paraId="3464CAED">
      <w:pPr>
        <w:pStyle w:val="16"/>
        <w:spacing w:line="440" w:lineRule="exact"/>
        <w:jc w:val="center"/>
        <w:rPr>
          <w:rFonts w:hAnsi="宋体" w:cs="宋体"/>
          <w:b/>
          <w:bCs/>
          <w:color w:val="auto"/>
          <w:sz w:val="36"/>
          <w:szCs w:val="36"/>
        </w:rPr>
      </w:pPr>
    </w:p>
    <w:p w14:paraId="19C9A950">
      <w:pPr>
        <w:pStyle w:val="16"/>
        <w:spacing w:line="440" w:lineRule="exact"/>
        <w:rPr>
          <w:rFonts w:hAnsi="宋体" w:cs="宋体"/>
          <w:b/>
          <w:bCs/>
          <w:color w:val="auto"/>
          <w:sz w:val="36"/>
          <w:szCs w:val="36"/>
        </w:rPr>
      </w:pPr>
    </w:p>
    <w:p w14:paraId="687112EA">
      <w:pPr>
        <w:pStyle w:val="34"/>
        <w:spacing w:before="0" w:line="440" w:lineRule="exact"/>
        <w:ind w:left="0"/>
        <w:jc w:val="center"/>
        <w:rPr>
          <w:rFonts w:ascii="Arial" w:hAnsi="宋体" w:eastAsia="宋体" w:cs="Arial"/>
          <w:b/>
          <w:bCs/>
          <w:color w:val="auto"/>
          <w:sz w:val="44"/>
          <w:szCs w:val="44"/>
          <w:lang w:val="zh-CN"/>
        </w:rPr>
      </w:pPr>
      <w:bookmarkStart w:id="68" w:name="_GoBack"/>
      <w:bookmarkEnd w:id="68"/>
    </w:p>
    <w:p w14:paraId="54EF8555">
      <w:pPr>
        <w:spacing w:line="440" w:lineRule="exact"/>
        <w:rPr>
          <w:rFonts w:ascii="宋体" w:hAnsi="宋体" w:cs="宋体"/>
          <w:color w:val="auto"/>
          <w:sz w:val="28"/>
          <w:szCs w:val="28"/>
        </w:rPr>
      </w:pPr>
      <w:r>
        <w:rPr>
          <w:rFonts w:hint="eastAsia" w:ascii="宋体" w:hAnsi="宋体" w:cs="宋体"/>
          <w:b/>
          <w:bCs/>
          <w:color w:val="auto"/>
          <w:w w:val="95"/>
          <w:sz w:val="28"/>
          <w:szCs w:val="28"/>
        </w:rPr>
        <w:br w:type="page"/>
      </w:r>
    </w:p>
    <w:p w14:paraId="03DADE0E">
      <w:pPr>
        <w:spacing w:line="460" w:lineRule="exact"/>
        <w:jc w:val="center"/>
        <w:rPr>
          <w:rFonts w:ascii="宋体" w:hAnsi="宋体" w:cs="宋体"/>
          <w:b/>
          <w:bCs/>
          <w:color w:val="auto"/>
          <w:sz w:val="32"/>
          <w:szCs w:val="32"/>
        </w:rPr>
      </w:pPr>
      <w:r>
        <w:rPr>
          <w:rFonts w:ascii="宋体" w:hAnsi="宋体" w:cs="宋体"/>
          <w:b/>
          <w:bCs/>
          <w:color w:val="auto"/>
          <w:sz w:val="32"/>
          <w:szCs w:val="32"/>
        </w:rPr>
        <w:t>桂林市人民医院</w:t>
      </w:r>
      <w:r>
        <w:rPr>
          <w:rFonts w:hint="eastAsia" w:ascii="宋体" w:hAnsi="宋体" w:cs="宋体"/>
          <w:b/>
          <w:bCs/>
          <w:color w:val="auto"/>
          <w:sz w:val="32"/>
          <w:szCs w:val="32"/>
          <w:lang w:val="en-US" w:eastAsia="zh-CN"/>
        </w:rPr>
        <w:t>台式计算机采购</w:t>
      </w:r>
      <w:r>
        <w:rPr>
          <w:rFonts w:ascii="宋体" w:hAnsi="宋体" w:cs="宋体"/>
          <w:b/>
          <w:bCs/>
          <w:color w:val="auto"/>
          <w:sz w:val="32"/>
          <w:szCs w:val="32"/>
        </w:rPr>
        <w:t>项目采购需求</w:t>
      </w:r>
    </w:p>
    <w:p w14:paraId="7E858032">
      <w:pPr>
        <w:rPr>
          <w:color w:val="auto"/>
        </w:rPr>
      </w:pPr>
    </w:p>
    <w:p w14:paraId="6293F87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一、项目基本情况</w:t>
      </w:r>
    </w:p>
    <w:p w14:paraId="61AF18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val="0"/>
          <w:bCs w:val="0"/>
          <w:color w:val="auto"/>
          <w:sz w:val="24"/>
          <w:lang w:eastAsia="zh-CN"/>
        </w:rPr>
      </w:pPr>
      <w:r>
        <w:rPr>
          <w:rFonts w:hint="default" w:ascii="Times New Roman" w:hAnsi="Times New Roman" w:cs="Times New Roman" w:eastAsiaTheme="minorEastAsia"/>
          <w:b w:val="0"/>
          <w:bCs w:val="0"/>
          <w:color w:val="auto"/>
          <w:sz w:val="24"/>
        </w:rPr>
        <w:t>1.项目名称：</w:t>
      </w:r>
      <w:r>
        <w:rPr>
          <w:rFonts w:hint="default" w:ascii="Times New Roman" w:hAnsi="Times New Roman" w:cs="Times New Roman" w:eastAsiaTheme="minorEastAsia"/>
          <w:b w:val="0"/>
          <w:bCs w:val="0"/>
          <w:color w:val="auto"/>
          <w:sz w:val="24"/>
          <w:shd w:val="clear" w:color="auto" w:fill="FFFFFF"/>
        </w:rPr>
        <w:t>桂林市人民医院</w:t>
      </w:r>
      <w:r>
        <w:rPr>
          <w:rFonts w:hint="eastAsia" w:ascii="宋体" w:hAnsi="宋体" w:eastAsia="宋体" w:cs="宋体"/>
          <w:b w:val="0"/>
          <w:bCs/>
          <w:color w:val="auto"/>
          <w:sz w:val="24"/>
          <w:szCs w:val="24"/>
          <w:lang w:val="en-US" w:eastAsia="zh-CN"/>
        </w:rPr>
        <w:t>台式计算机</w:t>
      </w:r>
      <w:r>
        <w:rPr>
          <w:rFonts w:hint="eastAsia" w:ascii="宋体" w:hAnsi="宋体" w:cs="宋体"/>
          <w:b w:val="0"/>
          <w:bCs/>
          <w:color w:val="auto"/>
          <w:sz w:val="24"/>
          <w:szCs w:val="24"/>
          <w:lang w:val="en-US" w:eastAsia="zh-CN"/>
        </w:rPr>
        <w:t>采</w:t>
      </w:r>
      <w:r>
        <w:rPr>
          <w:rFonts w:hint="eastAsia" w:ascii="宋体" w:hAnsi="宋体" w:eastAsia="宋体" w:cs="宋体"/>
          <w:b w:val="0"/>
          <w:bCs/>
          <w:color w:val="auto"/>
          <w:sz w:val="24"/>
          <w:szCs w:val="24"/>
          <w:lang w:val="en-US" w:eastAsia="zh-CN"/>
        </w:rPr>
        <w:t>购</w:t>
      </w:r>
    </w:p>
    <w:p w14:paraId="1539FD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b w:val="0"/>
          <w:bCs w:val="0"/>
          <w:color w:val="auto"/>
          <w:sz w:val="24"/>
          <w:lang w:val="en-US" w:eastAsia="zh-CN"/>
        </w:rPr>
      </w:pPr>
      <w:r>
        <w:rPr>
          <w:rFonts w:hint="default" w:ascii="Times New Roman" w:hAnsi="Times New Roman" w:cs="Times New Roman" w:eastAsiaTheme="minorEastAsia"/>
          <w:b w:val="0"/>
          <w:bCs w:val="0"/>
          <w:color w:val="auto"/>
          <w:sz w:val="24"/>
        </w:rPr>
        <w:t>2.项目编号：</w:t>
      </w:r>
      <w:r>
        <w:rPr>
          <w:rFonts w:hint="eastAsia" w:cs="Times New Roman" w:eastAsiaTheme="minorEastAsia"/>
          <w:b w:val="0"/>
          <w:bCs w:val="0"/>
          <w:color w:val="auto"/>
          <w:sz w:val="24"/>
          <w:lang w:val="en-US" w:eastAsia="zh-CN"/>
        </w:rPr>
        <w:t>XXK</w:t>
      </w:r>
      <w:r>
        <w:rPr>
          <w:rFonts w:hint="default" w:ascii="Times New Roman" w:hAnsi="Times New Roman" w:cs="Times New Roman" w:eastAsiaTheme="minorEastAsia"/>
          <w:b w:val="0"/>
          <w:bCs w:val="0"/>
          <w:color w:val="auto"/>
          <w:sz w:val="24"/>
        </w:rPr>
        <w:t>-202</w:t>
      </w:r>
      <w:r>
        <w:rPr>
          <w:rFonts w:hint="eastAsia" w:cs="Times New Roman" w:eastAsiaTheme="minorEastAsia"/>
          <w:b w:val="0"/>
          <w:bCs w:val="0"/>
          <w:color w:val="auto"/>
          <w:sz w:val="24"/>
          <w:lang w:val="en-US" w:eastAsia="zh-CN"/>
        </w:rPr>
        <w:t>6</w:t>
      </w:r>
      <w:r>
        <w:rPr>
          <w:rFonts w:hint="default" w:ascii="Times New Roman" w:hAnsi="Times New Roman" w:cs="Times New Roman" w:eastAsiaTheme="minorEastAsia"/>
          <w:b w:val="0"/>
          <w:bCs w:val="0"/>
          <w:color w:val="auto"/>
          <w:sz w:val="24"/>
        </w:rPr>
        <w:t>-0</w:t>
      </w:r>
      <w:r>
        <w:rPr>
          <w:rFonts w:hint="eastAsia" w:cs="Times New Roman" w:eastAsiaTheme="minorEastAsia"/>
          <w:b w:val="0"/>
          <w:bCs w:val="0"/>
          <w:color w:val="auto"/>
          <w:sz w:val="24"/>
          <w:lang w:val="en-US" w:eastAsia="zh-CN"/>
        </w:rPr>
        <w:t>16</w:t>
      </w:r>
    </w:p>
    <w:p w14:paraId="6CB7E3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b w:val="0"/>
          <w:bCs w:val="0"/>
          <w:color w:val="auto"/>
          <w:sz w:val="24"/>
        </w:rPr>
      </w:pPr>
      <w:r>
        <w:rPr>
          <w:rFonts w:hint="default" w:ascii="Times New Roman" w:hAnsi="Times New Roman" w:cs="Times New Roman" w:eastAsiaTheme="minorEastAsia"/>
          <w:b w:val="0"/>
          <w:bCs w:val="0"/>
          <w:color w:val="auto"/>
          <w:sz w:val="24"/>
        </w:rPr>
        <w:t>3.项目最高限价</w:t>
      </w:r>
      <w:r>
        <w:rPr>
          <w:rFonts w:hint="eastAsia" w:cs="Times New Roman" w:eastAsiaTheme="minorEastAsia"/>
          <w:b w:val="0"/>
          <w:bCs w:val="0"/>
          <w:color w:val="auto"/>
          <w:sz w:val="24"/>
          <w:lang w:eastAsia="zh-CN"/>
        </w:rPr>
        <w:t>（</w:t>
      </w:r>
      <w:r>
        <w:rPr>
          <w:rFonts w:hint="default" w:ascii="Times New Roman" w:hAnsi="Times New Roman" w:cs="Times New Roman" w:eastAsiaTheme="minorEastAsia"/>
          <w:b w:val="0"/>
          <w:bCs w:val="0"/>
          <w:color w:val="auto"/>
          <w:sz w:val="24"/>
          <w:shd w:val="clear" w:color="auto" w:fill="FFFFFF"/>
        </w:rPr>
        <w:t>人民币</w:t>
      </w:r>
      <w:r>
        <w:rPr>
          <w:rFonts w:hint="eastAsia" w:cs="Times New Roman" w:eastAsiaTheme="minorEastAsia"/>
          <w:b w:val="0"/>
          <w:bCs w:val="0"/>
          <w:color w:val="auto"/>
          <w:sz w:val="24"/>
          <w:shd w:val="clear" w:color="auto" w:fill="FFFFFF"/>
          <w:lang w:eastAsia="zh-CN"/>
        </w:rPr>
        <w:t>）：</w:t>
      </w:r>
      <w:r>
        <w:rPr>
          <w:rFonts w:hint="eastAsia" w:cs="Times New Roman" w:eastAsiaTheme="minorEastAsia"/>
          <w:b w:val="0"/>
          <w:bCs w:val="0"/>
          <w:color w:val="auto"/>
          <w:sz w:val="24"/>
          <w:shd w:val="clear" w:color="auto" w:fill="FFFFFF"/>
          <w:lang w:val="en-US" w:eastAsia="zh-CN"/>
        </w:rPr>
        <w:t>肆拾伍万贰仟柒佰元整</w:t>
      </w:r>
      <w:r>
        <w:rPr>
          <w:rFonts w:hint="default" w:ascii="Times New Roman" w:hAnsi="Times New Roman" w:cs="Times New Roman" w:eastAsiaTheme="minorEastAsia"/>
          <w:b w:val="0"/>
          <w:bCs w:val="0"/>
          <w:color w:val="auto"/>
          <w:sz w:val="24"/>
          <w:shd w:val="clear" w:color="auto" w:fill="FFFFFF"/>
        </w:rPr>
        <w:t>（¥</w:t>
      </w:r>
      <w:r>
        <w:rPr>
          <w:rFonts w:hint="eastAsia" w:ascii="宋体" w:hAnsi="宋体" w:cs="宋体"/>
          <w:b w:val="0"/>
          <w:bCs/>
          <w:color w:val="auto"/>
          <w:sz w:val="24"/>
          <w:szCs w:val="24"/>
          <w:lang w:val="en-US" w:eastAsia="zh-CN"/>
        </w:rPr>
        <w:t>452700</w:t>
      </w:r>
      <w:r>
        <w:rPr>
          <w:rFonts w:hint="default" w:ascii="Times New Roman" w:hAnsi="Times New Roman" w:cs="Times New Roman" w:eastAsiaTheme="minorEastAsia"/>
          <w:b w:val="0"/>
          <w:bCs w:val="0"/>
          <w:color w:val="auto"/>
          <w:sz w:val="24"/>
          <w:shd w:val="clear" w:color="auto" w:fill="FFFFFF"/>
        </w:rPr>
        <w:t>.00）</w:t>
      </w:r>
      <w:r>
        <w:rPr>
          <w:rFonts w:hint="default" w:ascii="Times New Roman" w:hAnsi="Times New Roman" w:cs="Times New Roman" w:eastAsiaTheme="minorEastAsia"/>
          <w:b w:val="0"/>
          <w:bCs w:val="0"/>
          <w:color w:val="auto"/>
          <w:sz w:val="24"/>
        </w:rPr>
        <w:t>。</w:t>
      </w:r>
    </w:p>
    <w:p w14:paraId="13ED141E">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b w:val="0"/>
          <w:bCs w:val="0"/>
          <w:color w:val="auto"/>
          <w:sz w:val="24"/>
          <w:lang w:val="en-US" w:eastAsia="zh-CN"/>
        </w:rPr>
      </w:pPr>
      <w:r>
        <w:rPr>
          <w:rFonts w:hint="eastAsia" w:cs="Times New Roman" w:eastAsiaTheme="minorEastAsia"/>
          <w:b w:val="0"/>
          <w:bCs w:val="0"/>
          <w:color w:val="auto"/>
          <w:sz w:val="24"/>
          <w:lang w:val="en-US" w:eastAsia="zh-CN"/>
        </w:rPr>
        <w:t>4.资金来源：自有资金</w:t>
      </w:r>
    </w:p>
    <w:p w14:paraId="7853C41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二、采购方式</w:t>
      </w:r>
    </w:p>
    <w:p w14:paraId="3980D46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反向竞价</w:t>
      </w:r>
    </w:p>
    <w:p w14:paraId="1E61F3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三、采购需求</w:t>
      </w:r>
    </w:p>
    <w:p w14:paraId="2EBCB03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b/>
          <w:bCs/>
          <w:color w:val="auto"/>
          <w:sz w:val="24"/>
        </w:rPr>
      </w:pPr>
      <w:r>
        <w:rPr>
          <w:rFonts w:hint="eastAsia" w:ascii="Times New Roman" w:hAnsi="Times New Roman" w:cs="Times New Roman" w:eastAsiaTheme="minorEastAsia"/>
          <w:b/>
          <w:bCs/>
          <w:color w:val="auto"/>
          <w:sz w:val="24"/>
          <w:lang w:eastAsia="zh-CN"/>
        </w:rPr>
        <w:t>（</w:t>
      </w:r>
      <w:r>
        <w:rPr>
          <w:rFonts w:hint="eastAsia" w:ascii="Times New Roman" w:hAnsi="Times New Roman" w:cs="Times New Roman" w:eastAsiaTheme="minorEastAsia"/>
          <w:b/>
          <w:bCs/>
          <w:color w:val="auto"/>
          <w:sz w:val="24"/>
          <w:lang w:val="en-US" w:eastAsia="zh-CN"/>
        </w:rPr>
        <w:t>一）</w:t>
      </w:r>
      <w:r>
        <w:rPr>
          <w:rFonts w:hint="default" w:ascii="Times New Roman" w:hAnsi="Times New Roman" w:cs="Times New Roman" w:eastAsiaTheme="minorEastAsia"/>
          <w:b/>
          <w:bCs/>
          <w:color w:val="auto"/>
          <w:sz w:val="24"/>
        </w:rPr>
        <w:t>技术要求</w:t>
      </w:r>
    </w:p>
    <w:tbl>
      <w:tblPr>
        <w:tblStyle w:val="22"/>
        <w:tblW w:w="1091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55"/>
        <w:gridCol w:w="983"/>
        <w:gridCol w:w="5974"/>
        <w:gridCol w:w="594"/>
        <w:gridCol w:w="487"/>
        <w:gridCol w:w="785"/>
        <w:gridCol w:w="750"/>
        <w:gridCol w:w="791"/>
      </w:tblGrid>
      <w:tr w14:paraId="3E6A77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7C2D80">
            <w:pPr>
              <w:jc w:val="center"/>
              <w:rPr>
                <w:rFonts w:hint="eastAsia" w:ascii="宋体" w:hAnsi="宋体" w:cs="宋体"/>
                <w:b/>
                <w:color w:val="auto"/>
                <w:szCs w:val="21"/>
              </w:rPr>
            </w:pPr>
            <w:r>
              <w:rPr>
                <w:rFonts w:hint="eastAsia" w:ascii="宋体" w:hAnsi="宋体" w:cs="宋体"/>
                <w:b/>
                <w:color w:val="auto"/>
                <w:szCs w:val="21"/>
                <w:lang w:eastAsia="zh-CN"/>
              </w:rPr>
              <w:t>序</w:t>
            </w:r>
            <w:r>
              <w:rPr>
                <w:rFonts w:hint="eastAsia" w:ascii="宋体" w:hAnsi="宋体" w:cs="宋体"/>
                <w:b/>
                <w:color w:val="auto"/>
                <w:szCs w:val="21"/>
              </w:rPr>
              <w:t>号</w:t>
            </w:r>
          </w:p>
        </w:tc>
        <w:tc>
          <w:tcPr>
            <w:tcW w:w="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19F6C3">
            <w:pPr>
              <w:jc w:val="center"/>
              <w:rPr>
                <w:rFonts w:hint="eastAsia" w:ascii="宋体" w:hAnsi="宋体" w:cs="宋体"/>
                <w:b/>
                <w:color w:val="auto"/>
                <w:szCs w:val="21"/>
              </w:rPr>
            </w:pPr>
            <w:r>
              <w:rPr>
                <w:rFonts w:hint="eastAsia" w:ascii="宋体" w:hAnsi="宋体" w:cs="宋体"/>
                <w:b/>
                <w:color w:val="auto"/>
                <w:szCs w:val="21"/>
              </w:rPr>
              <w:t>货物名称</w:t>
            </w:r>
          </w:p>
        </w:tc>
        <w:tc>
          <w:tcPr>
            <w:tcW w:w="59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46CF34">
            <w:pPr>
              <w:jc w:val="center"/>
              <w:rPr>
                <w:rFonts w:hint="eastAsia" w:ascii="宋体" w:hAnsi="宋体" w:cs="宋体"/>
                <w:b/>
                <w:color w:val="auto"/>
                <w:szCs w:val="21"/>
              </w:rPr>
            </w:pPr>
            <w:r>
              <w:rPr>
                <w:rFonts w:hint="eastAsia" w:ascii="宋体" w:hAnsi="宋体" w:cs="宋体"/>
                <w:b/>
                <w:bCs/>
                <w:color w:val="auto"/>
                <w:szCs w:val="21"/>
                <w:highlight w:val="none"/>
              </w:rPr>
              <w:t>主要技术参数及性能（配置）要求</w:t>
            </w:r>
          </w:p>
        </w:tc>
        <w:tc>
          <w:tcPr>
            <w:tcW w:w="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7C125E">
            <w:pPr>
              <w:jc w:val="center"/>
              <w:rPr>
                <w:rFonts w:hint="eastAsia" w:ascii="宋体" w:hAnsi="宋体" w:cs="宋体"/>
                <w:b/>
                <w:color w:val="auto"/>
                <w:szCs w:val="21"/>
              </w:rPr>
            </w:pPr>
            <w:r>
              <w:rPr>
                <w:rFonts w:hint="eastAsia" w:ascii="宋体" w:hAnsi="宋体" w:cs="宋体"/>
                <w:b/>
                <w:color w:val="auto"/>
                <w:szCs w:val="21"/>
              </w:rPr>
              <w:t>单位</w:t>
            </w:r>
          </w:p>
        </w:tc>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6C0418">
            <w:pPr>
              <w:jc w:val="center"/>
              <w:rPr>
                <w:rFonts w:hint="eastAsia" w:ascii="宋体" w:hAnsi="宋体" w:cs="宋体"/>
                <w:b/>
                <w:color w:val="auto"/>
                <w:szCs w:val="21"/>
              </w:rPr>
            </w:pPr>
            <w:r>
              <w:rPr>
                <w:rFonts w:hint="eastAsia" w:ascii="宋体" w:hAnsi="宋体" w:cs="宋体"/>
                <w:b/>
                <w:color w:val="auto"/>
                <w:szCs w:val="21"/>
              </w:rPr>
              <w:t>数量</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47730B">
            <w:pPr>
              <w:jc w:val="center"/>
              <w:rPr>
                <w:rFonts w:hint="default" w:ascii="宋体" w:hAnsi="宋体" w:eastAsia="宋体" w:cs="宋体"/>
                <w:b/>
                <w:color w:val="auto"/>
                <w:szCs w:val="21"/>
                <w:lang w:val="en-US" w:eastAsia="zh-CN"/>
              </w:rPr>
            </w:pPr>
            <w:r>
              <w:rPr>
                <w:rFonts w:hint="eastAsia" w:ascii="宋体" w:hAnsi="宋体" w:cs="宋体"/>
                <w:b/>
                <w:color w:val="auto"/>
                <w:szCs w:val="21"/>
                <w:lang w:val="en-US" w:eastAsia="zh-CN"/>
              </w:rPr>
              <w:t>品牌型号</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2983C">
            <w:pPr>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预算单价</w:t>
            </w:r>
            <w:r>
              <w:rPr>
                <w:rFonts w:hint="eastAsia" w:ascii="宋体" w:hAnsi="宋体" w:cs="宋体"/>
                <w:b/>
                <w:color w:val="auto"/>
                <w:szCs w:val="21"/>
                <w:lang w:eastAsia="zh-CN"/>
              </w:rPr>
              <w:t>（元）</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9C7A1BA">
            <w:pPr>
              <w:jc w:val="cente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lang w:val="en-US" w:eastAsia="zh-CN"/>
              </w:rPr>
              <w:t>汇总价</w:t>
            </w:r>
            <w:r>
              <w:rPr>
                <w:rFonts w:hint="eastAsia" w:ascii="宋体" w:hAnsi="宋体" w:cs="宋体"/>
                <w:b/>
                <w:color w:val="auto"/>
                <w:szCs w:val="21"/>
                <w:lang w:eastAsia="zh-CN"/>
              </w:rPr>
              <w:t>（元）</w:t>
            </w:r>
          </w:p>
        </w:tc>
      </w:tr>
      <w:tr w14:paraId="71719D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jc w:val="center"/>
        </w:trPr>
        <w:tc>
          <w:tcPr>
            <w:tcW w:w="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0E06FA">
            <w:pPr>
              <w:jc w:val="center"/>
              <w:rPr>
                <w:rFonts w:hint="eastAsia" w:ascii="宋体" w:hAnsi="宋体" w:cs="宋体"/>
                <w:b/>
                <w:color w:val="auto"/>
                <w:szCs w:val="21"/>
                <w:highlight w:val="none"/>
              </w:rPr>
            </w:pPr>
            <w:bookmarkStart w:id="0" w:name="OLE_LINK2" w:colFirst="2" w:colLast="2"/>
            <w:bookmarkStart w:id="1" w:name="OLE_LINK10" w:colFirst="1" w:colLast="2"/>
            <w:bookmarkStart w:id="2" w:name="OLE_LINK3" w:colFirst="6" w:colLast="7"/>
            <w:r>
              <w:rPr>
                <w:rFonts w:hint="eastAsia" w:ascii="宋体" w:hAnsi="宋体" w:cs="宋体"/>
                <w:color w:val="auto"/>
                <w:szCs w:val="21"/>
                <w:highlight w:val="none"/>
              </w:rPr>
              <w:t>1</w:t>
            </w:r>
          </w:p>
        </w:tc>
        <w:tc>
          <w:tcPr>
            <w:tcW w:w="98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0E4A39">
            <w:pPr>
              <w:jc w:val="center"/>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台式计算机</w:t>
            </w:r>
          </w:p>
        </w:tc>
        <w:tc>
          <w:tcPr>
            <w:tcW w:w="597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C98F51">
            <w:pPr>
              <w:keepNext w:val="0"/>
              <w:keepLines w:val="0"/>
              <w:widowControl/>
              <w:numPr>
                <w:ilvl w:val="0"/>
                <w:numId w:val="1"/>
              </w:numPr>
              <w:suppressLineNumbers w:val="0"/>
              <w:jc w:val="both"/>
              <w:textAlignment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主机硬件参数</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1.CPU：Intel十三代 Core i5-13420H处理器或以上，主频≥2.1GHz 、≥8核处理器12线程，三级缓存≥12MB。</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2. 主板：Intel SoC。</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3. 内存：8GB DDR4 3200MT/s内存或以上。最大可支持拓展64GB。</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4. 硬盘：≥256GB M.2 NVMe SSD硬盘,≥1TB HDD硬盘。</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5.支持拓展9.5mm标准光驱。</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6. 支持1000Mbps。网口支持wake on LAN。</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7. 集成标准声卡。</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8. USB有线键盘、鼠标。</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9.前置面板：USB3.0≥2个（USB 3.2 Gen1）；USB2.0≥2个；TypeC≥1个（支持USB 3.2 Gen1）；音频输入≥1个，音频输出≥1个。</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10.关机状态下，支持≥2个前置USB端口对外供电；前置面板音频输出接口采用四段式接口，兼容单耳机输出和耳机、麦克风二合一。支持欧标/美标自动切换。</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11.后置面板：USB3.0≥2个（USB 3.2 Gen2）；USB2.0≥2个；HDMI输出≥1；VGA输出≥1；音频输入≥1；音频输出≥1；RJ45≥1。</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12.内部插槽：PCIEX16接口≥1个（支持拓展独立显卡）；PCIEX1接口≥1个；M.2接口≥2个；SATA接口≥1个。</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13.机箱体积：≤8L，电源功率：≤180W。</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14. 可通过物理按键实现系统一键还原。</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二、显示器</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1.≥23.8显示屏幕，分辨率≥1920*1080，屏幕亮度≥250nit；</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2.支持VGA≥1，HDMI≥1；</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3.显示屏幕sRGB色域覆盖率≥99%；</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4.对比度≥1000:1，屏幕刷新率≥100Hz，响应时间≤8ms；（竞标时响应文件中须出具检验结果符合或者优于以该参数的国家认可的第三方认证（检测）机构出具的带有CMA(中文全称是中国计量认证)或CNAS(中国合格评定国家认可委员会)标志的检测报告）</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5.可视角度≥178°；</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6.显示屏分别提供标准模式、炫彩模式、护眼模式、阅读模式选项；（竞标时响应文件中须出具检验结果符合或者优于以该参数的国家认可的第三方认证（检测）机构出具的带有CMA(中文全称是中国计量认证)或CNAS(中国合格评定国家认可委员会)标志的检测报告）</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7.上左右边框≤3.6mm，下边框≤16.6mm，屏占比≥92%；</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三、终端应用软件</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1.登录方式：支持账号/密码和手机微信扫码两种登录方式。用户首次登录时绑定微信ID与帐号的对应关系。</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2.设备运行状态：能查看当前设备的内存、CPU、硬盘、系统盘、网速的实时占用状态信息。</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3.文件发送：支持一次发送单个或多个文件给多个接收端软件。接收端离线时文件能够暂存在云端，在线后可进行自动下载。支持发送图片、视频、文档等类型的文件，支持查看发送进度。</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4.文件列表：接收到新文件时有提示新文件；支持查看当前已接收的文件列表；可对文件进行下载或打开操作；支持自动清理超过14天的文件，可对自己的文件夹的图标颜色和命名进行个性化设置。</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5.预览：能够在线预览图片、音视频、文档；支持预览的格式，包括但不限于：图片：BMP、GIF、JPE、JPEG、JPG、PNG；音频：WAV、MP3、OGG；视频：3GP、F4V、M4V、MP4、OGV、MOV；文档：DOC、DOCX、PDF、PPT、XLS、XLSX。</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6.发送到接收端：用户可在云盘中把多个文件发送至接收端软件中，发送的文件不限格式，接收端软件自动下载该文件。</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7.快捷打开：终端应用软件具备桌面快捷操作栏功能，固定在桌面，可具备展示用户添加的应用、网站和组件，点击后即可快速打开。支持在终端应用软件内打开包含文件发送、设备信息等功能的快捷方式；并支持支持在软件内切换、关闭标签；能对窗口进行最小化、最大化、关闭。</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8.移动：终端应用软件支持用户将固定在桌面上的快捷操作栏拖动到屏幕的任意位置，当用户拖动快捷操作栏靠近屏幕边缘时会自动收到侧边；鼠标悬浮在侧边的时候，会弹出该快捷操作栏，再次拖动快捷操作栏会取消收起。</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9.截屏：支持自定义框选屏幕的内容；截取的内容支持画笔标注，支持选择画笔粗细和画笔颜色；支持识别出截取的文字内容，并能对文字进行复制；支持保存截图到电脑本地或者快速发送到接收端软件中；支持保存截图到剪切板，并能粘贴到目标位置；支持快捷键唤起截图功能。</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10.长截图：支持长截图功能，可通过滚动鼠标滚轮方式对可截取区域进行长截图，截取完毕后，支持保存截图到电脑本地；支持保存截图到剪切板，并能粘贴到目标位置。（竞标时响应文件中须出具检验结果符合或者优于以该参数的国家认可的第三方认证（检测）机构出具的带有CMA(中文全称是中国计量认证)或CNAS(中国合格评定国家认可委员会)标志的检测报告）</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11.PDF格式转化：通过终端应用内置PDF格式转换功能，支持对PDF的文件进行转换格式，转换为XLSX、DOCX、PPT;转换后文件内容的排布与源PDF保持基本一致；支持对转换后的文件进行编辑，包括(编辑文本、编辑表格);转换后支持下载文件至电脑本地。</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12.图片转格式：支持对图片进行格式转换，图片原始格式为bmp、jpg、jpeg、png、webp;转换为jpg、png;转换后支持下载图片到电脑本地。</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13.提取文字：支持对图片进行在线文字识别，识别后支持对文字进行复制。</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14.智能抠图：支持通过本地上传图片、复制粘贴图片（包括但不限于直接从网页、本地资源管理器中可复制的图片资源）、手机拍照上传的方式上传图片，通过对图片进行智能识别主体并抠图得到图片中的主体，支持扣取纯色背景、复杂背景的图片。</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15.清除笔迹：支持通过本地上传图片、复制粘贴图片（包括但不限于直接从网页、本地资源管理器中可复制的图片资源）、手机拍照上传的方式上传图片，通过对图片中书写的笔迹进行识别，可清除图片中手写的笔迹，支持清除的笔迹包括不限于手写的字母、手写的汉字、手写的图形、手写的符号。（竞标时响应文件中须出具检验结果符合或者优于以该参数的国家认可的第三方认证（检测）机构出具的带有CMA(中文全称是中国计量认证)或CNAS(中国合格评定国家认可委员会)标志的检测报告）</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16.内容总结：支持对格式为txt、html、doc、docx、csv、xlsx、pdf进行大模型识别并进行内容总结，总结后的内容可复制，并可根据总结内容自动生成思维导图，思维导图可以编辑。</w:t>
            </w:r>
            <w:r>
              <w:rPr>
                <w:rFonts w:hint="eastAsia" w:asciiTheme="minorEastAsia" w:hAnsiTheme="minorEastAsia" w:eastAsiaTheme="minorEastAsia" w:cstheme="minorEastAsia"/>
                <w:color w:val="auto"/>
                <w:sz w:val="18"/>
                <w:szCs w:val="18"/>
                <w:lang w:val="en-US" w:eastAsia="zh-CN"/>
              </w:rPr>
              <w:br w:type="textWrapping"/>
            </w:r>
            <w:r>
              <w:rPr>
                <w:rFonts w:hint="eastAsia" w:asciiTheme="minorEastAsia" w:hAnsiTheme="minorEastAsia" w:eastAsiaTheme="minorEastAsia" w:cstheme="minorEastAsia"/>
                <w:color w:val="auto"/>
                <w:sz w:val="18"/>
                <w:szCs w:val="18"/>
                <w:lang w:val="en-US" w:eastAsia="zh-CN"/>
              </w:rPr>
              <w:t>17.快速剪辑：支持提取视频的声音并转换成文字，自动识别出语气词，用户可选择删除，支持手动删除文字。</w:t>
            </w:r>
          </w:p>
          <w:p w14:paraId="0C709DF9">
            <w:pPr>
              <w:pStyle w:val="2"/>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18.</w:t>
            </w:r>
            <w:r>
              <w:rPr>
                <w:rFonts w:hint="eastAsia" w:asciiTheme="minorEastAsia" w:hAnsiTheme="minorEastAsia" w:eastAsiaTheme="minorEastAsia" w:cstheme="minorEastAsia"/>
                <w:color w:val="auto"/>
                <w:sz w:val="18"/>
                <w:szCs w:val="18"/>
              </w:rPr>
              <w:t>为保证所投产品配套软件持续开发、更新与维护能力达标，所投产品生产厂家持有SPCA 软件能力成熟度等级 3 级及以上证书，具备组织级软件过程管理与持续改进能力，保障软件全生命周期服务质量。投标文件中</w:t>
            </w:r>
            <w:r>
              <w:rPr>
                <w:rFonts w:hint="eastAsia" w:asciiTheme="minorEastAsia" w:hAnsiTheme="minorEastAsia" w:eastAsiaTheme="minorEastAsia" w:cstheme="minorEastAsia"/>
                <w:color w:val="auto"/>
                <w:sz w:val="18"/>
                <w:szCs w:val="18"/>
                <w:lang w:val="en-US" w:eastAsia="zh-CN"/>
              </w:rPr>
              <w:t>要求</w:t>
            </w:r>
            <w:r>
              <w:rPr>
                <w:rFonts w:hint="eastAsia" w:asciiTheme="minorEastAsia" w:hAnsiTheme="minorEastAsia" w:eastAsiaTheme="minorEastAsia" w:cstheme="minorEastAsia"/>
                <w:color w:val="auto"/>
                <w:sz w:val="18"/>
                <w:szCs w:val="18"/>
              </w:rPr>
              <w:t>提供证书复印件。</w:t>
            </w:r>
          </w:p>
          <w:p w14:paraId="59C80E4E">
            <w:pPr>
              <w:keepNext w:val="0"/>
              <w:keepLines w:val="0"/>
              <w:widowControl/>
              <w:suppressLineNumbers w:val="0"/>
              <w:jc w:val="both"/>
              <w:textAlignment w:val="center"/>
              <w:rPr>
                <w:rFonts w:hint="eastAsia" w:ascii="宋体" w:hAnsi="宋体" w:cs="宋体"/>
                <w:b/>
                <w:color w:val="auto"/>
                <w:sz w:val="18"/>
                <w:szCs w:val="18"/>
              </w:rPr>
            </w:pPr>
            <w:r>
              <w:rPr>
                <w:rFonts w:hint="eastAsia" w:asciiTheme="minorEastAsia" w:hAnsiTheme="minorEastAsia" w:eastAsiaTheme="minorEastAsia" w:cstheme="minorEastAsia"/>
                <w:color w:val="auto"/>
                <w:sz w:val="18"/>
                <w:szCs w:val="18"/>
                <w:lang w:val="en-US" w:eastAsia="zh-CN"/>
              </w:rPr>
              <w:t>四、为确保货物质量及原厂品质，中标供应商在正式供货时必须提供生产厂家针对此项目的售后服务保证原件、供货证明原件，否则采购方将不予验收通过。</w:t>
            </w:r>
          </w:p>
        </w:tc>
        <w:tc>
          <w:tcPr>
            <w:tcW w:w="5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58C01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套</w:t>
            </w:r>
          </w:p>
        </w:tc>
        <w:tc>
          <w:tcPr>
            <w:tcW w:w="4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6A17DD">
            <w:pPr>
              <w:keepNext w:val="0"/>
              <w:keepLines w:val="0"/>
              <w:widowControl/>
              <w:suppressLineNumbers w:val="0"/>
              <w:jc w:val="center"/>
              <w:textAlignment w:val="center"/>
              <w:rPr>
                <w:rFonts w:hint="eastAsia" w:ascii="宋体" w:hAnsi="宋体" w:cs="宋体"/>
                <w:b/>
                <w:color w:val="auto"/>
                <w:sz w:val="18"/>
                <w:szCs w:val="18"/>
              </w:rPr>
            </w:pPr>
            <w:r>
              <w:rPr>
                <w:rFonts w:hint="eastAsia" w:ascii="宋体" w:hAnsi="宋体" w:cs="宋体"/>
                <w:color w:val="auto"/>
                <w:sz w:val="18"/>
                <w:szCs w:val="18"/>
                <w:lang w:val="en-US" w:eastAsia="zh-CN"/>
              </w:rPr>
              <w:t>90</w:t>
            </w:r>
          </w:p>
        </w:tc>
        <w:tc>
          <w:tcPr>
            <w:tcW w:w="7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86C08">
            <w:pPr>
              <w:jc w:val="center"/>
              <w:rPr>
                <w:rFonts w:hint="eastAsia" w:ascii="宋体" w:hAnsi="宋体" w:cs="宋体"/>
                <w:color w:val="auto"/>
                <w:sz w:val="18"/>
                <w:szCs w:val="18"/>
              </w:rPr>
            </w:pPr>
            <w:r>
              <w:rPr>
                <w:rStyle w:val="53"/>
                <w:rFonts w:hint="eastAsia"/>
                <w:color w:val="auto"/>
                <w:sz w:val="18"/>
                <w:szCs w:val="18"/>
                <w:lang w:val="en-US" w:eastAsia="zh-CN"/>
              </w:rPr>
              <w:t>希沃D0830-5G11X00</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1C9C2B">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5030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F516E8">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sz w:val="18"/>
                <w:szCs w:val="18"/>
                <w:lang w:val="en-US" w:eastAsia="zh-CN"/>
              </w:rPr>
              <w:t>452700</w:t>
            </w:r>
          </w:p>
        </w:tc>
      </w:tr>
      <w:tr w14:paraId="4AC159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 w:hRule="atLeast"/>
          <w:jc w:val="center"/>
        </w:trPr>
        <w:tc>
          <w:tcPr>
            <w:tcW w:w="9378" w:type="dxa"/>
            <w:gridSpan w:val="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CA5B04A">
            <w:pPr>
              <w:tabs>
                <w:tab w:val="left" w:pos="6217"/>
              </w:tabs>
              <w:jc w:val="center"/>
              <w:rPr>
                <w:rStyle w:val="53"/>
                <w:rFonts w:hint="default"/>
                <w:color w:val="auto"/>
                <w:sz w:val="18"/>
                <w:szCs w:val="18"/>
                <w:lang w:val="en-US" w:eastAsia="zh-CN"/>
              </w:rPr>
            </w:pPr>
            <w:r>
              <w:rPr>
                <w:rStyle w:val="53"/>
                <w:rFonts w:hint="eastAsia"/>
                <w:color w:val="auto"/>
                <w:sz w:val="18"/>
                <w:szCs w:val="18"/>
                <w:lang w:val="en-US" w:eastAsia="zh-CN"/>
              </w:rPr>
              <w:t>合计</w:t>
            </w:r>
          </w:p>
        </w:tc>
        <w:tc>
          <w:tcPr>
            <w:tcW w:w="1541"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3F3C38">
            <w:pPr>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452700</w:t>
            </w:r>
          </w:p>
        </w:tc>
      </w:tr>
      <w:bookmarkEnd w:id="0"/>
      <w:bookmarkEnd w:id="1"/>
      <w:bookmarkEnd w:id="2"/>
      <w:tr w14:paraId="4F4D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919" w:type="dxa"/>
            <w:gridSpan w:val="8"/>
            <w:vAlign w:val="center"/>
          </w:tcPr>
          <w:p w14:paraId="4026DAB1">
            <w:pPr>
              <w:pStyle w:val="10"/>
              <w:rPr>
                <w:rFonts w:hint="eastAsia" w:ascii="宋体" w:hAnsi="宋体" w:eastAsia="宋体" w:cs="宋体"/>
                <w:b/>
                <w:bCs/>
                <w:color w:val="auto"/>
                <w:sz w:val="18"/>
                <w:szCs w:val="18"/>
                <w:highlight w:val="none"/>
                <w:lang w:eastAsia="zh-CN"/>
              </w:rPr>
            </w:pPr>
            <w:r>
              <w:rPr>
                <w:rFonts w:hint="eastAsia" w:ascii="宋体" w:hAnsi="宋体" w:cs="宋体"/>
                <w:b/>
                <w:color w:val="auto"/>
                <w:sz w:val="18"/>
                <w:szCs w:val="18"/>
                <w:lang w:val="en-US" w:eastAsia="zh-CN"/>
              </w:rPr>
              <w:t>注：</w:t>
            </w:r>
            <w:r>
              <w:rPr>
                <w:rFonts w:hint="eastAsia" w:ascii="宋体" w:hAnsi="宋体" w:cs="宋体"/>
                <w:b/>
                <w:color w:val="auto"/>
                <w:sz w:val="18"/>
                <w:szCs w:val="18"/>
              </w:rPr>
              <w:t>本需求一览表中所有内容均为实质性要求和条件，投标人须满足或响应，若无法完全满足，将会被认定为无效投标；</w:t>
            </w:r>
          </w:p>
        </w:tc>
      </w:tr>
      <w:tr w14:paraId="76B7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919" w:type="dxa"/>
            <w:gridSpan w:val="8"/>
            <w:vAlign w:val="center"/>
          </w:tcPr>
          <w:p w14:paraId="2A09337E">
            <w:pPr>
              <w:snapToGrid w:val="0"/>
              <w:spacing w:line="336" w:lineRule="exact"/>
              <w:jc w:val="center"/>
              <w:rPr>
                <w:rFonts w:hint="eastAsia" w:ascii="宋体" w:hAnsi="宋体" w:eastAsia="宋体" w:cs="宋体"/>
                <w:b/>
                <w:bCs/>
                <w:color w:val="auto"/>
                <w:sz w:val="18"/>
                <w:szCs w:val="18"/>
                <w:highlight w:val="none"/>
                <w:lang w:eastAsia="zh-CN"/>
              </w:rPr>
            </w:pPr>
            <w:r>
              <w:rPr>
                <w:rFonts w:hint="eastAsia" w:ascii="宋体" w:hAnsi="宋体" w:eastAsia="宋体" w:cs="宋体"/>
                <w:b/>
                <w:bCs/>
                <w:color w:val="auto"/>
                <w:sz w:val="18"/>
                <w:szCs w:val="18"/>
                <w:highlight w:val="none"/>
                <w:lang w:eastAsia="zh-CN"/>
              </w:rPr>
              <w:t>商务要求</w:t>
            </w:r>
            <w:r>
              <w:rPr>
                <w:rFonts w:hint="eastAsia" w:ascii="宋体" w:hAnsi="宋体" w:eastAsia="宋体" w:cs="宋体"/>
                <w:color w:val="auto"/>
                <w:sz w:val="18"/>
                <w:szCs w:val="18"/>
                <w:highlight w:val="none"/>
              </w:rPr>
              <w:t>★</w:t>
            </w:r>
          </w:p>
        </w:tc>
      </w:tr>
      <w:tr w14:paraId="75F1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538" w:type="dxa"/>
            <w:gridSpan w:val="2"/>
            <w:vAlign w:val="center"/>
          </w:tcPr>
          <w:p w14:paraId="30A8DABE">
            <w:pPr>
              <w:jc w:val="left"/>
              <w:rPr>
                <w:rFonts w:hint="eastAsia" w:ascii="宋体" w:hAnsi="宋体" w:eastAsia="宋体" w:cs="宋体"/>
                <w:color w:val="auto"/>
                <w:szCs w:val="21"/>
                <w:highlight w:val="none"/>
                <w:lang w:val="en-US" w:eastAsia="zh-CN"/>
              </w:rPr>
            </w:pPr>
            <w:bookmarkStart w:id="3" w:name="OLE_LINK11" w:colFirst="0" w:colLast="1"/>
            <w:r>
              <w:rPr>
                <w:rFonts w:hint="eastAsia" w:ascii="宋体" w:hAnsi="宋体" w:eastAsia="宋体" w:cs="宋体"/>
                <w:color w:val="auto"/>
                <w:szCs w:val="21"/>
                <w:highlight w:val="none"/>
              </w:rPr>
              <w:t>售后服务要求</w:t>
            </w:r>
          </w:p>
        </w:tc>
        <w:tc>
          <w:tcPr>
            <w:tcW w:w="9381" w:type="dxa"/>
            <w:gridSpan w:val="6"/>
            <w:vAlign w:val="center"/>
          </w:tcPr>
          <w:p w14:paraId="52AAEC53">
            <w:pPr>
              <w:jc w:val="left"/>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val="en-US" w:eastAsia="zh-CN"/>
              </w:rPr>
              <w:t>.售后服务</w:t>
            </w:r>
          </w:p>
          <w:p w14:paraId="3F9915B1">
            <w:pPr>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（1）产品按国家有关规定或厂家承诺实行“三包”，免费安装调试合格。</w:t>
            </w:r>
            <w:r>
              <w:rPr>
                <w:rFonts w:hint="eastAsia" w:ascii="宋体" w:hAnsi="宋体" w:cs="宋体"/>
                <w:color w:val="auto"/>
                <w:sz w:val="18"/>
                <w:szCs w:val="18"/>
                <w:highlight w:val="none"/>
              </w:rPr>
              <w:t>原厂</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rPr>
              <w:t>3年整机保修，包括键盘</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鼠标</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显示器等设备；原厂</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rPr>
              <w:t>3年下一工作日上门服务，每周7天24小时热线支持服务；以400电话</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800电话或官方网站查询得到的保修年限数据为准。</w:t>
            </w:r>
            <w:r>
              <w:rPr>
                <w:rFonts w:hint="eastAsia" w:ascii="宋体" w:hAnsi="宋体" w:eastAsia="宋体" w:cs="宋体"/>
                <w:color w:val="auto"/>
                <w:sz w:val="18"/>
                <w:szCs w:val="18"/>
                <w:highlight w:val="none"/>
                <w:lang w:val="en-US" w:eastAsia="zh-CN"/>
              </w:rPr>
              <w:t>按中标人承诺的维护期结束后进入有偿维护，维护费收取标准由中标人根据具体情况提出方案后报业主审核，经双方协商后确认收费标准。</w:t>
            </w:r>
          </w:p>
          <w:p w14:paraId="13C5D2C1">
            <w:pPr>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）售后服务时间及方式</w:t>
            </w:r>
          </w:p>
          <w:p w14:paraId="5AB4D6A6">
            <w:pPr>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①</w:t>
            </w:r>
            <w:r>
              <w:rPr>
                <w:rFonts w:hint="eastAsia" w:ascii="宋体" w:hAnsi="宋体" w:cs="宋体"/>
                <w:color w:val="auto"/>
                <w:sz w:val="18"/>
                <w:szCs w:val="18"/>
                <w:highlight w:val="none"/>
                <w:lang w:val="en-US" w:eastAsia="zh-CN"/>
              </w:rPr>
              <w:t>原厂</w:t>
            </w:r>
            <w:r>
              <w:rPr>
                <w:rFonts w:hint="eastAsia" w:ascii="宋体" w:hAnsi="宋体" w:eastAsia="宋体" w:cs="宋体"/>
                <w:color w:val="auto"/>
                <w:sz w:val="18"/>
                <w:szCs w:val="18"/>
                <w:highlight w:val="none"/>
                <w:lang w:val="en-US" w:eastAsia="zh-CN"/>
              </w:rPr>
              <w:t>提供每周</w:t>
            </w:r>
            <w:r>
              <w:rPr>
                <w:rFonts w:hint="eastAsia" w:ascii="宋体" w:hAnsi="宋体" w:cs="宋体"/>
                <w:color w:val="auto"/>
                <w:sz w:val="18"/>
                <w:szCs w:val="18"/>
                <w:highlight w:val="none"/>
                <w:lang w:val="en-US" w:eastAsia="zh-CN"/>
              </w:rPr>
              <w:t>7</w:t>
            </w:r>
            <w:r>
              <w:rPr>
                <w:rFonts w:hint="eastAsia" w:ascii="宋体" w:hAnsi="宋体" w:eastAsia="宋体" w:cs="宋体"/>
                <w:color w:val="auto"/>
                <w:sz w:val="18"/>
                <w:szCs w:val="18"/>
                <w:highlight w:val="none"/>
                <w:lang w:val="en-US" w:eastAsia="zh-CN"/>
              </w:rPr>
              <w:t>天，每天8小时不间断的电话支持服务，解答采购人在系统使用、维护过程中遇到的问题，并及时提出解决问题的建议和操作方法；定期回访、维护。</w:t>
            </w:r>
          </w:p>
          <w:p w14:paraId="76A0AB10">
            <w:pPr>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②服务响应时间：一般故障</w:t>
            </w:r>
            <w:r>
              <w:rPr>
                <w:rFonts w:hint="eastAsia" w:ascii="宋体" w:hAnsi="宋体" w:cs="宋体"/>
                <w:color w:val="auto"/>
                <w:sz w:val="18"/>
                <w:szCs w:val="18"/>
                <w:highlight w:val="none"/>
                <w:lang w:val="en-US" w:eastAsia="zh-CN"/>
              </w:rPr>
              <w:t>8</w:t>
            </w:r>
            <w:r>
              <w:rPr>
                <w:rFonts w:hint="eastAsia" w:ascii="宋体" w:hAnsi="宋体" w:eastAsia="宋体" w:cs="宋体"/>
                <w:color w:val="auto"/>
                <w:sz w:val="18"/>
                <w:szCs w:val="18"/>
                <w:highlight w:val="none"/>
                <w:lang w:val="en-US" w:eastAsia="zh-CN"/>
              </w:rPr>
              <w:t>小时</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严重故障</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小时。</w:t>
            </w:r>
          </w:p>
          <w:p w14:paraId="54BB32D0">
            <w:pPr>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③响应手段：电话、传真和电子邮件及现场服务。</w:t>
            </w:r>
          </w:p>
          <w:p w14:paraId="3516E28A">
            <w:pPr>
              <w:jc w:val="left"/>
              <w:rPr>
                <w:rFonts w:hint="eastAsia" w:ascii="宋体" w:hAnsi="宋体" w:eastAsia="宋体" w:cs="宋体"/>
                <w:color w:val="auto"/>
                <w:sz w:val="18"/>
                <w:szCs w:val="18"/>
                <w:highlight w:val="none"/>
              </w:rPr>
            </w:pPr>
            <w:r>
              <w:rPr>
                <w:rFonts w:hint="eastAsia" w:ascii="宋体" w:hAnsi="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val="en-US" w:eastAsia="zh-CN"/>
              </w:rPr>
              <w:t>.售后保障</w:t>
            </w:r>
          </w:p>
          <w:p w14:paraId="036F7AE5">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为确保长期的</w:t>
            </w:r>
            <w:r>
              <w:rPr>
                <w:rFonts w:hint="eastAsia" w:ascii="宋体" w:hAnsi="宋体" w:cs="宋体"/>
                <w:color w:val="auto"/>
                <w:sz w:val="18"/>
                <w:szCs w:val="18"/>
                <w:highlight w:val="none"/>
                <w:lang w:val="en-US" w:eastAsia="zh-CN"/>
              </w:rPr>
              <w:t>台式计算机</w:t>
            </w:r>
            <w:r>
              <w:rPr>
                <w:rFonts w:hint="eastAsia" w:ascii="宋体" w:hAnsi="宋体" w:eastAsia="宋体" w:cs="宋体"/>
                <w:color w:val="auto"/>
                <w:sz w:val="18"/>
                <w:szCs w:val="18"/>
                <w:highlight w:val="none"/>
              </w:rPr>
              <w:t>运维服务及服务质量，本次项目要求</w:t>
            </w:r>
            <w:r>
              <w:rPr>
                <w:rFonts w:hint="eastAsia" w:ascii="宋体" w:hAnsi="宋体" w:cs="宋体"/>
                <w:color w:val="auto"/>
                <w:sz w:val="18"/>
                <w:szCs w:val="18"/>
                <w:highlight w:val="none"/>
                <w:lang w:val="en-US" w:eastAsia="zh-CN"/>
              </w:rPr>
              <w:t>自到货安装之日起至产品质保期结束，须</w:t>
            </w:r>
            <w:r>
              <w:rPr>
                <w:rFonts w:hint="eastAsia" w:ascii="宋体" w:hAnsi="宋体" w:eastAsia="宋体" w:cs="宋体"/>
                <w:color w:val="auto"/>
                <w:sz w:val="18"/>
                <w:szCs w:val="18"/>
                <w:highlight w:val="none"/>
              </w:rPr>
              <w:t>提供一线驻场运维服务工程师，不少于1人</w:t>
            </w:r>
            <w:r>
              <w:rPr>
                <w:rFonts w:hint="eastAsia" w:ascii="宋体" w:hAnsi="宋体" w:cs="宋体"/>
                <w:color w:val="auto"/>
                <w:sz w:val="18"/>
                <w:szCs w:val="18"/>
                <w:highlight w:val="none"/>
                <w:lang w:val="en-US" w:eastAsia="zh-CN"/>
              </w:rPr>
              <w:t>到采购人指定地点</w:t>
            </w:r>
            <w:r>
              <w:rPr>
                <w:rFonts w:hint="eastAsia" w:ascii="宋体" w:hAnsi="宋体" w:eastAsia="宋体" w:cs="宋体"/>
                <w:color w:val="auto"/>
                <w:sz w:val="18"/>
                <w:szCs w:val="18"/>
                <w:highlight w:val="none"/>
              </w:rPr>
              <w:t>驻场，二线运维工程师不少于2人</w:t>
            </w:r>
            <w:r>
              <w:rPr>
                <w:rFonts w:hint="eastAsia" w:ascii="宋体" w:hAnsi="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能长期保证计算机系统安全、可靠、高效运行，必须提供5*8小时</w:t>
            </w:r>
            <w:r>
              <w:rPr>
                <w:rFonts w:hint="eastAsia" w:ascii="宋体" w:hAnsi="宋体" w:cs="宋体"/>
                <w:color w:val="auto"/>
                <w:sz w:val="18"/>
                <w:szCs w:val="18"/>
                <w:highlight w:val="none"/>
                <w:lang w:val="en-US" w:eastAsia="zh-CN"/>
              </w:rPr>
              <w:t>计算机</w:t>
            </w:r>
            <w:r>
              <w:rPr>
                <w:rFonts w:hint="eastAsia" w:ascii="宋体" w:hAnsi="宋体" w:eastAsia="宋体" w:cs="宋体"/>
                <w:color w:val="auto"/>
                <w:sz w:val="18"/>
                <w:szCs w:val="18"/>
                <w:highlight w:val="none"/>
                <w:lang w:val="en-US" w:eastAsia="zh-CN"/>
              </w:rPr>
              <w:t>软</w:t>
            </w:r>
            <w:r>
              <w:rPr>
                <w:rFonts w:hint="eastAsia" w:ascii="宋体" w:hAnsi="宋体" w:cs="宋体"/>
                <w:color w:val="auto"/>
                <w:sz w:val="18"/>
                <w:szCs w:val="18"/>
                <w:highlight w:val="none"/>
                <w:lang w:val="en-US" w:eastAsia="zh-CN"/>
              </w:rPr>
              <w:t>硬</w:t>
            </w:r>
            <w:r>
              <w:rPr>
                <w:rFonts w:hint="eastAsia" w:ascii="宋体" w:hAnsi="宋体" w:eastAsia="宋体" w:cs="宋体"/>
                <w:color w:val="auto"/>
                <w:sz w:val="18"/>
                <w:szCs w:val="18"/>
                <w:highlight w:val="none"/>
                <w:lang w:val="en-US" w:eastAsia="zh-CN"/>
              </w:rPr>
              <w:t>件的现场安装服务和技术故障处理、计算机软件升级</w:t>
            </w:r>
            <w:r>
              <w:rPr>
                <w:rFonts w:hint="eastAsia" w:ascii="宋体" w:hAnsi="宋体" w:cs="宋体"/>
                <w:color w:val="auto"/>
                <w:sz w:val="18"/>
                <w:szCs w:val="18"/>
                <w:highlight w:val="none"/>
                <w:lang w:val="en-US" w:eastAsia="zh-CN"/>
              </w:rPr>
              <w:t>，安全杀毒保障</w:t>
            </w:r>
            <w:r>
              <w:rPr>
                <w:rFonts w:hint="eastAsia" w:ascii="宋体" w:hAnsi="宋体" w:eastAsia="宋体" w:cs="宋体"/>
                <w:color w:val="auto"/>
                <w:sz w:val="18"/>
                <w:szCs w:val="18"/>
                <w:highlight w:val="none"/>
                <w:lang w:val="en-US" w:eastAsia="zh-CN"/>
              </w:rPr>
              <w:t>服务。</w:t>
            </w:r>
          </w:p>
          <w:p w14:paraId="61EB73F7">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投标人拟投入本项目的驻场运维服务工程师须为供应商本单位正式员工，具有至少2年计算机维护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计算机网络等相关工作经历，具有经验丰富的计算机</w:t>
            </w:r>
            <w:r>
              <w:rPr>
                <w:rFonts w:hint="eastAsia" w:ascii="宋体" w:hAnsi="宋体" w:eastAsia="宋体" w:cs="宋体"/>
                <w:color w:val="auto"/>
                <w:sz w:val="18"/>
                <w:szCs w:val="18"/>
                <w:highlight w:val="none"/>
                <w:lang w:eastAsia="zh-CN"/>
              </w:rPr>
              <w:t>相关专业工程师或以上职称</w:t>
            </w:r>
            <w:r>
              <w:rPr>
                <w:rFonts w:hint="eastAsia" w:ascii="宋体" w:hAnsi="宋体" w:eastAsia="宋体" w:cs="宋体"/>
                <w:color w:val="auto"/>
                <w:sz w:val="18"/>
                <w:szCs w:val="18"/>
                <w:highlight w:val="none"/>
              </w:rPr>
              <w:t>，包括计算机</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网络</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数据库</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计算机网络软件成熟操作能力。</w:t>
            </w:r>
          </w:p>
          <w:p w14:paraId="120E465F">
            <w:pPr>
              <w:jc w:val="left"/>
              <w:rPr>
                <w:rFonts w:hint="eastAsia" w:ascii="宋体" w:hAnsi="宋体" w:eastAsia="宋体" w:cs="宋体"/>
                <w:color w:val="auto"/>
                <w:szCs w:val="21"/>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售后服务服务过程中如有违反约定的情况，采购人有权扣除履约保证金。</w:t>
            </w:r>
          </w:p>
        </w:tc>
      </w:tr>
      <w:tr w14:paraId="3915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38" w:type="dxa"/>
            <w:gridSpan w:val="2"/>
            <w:vAlign w:val="center"/>
          </w:tcPr>
          <w:p w14:paraId="048689B6">
            <w:pPr>
              <w:jc w:val="center"/>
              <w:rPr>
                <w:rFonts w:hint="eastAsia" w:ascii="宋体" w:hAnsi="宋体" w:cs="宋体"/>
                <w:color w:val="auto"/>
                <w:szCs w:val="21"/>
              </w:rPr>
            </w:pPr>
            <w:r>
              <w:rPr>
                <w:rFonts w:hint="eastAsia" w:ascii="宋体" w:hAnsi="宋体" w:cs="宋体"/>
                <w:color w:val="auto"/>
                <w:kern w:val="0"/>
                <w:szCs w:val="21"/>
              </w:rPr>
              <w:t>核心产品</w:t>
            </w:r>
          </w:p>
        </w:tc>
        <w:tc>
          <w:tcPr>
            <w:tcW w:w="9381" w:type="dxa"/>
            <w:gridSpan w:val="6"/>
            <w:vAlign w:val="center"/>
          </w:tcPr>
          <w:p w14:paraId="24194748">
            <w:pPr>
              <w:jc w:val="left"/>
              <w:rPr>
                <w:rFonts w:hint="eastAsia" w:ascii="宋体" w:hAnsi="宋体" w:eastAsia="宋体" w:cs="宋体"/>
                <w:b/>
                <w:bCs w:val="0"/>
                <w:color w:val="auto"/>
                <w:sz w:val="21"/>
                <w:szCs w:val="21"/>
                <w:lang w:val="en-US"/>
              </w:rPr>
            </w:pPr>
            <w:r>
              <w:rPr>
                <w:rFonts w:hint="eastAsia" w:ascii="宋体" w:hAnsi="宋体" w:eastAsia="宋体" w:cs="宋体"/>
                <w:b/>
                <w:bCs w:val="0"/>
                <w:color w:val="auto"/>
                <w:sz w:val="18"/>
                <w:szCs w:val="18"/>
                <w:lang w:val="en-US"/>
              </w:rPr>
              <w:t>第</w:t>
            </w: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rPr>
              <w:t>项货物“</w:t>
            </w:r>
            <w:r>
              <w:rPr>
                <w:rFonts w:hint="eastAsia" w:ascii="宋体" w:hAnsi="宋体" w:eastAsia="宋体" w:cs="宋体"/>
                <w:b/>
                <w:bCs w:val="0"/>
                <w:color w:val="auto"/>
                <w:sz w:val="18"/>
                <w:szCs w:val="18"/>
                <w:lang w:val="en-US" w:eastAsia="zh-CN"/>
              </w:rPr>
              <w:t>台式计算机</w:t>
            </w:r>
            <w:r>
              <w:rPr>
                <w:rFonts w:hint="eastAsia" w:ascii="宋体" w:hAnsi="宋体" w:eastAsia="宋体" w:cs="宋体"/>
                <w:b/>
                <w:bCs w:val="0"/>
                <w:color w:val="auto"/>
                <w:sz w:val="18"/>
                <w:szCs w:val="18"/>
                <w:lang w:val="en-US"/>
              </w:rPr>
              <w:t>”</w:t>
            </w:r>
          </w:p>
        </w:tc>
      </w:tr>
      <w:tr w14:paraId="10A2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38" w:type="dxa"/>
            <w:gridSpan w:val="2"/>
            <w:vAlign w:val="center"/>
          </w:tcPr>
          <w:p w14:paraId="1D7B3861">
            <w:pPr>
              <w:jc w:val="center"/>
              <w:rPr>
                <w:rFonts w:hint="eastAsia" w:ascii="宋体" w:hAnsi="宋体" w:eastAsia="宋体" w:cs="宋体"/>
                <w:color w:val="auto"/>
                <w:szCs w:val="21"/>
                <w:highlight w:val="none"/>
              </w:rPr>
            </w:pPr>
            <w:r>
              <w:rPr>
                <w:rFonts w:hint="eastAsia" w:ascii="宋体" w:hAnsi="宋体" w:cs="宋体"/>
                <w:color w:val="auto"/>
                <w:kern w:val="0"/>
                <w:szCs w:val="21"/>
              </w:rPr>
              <w:t>交付使用期及地点</w:t>
            </w:r>
          </w:p>
        </w:tc>
        <w:tc>
          <w:tcPr>
            <w:tcW w:w="9381" w:type="dxa"/>
            <w:gridSpan w:val="6"/>
            <w:vAlign w:val="center"/>
          </w:tcPr>
          <w:p w14:paraId="4E880EEC">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1.交付期：自</w:t>
            </w:r>
            <w:r>
              <w:rPr>
                <w:rFonts w:hint="eastAsia" w:ascii="宋体" w:hAnsi="宋体" w:cs="宋体"/>
                <w:color w:val="auto"/>
                <w:sz w:val="18"/>
                <w:szCs w:val="18"/>
                <w:highlight w:val="none"/>
                <w:lang w:val="en-US" w:eastAsia="zh-CN"/>
              </w:rPr>
              <w:t>签订合同之后，按批次交付，接到采购人通知起1</w:t>
            </w:r>
            <w:r>
              <w:rPr>
                <w:rFonts w:hint="eastAsia" w:ascii="宋体" w:hAnsi="宋体" w:eastAsia="宋体" w:cs="宋体"/>
                <w:color w:val="auto"/>
                <w:sz w:val="18"/>
                <w:szCs w:val="18"/>
                <w:highlight w:val="none"/>
                <w:lang w:val="en-US" w:eastAsia="zh-CN"/>
              </w:rPr>
              <w:t>个工作日</w:t>
            </w:r>
            <w:r>
              <w:rPr>
                <w:rFonts w:hint="eastAsia" w:ascii="宋体" w:hAnsi="宋体" w:eastAsia="宋体" w:cs="宋体"/>
                <w:color w:val="auto"/>
                <w:sz w:val="18"/>
                <w:szCs w:val="18"/>
                <w:highlight w:val="none"/>
              </w:rPr>
              <w:t>内</w:t>
            </w:r>
            <w:r>
              <w:rPr>
                <w:rFonts w:hint="eastAsia" w:ascii="宋体" w:hAnsi="宋体" w:eastAsia="宋体" w:cs="宋体"/>
                <w:color w:val="auto"/>
                <w:sz w:val="18"/>
                <w:szCs w:val="18"/>
                <w:highlight w:val="none"/>
                <w:lang w:val="en-US" w:eastAsia="zh-CN"/>
              </w:rPr>
              <w:t>完成安装</w:t>
            </w:r>
            <w:r>
              <w:rPr>
                <w:rFonts w:hint="eastAsia" w:ascii="宋体" w:hAnsi="宋体" w:eastAsia="宋体" w:cs="宋体"/>
                <w:color w:val="auto"/>
                <w:sz w:val="18"/>
                <w:szCs w:val="18"/>
                <w:highlight w:val="none"/>
              </w:rPr>
              <w:t>验收合格并交付采购人使用。</w:t>
            </w:r>
          </w:p>
          <w:p w14:paraId="50C7A62D">
            <w:pPr>
              <w:jc w:val="left"/>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2.交付地点：招标人指定地点。</w:t>
            </w:r>
          </w:p>
        </w:tc>
      </w:tr>
      <w:tr w14:paraId="3449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538" w:type="dxa"/>
            <w:gridSpan w:val="2"/>
            <w:vAlign w:val="center"/>
          </w:tcPr>
          <w:p w14:paraId="1754224C">
            <w:pPr>
              <w:jc w:val="center"/>
              <w:rPr>
                <w:rFonts w:hint="eastAsia" w:ascii="宋体" w:hAnsi="宋体" w:eastAsia="宋体" w:cs="宋体"/>
                <w:color w:val="auto"/>
                <w:szCs w:val="21"/>
                <w:highlight w:val="none"/>
              </w:rPr>
            </w:pPr>
            <w:r>
              <w:rPr>
                <w:rFonts w:hint="eastAsia" w:ascii="宋体" w:hAnsi="宋体" w:cs="宋体"/>
                <w:color w:val="auto"/>
                <w:kern w:val="0"/>
                <w:szCs w:val="21"/>
              </w:rPr>
              <w:t>付款方式</w:t>
            </w:r>
          </w:p>
        </w:tc>
        <w:tc>
          <w:tcPr>
            <w:tcW w:w="9381" w:type="dxa"/>
            <w:gridSpan w:val="6"/>
            <w:vAlign w:val="center"/>
          </w:tcPr>
          <w:p w14:paraId="2A1133DF">
            <w:pPr>
              <w:pStyle w:val="10"/>
              <w:rPr>
                <w:rFonts w:hint="eastAsia" w:ascii="宋体" w:hAnsi="宋体" w:eastAsia="宋体" w:cs="宋体"/>
                <w:color w:val="auto"/>
                <w:szCs w:val="21"/>
                <w:highlight w:val="none"/>
                <w:lang w:val="en-US" w:eastAsia="zh-CN"/>
              </w:rPr>
            </w:pPr>
            <w:r>
              <w:rPr>
                <w:rFonts w:hint="eastAsia" w:ascii="宋体" w:hAnsi="宋体" w:eastAsia="宋体" w:cs="宋体"/>
                <w:color w:val="auto"/>
                <w:sz w:val="18"/>
                <w:szCs w:val="18"/>
                <w:lang w:val="en-US" w:eastAsia="zh-CN"/>
              </w:rPr>
              <w:t>合同签订后，</w:t>
            </w:r>
            <w:r>
              <w:rPr>
                <w:rFonts w:hint="eastAsia" w:ascii="宋体" w:hAnsi="宋体" w:eastAsia="宋体" w:cs="宋体"/>
                <w:color w:val="auto"/>
                <w:sz w:val="18"/>
                <w:szCs w:val="18"/>
              </w:rPr>
              <w:t>自验收合格</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培训指导完成、设备、软件正式使用）</w:t>
            </w:r>
            <w:r>
              <w:rPr>
                <w:rFonts w:hint="eastAsia" w:ascii="宋体" w:hAnsi="宋体" w:eastAsia="宋体" w:cs="宋体"/>
                <w:color w:val="auto"/>
                <w:sz w:val="18"/>
                <w:szCs w:val="18"/>
              </w:rPr>
              <w:t>收到</w:t>
            </w:r>
            <w:r>
              <w:rPr>
                <w:rFonts w:hint="eastAsia" w:ascii="宋体" w:hAnsi="宋体" w:eastAsia="宋体" w:cs="宋体"/>
                <w:i w:val="0"/>
                <w:iCs w:val="0"/>
                <w:color w:val="auto"/>
                <w:kern w:val="0"/>
                <w:sz w:val="18"/>
                <w:szCs w:val="18"/>
                <w:u w:val="none"/>
                <w:lang w:val="en-US" w:eastAsia="zh-CN" w:bidi="ar"/>
              </w:rPr>
              <w:t>正规等额、有效发票</w:t>
            </w:r>
            <w:r>
              <w:rPr>
                <w:rFonts w:hint="eastAsia" w:ascii="宋体" w:hAnsi="宋体" w:eastAsia="宋体" w:cs="宋体"/>
                <w:color w:val="auto"/>
                <w:sz w:val="18"/>
                <w:szCs w:val="18"/>
              </w:rPr>
              <w:t>之日起</w:t>
            </w:r>
            <w:r>
              <w:rPr>
                <w:rFonts w:hint="eastAsia" w:ascii="宋体" w:hAnsi="宋体" w:cs="宋体"/>
                <w:color w:val="auto"/>
                <w:sz w:val="18"/>
                <w:szCs w:val="18"/>
                <w:highlight w:val="none"/>
                <w:lang w:val="en-US" w:eastAsia="zh-CN"/>
              </w:rPr>
              <w:t>60个工作日后</w:t>
            </w:r>
            <w:r>
              <w:rPr>
                <w:rFonts w:hint="eastAsia" w:ascii="宋体" w:hAnsi="宋体" w:eastAsia="宋体" w:cs="宋体"/>
                <w:color w:val="auto"/>
                <w:sz w:val="18"/>
                <w:szCs w:val="18"/>
              </w:rPr>
              <w:t>支付合同价款的95%，合同价款的</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%作为履约保证金</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质保期</w:t>
            </w:r>
            <w:r>
              <w:rPr>
                <w:rFonts w:hint="eastAsia" w:ascii="宋体" w:hAnsi="宋体" w:cs="宋体"/>
                <w:color w:val="auto"/>
                <w:sz w:val="18"/>
                <w:szCs w:val="18"/>
                <w:u w:val="single"/>
                <w:lang w:val="en-US" w:eastAsia="zh-CN"/>
              </w:rPr>
              <w:t xml:space="preserve"> 三  </w:t>
            </w:r>
            <w:r>
              <w:rPr>
                <w:rFonts w:hint="eastAsia" w:ascii="宋体" w:hAnsi="宋体" w:cs="宋体"/>
                <w:color w:val="auto"/>
                <w:sz w:val="18"/>
                <w:szCs w:val="18"/>
                <w:lang w:val="en-US" w:eastAsia="zh-CN"/>
              </w:rPr>
              <w:t>年，</w:t>
            </w:r>
            <w:r>
              <w:rPr>
                <w:rFonts w:hint="eastAsia" w:ascii="宋体" w:hAnsi="宋体" w:eastAsia="宋体" w:cs="宋体"/>
                <w:i w:val="0"/>
                <w:iCs w:val="0"/>
                <w:color w:val="auto"/>
                <w:kern w:val="0"/>
                <w:sz w:val="18"/>
                <w:szCs w:val="18"/>
                <w:u w:val="none"/>
                <w:lang w:val="en-US" w:eastAsia="zh-CN" w:bidi="ar"/>
              </w:rPr>
              <w:t>质保期届满</w:t>
            </w:r>
            <w:r>
              <w:rPr>
                <w:rFonts w:hint="eastAsia" w:ascii="宋体" w:hAnsi="宋体" w:cs="宋体"/>
                <w:i w:val="0"/>
                <w:iCs w:val="0"/>
                <w:color w:val="auto"/>
                <w:kern w:val="0"/>
                <w:sz w:val="18"/>
                <w:szCs w:val="18"/>
                <w:u w:val="none"/>
                <w:lang w:val="en-US" w:eastAsia="zh-CN" w:bidi="ar"/>
              </w:rPr>
              <w:t>30</w:t>
            </w:r>
            <w:r>
              <w:rPr>
                <w:rFonts w:hint="eastAsia" w:ascii="宋体" w:hAnsi="宋体" w:eastAsia="宋体" w:cs="宋体"/>
                <w:i w:val="0"/>
                <w:iCs w:val="0"/>
                <w:color w:val="auto"/>
                <w:kern w:val="0"/>
                <w:sz w:val="18"/>
                <w:szCs w:val="18"/>
                <w:u w:val="none"/>
                <w:lang w:val="en-US" w:eastAsia="zh-CN" w:bidi="ar"/>
              </w:rPr>
              <w:t>个工作日</w:t>
            </w:r>
            <w:r>
              <w:rPr>
                <w:rFonts w:hint="eastAsia" w:ascii="宋体" w:hAnsi="宋体" w:cs="宋体"/>
                <w:i w:val="0"/>
                <w:iCs w:val="0"/>
                <w:color w:val="auto"/>
                <w:kern w:val="0"/>
                <w:sz w:val="18"/>
                <w:szCs w:val="18"/>
                <w:u w:val="none"/>
                <w:lang w:val="en-US" w:eastAsia="zh-CN" w:bidi="ar"/>
              </w:rPr>
              <w:t>后</w:t>
            </w:r>
            <w:r>
              <w:rPr>
                <w:rFonts w:hint="eastAsia" w:ascii="宋体" w:hAnsi="宋体" w:eastAsia="宋体" w:cs="宋体"/>
                <w:i w:val="0"/>
                <w:iCs w:val="0"/>
                <w:color w:val="auto"/>
                <w:kern w:val="0"/>
                <w:sz w:val="18"/>
                <w:szCs w:val="18"/>
                <w:u w:val="none"/>
                <w:lang w:val="en-US" w:eastAsia="zh-CN" w:bidi="ar"/>
              </w:rPr>
              <w:t>付清</w:t>
            </w:r>
            <w:r>
              <w:rPr>
                <w:rFonts w:hint="eastAsia" w:ascii="宋体" w:hAnsi="宋体" w:eastAsia="宋体" w:cs="宋体"/>
                <w:color w:val="auto"/>
                <w:sz w:val="18"/>
                <w:szCs w:val="18"/>
              </w:rPr>
              <w:t>（无息）</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lang w:val="en-US" w:eastAsia="zh-CN"/>
              </w:rPr>
              <w:t>质保期届满后维保费不超过合同金额的</w:t>
            </w:r>
            <w:r>
              <w:rPr>
                <w:rFonts w:hint="eastAsia" w:ascii="宋体" w:hAnsi="宋体" w:cs="宋体"/>
                <w:color w:val="auto"/>
                <w:sz w:val="18"/>
                <w:szCs w:val="18"/>
                <w:u w:val="single"/>
                <w:lang w:val="en-US" w:eastAsia="zh-CN"/>
              </w:rPr>
              <w:t xml:space="preserve">  5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%，维保协议另行签订。</w:t>
            </w:r>
          </w:p>
        </w:tc>
      </w:tr>
      <w:tr w14:paraId="609F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1538" w:type="dxa"/>
            <w:gridSpan w:val="2"/>
            <w:vAlign w:val="center"/>
          </w:tcPr>
          <w:p w14:paraId="63B10C13">
            <w:pPr>
              <w:jc w:val="center"/>
              <w:rPr>
                <w:rFonts w:hint="eastAsia" w:ascii="宋体" w:hAnsi="宋体" w:eastAsia="宋体" w:cs="宋体"/>
                <w:color w:val="auto"/>
                <w:szCs w:val="21"/>
                <w:highlight w:val="none"/>
              </w:rPr>
            </w:pPr>
            <w:r>
              <w:rPr>
                <w:rFonts w:hint="eastAsia" w:ascii="宋体" w:hAnsi="宋体" w:cs="宋体"/>
                <w:color w:val="auto"/>
                <w:szCs w:val="21"/>
              </w:rPr>
              <w:t>验收方式</w:t>
            </w:r>
          </w:p>
        </w:tc>
        <w:tc>
          <w:tcPr>
            <w:tcW w:w="9381" w:type="dxa"/>
            <w:gridSpan w:val="6"/>
            <w:vAlign w:val="center"/>
          </w:tcPr>
          <w:p w14:paraId="4B17EE22">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1.投标人提供的产品必须符合国家强制执行的相关质量标准要求以及产品制造厂家合格产品的出厂质量标准。</w:t>
            </w:r>
          </w:p>
          <w:p w14:paraId="60FDFABB">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2.产品需全新</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完好</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无破损，产品到货交付后，招标人将根据招标文件要求及投标文件承诺逐条对应进行核验，必要时，招标人有权邀请国家质量监督检验部门或国家认可的检测机构参与共同验收。如产品不满足招标文件要求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投标文件承诺或国家强制执行的相关质量标准要求以及产品制造厂家合格产品的出厂质量标准，招标人有权不予验收，由此造成招标人的经济损失由中标人承担全部赔偿责任，验收时所产生的一切费用由中标供应商承担。</w:t>
            </w:r>
          </w:p>
          <w:p w14:paraId="07D45B03">
            <w:pPr>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项目完成</w:t>
            </w:r>
            <w:r>
              <w:rPr>
                <w:rFonts w:hint="eastAsia" w:ascii="宋体" w:hAnsi="宋体" w:cs="宋体"/>
                <w:color w:val="auto"/>
                <w:sz w:val="18"/>
                <w:szCs w:val="18"/>
                <w:highlight w:val="none"/>
                <w:lang w:val="en-US" w:eastAsia="zh-CN"/>
              </w:rPr>
              <w:t>安装工作</w:t>
            </w:r>
            <w:r>
              <w:rPr>
                <w:rFonts w:hint="eastAsia" w:ascii="宋体" w:hAnsi="宋体" w:eastAsia="宋体" w:cs="宋体"/>
                <w:color w:val="auto"/>
                <w:sz w:val="18"/>
                <w:szCs w:val="18"/>
                <w:highlight w:val="none"/>
              </w:rPr>
              <w:t>，经稳定运行一周以上可提出验收，中标人按医院信息化项目管理制度要求提供有关材料，由招标人组织现场验收。</w:t>
            </w:r>
          </w:p>
          <w:p w14:paraId="5B94FA3F">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验收其他要求按合同条款执行。</w:t>
            </w:r>
          </w:p>
        </w:tc>
      </w:tr>
      <w:tr w14:paraId="0A77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38" w:type="dxa"/>
            <w:gridSpan w:val="2"/>
            <w:vAlign w:val="center"/>
          </w:tcPr>
          <w:p w14:paraId="6AE2638C">
            <w:pPr>
              <w:jc w:val="center"/>
              <w:rPr>
                <w:rFonts w:hint="eastAsia" w:ascii="宋体" w:hAnsi="宋体" w:eastAsia="宋体" w:cs="宋体"/>
                <w:color w:val="auto"/>
                <w:szCs w:val="21"/>
                <w:highlight w:val="none"/>
                <w:lang w:eastAsia="zh-CN"/>
              </w:rPr>
            </w:pPr>
            <w:r>
              <w:rPr>
                <w:rFonts w:hint="eastAsia" w:ascii="宋体" w:hAnsi="宋体" w:cs="宋体"/>
                <w:color w:val="auto"/>
                <w:szCs w:val="21"/>
              </w:rPr>
              <w:t>其他要求</w:t>
            </w:r>
          </w:p>
        </w:tc>
        <w:tc>
          <w:tcPr>
            <w:tcW w:w="9381" w:type="dxa"/>
            <w:gridSpan w:val="6"/>
            <w:vAlign w:val="center"/>
          </w:tcPr>
          <w:p w14:paraId="23F4C922">
            <w:pPr>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本项目所提供的软件必须具有合法的版权或使用权，如在本项目范围内使用过程中出现版权或使用权纠纷，应由中标人负责</w:t>
            </w:r>
            <w:r>
              <w:rPr>
                <w:rFonts w:hint="eastAsia" w:ascii="宋体" w:hAnsi="宋体" w:eastAsia="宋体" w:cs="宋体"/>
                <w:color w:val="auto"/>
                <w:sz w:val="18"/>
                <w:szCs w:val="18"/>
                <w:highlight w:val="none"/>
                <w:lang w:eastAsia="zh-CN"/>
              </w:rPr>
              <w:t>。</w:t>
            </w:r>
          </w:p>
          <w:p w14:paraId="76E9DBB4">
            <w:pPr>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本项目实行总承包报价，投标报价包含本次采购需求所包含的所有服务、人员、材料、运输、管理费、购置费、售后、税金、安装、调试、技术培训、后续服务等以及其他完成本项目所须成本费用的总和，投标人综合考虑在报价中，采购人不再支付其他任何费用。</w:t>
            </w:r>
          </w:p>
          <w:p w14:paraId="6E64B120">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highlight w:val="none"/>
                <w:lang w:val="en-US" w:eastAsia="zh-CN"/>
              </w:rPr>
              <w:t>本项目采购预算金额：人民币</w:t>
            </w:r>
            <w:r>
              <w:rPr>
                <w:rFonts w:hint="eastAsia" w:ascii="宋体" w:hAnsi="宋体" w:cs="宋体"/>
                <w:color w:val="auto"/>
                <w:sz w:val="18"/>
                <w:szCs w:val="18"/>
                <w:highlight w:val="none"/>
                <w:lang w:val="en-US" w:eastAsia="zh-CN"/>
              </w:rPr>
              <w:t>肆拾伍万贰仟柒佰</w:t>
            </w:r>
            <w:r>
              <w:rPr>
                <w:rFonts w:hint="eastAsia" w:ascii="宋体" w:hAnsi="宋体" w:eastAsia="宋体" w:cs="宋体"/>
                <w:color w:val="auto"/>
                <w:sz w:val="18"/>
                <w:szCs w:val="18"/>
                <w:highlight w:val="none"/>
                <w:lang w:val="en-US" w:eastAsia="zh-CN"/>
              </w:rPr>
              <w:t>元整（¥</w:t>
            </w:r>
            <w:r>
              <w:rPr>
                <w:rFonts w:hint="eastAsia" w:ascii="宋体" w:hAnsi="宋体" w:cs="宋体"/>
                <w:color w:val="auto"/>
                <w:sz w:val="18"/>
                <w:szCs w:val="18"/>
                <w:highlight w:val="none"/>
                <w:lang w:val="en-US" w:eastAsia="zh-CN"/>
              </w:rPr>
              <w:t>452700</w:t>
            </w:r>
            <w:r>
              <w:rPr>
                <w:rFonts w:hint="eastAsia" w:ascii="宋体" w:hAnsi="宋体" w:eastAsia="宋体" w:cs="宋体"/>
                <w:color w:val="auto"/>
                <w:sz w:val="18"/>
                <w:szCs w:val="18"/>
                <w:highlight w:val="none"/>
                <w:lang w:val="en-US" w:eastAsia="zh-CN"/>
              </w:rPr>
              <w:t>.00元）。报价超过采购预算金额的，投标文件按无效处理。</w:t>
            </w:r>
          </w:p>
        </w:tc>
      </w:tr>
      <w:bookmarkEnd w:id="3"/>
    </w:tbl>
    <w:p w14:paraId="5F0545CF">
      <w:pPr>
        <w:keepNext w:val="0"/>
        <w:keepLines w:val="0"/>
        <w:pageBreakBefore w:val="0"/>
        <w:widowControl w:val="0"/>
        <w:kinsoku/>
        <w:wordWrap/>
        <w:overflowPunct/>
        <w:topLinePunct w:val="0"/>
        <w:autoSpaceDE/>
        <w:autoSpaceDN/>
        <w:bidi w:val="0"/>
        <w:snapToGrid/>
        <w:spacing w:line="400" w:lineRule="exact"/>
        <w:textAlignment w:val="auto"/>
        <w:rPr>
          <w:color w:val="auto"/>
        </w:rPr>
      </w:pPr>
    </w:p>
    <w:p w14:paraId="4887751D">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4BD390E5">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6FA2FF8A">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65F77CF0">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3A8F2DAA">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50B21244">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2BFCED20">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17064F0A">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26DE3084">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1E2A5FFE">
      <w:pPr>
        <w:pStyle w:val="2"/>
        <w:rPr>
          <w:rFonts w:hint="eastAsia" w:ascii="宋体" w:hAnsi="宋体" w:cs="宋体"/>
          <w:b/>
          <w:bCs/>
          <w:color w:val="auto"/>
          <w:sz w:val="24"/>
        </w:rPr>
      </w:pPr>
    </w:p>
    <w:p w14:paraId="09E720E1">
      <w:pPr>
        <w:pStyle w:val="2"/>
        <w:rPr>
          <w:rFonts w:hint="eastAsia" w:ascii="宋体" w:hAnsi="宋体" w:cs="宋体"/>
          <w:b/>
          <w:bCs/>
          <w:color w:val="auto"/>
          <w:sz w:val="24"/>
        </w:rPr>
      </w:pPr>
    </w:p>
    <w:p w14:paraId="16A7D7E6">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283765F9">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hint="eastAsia" w:ascii="宋体" w:hAnsi="宋体" w:cs="宋体"/>
          <w:b/>
          <w:bCs/>
          <w:color w:val="auto"/>
          <w:sz w:val="24"/>
        </w:rPr>
      </w:pPr>
    </w:p>
    <w:p w14:paraId="5A6712FD">
      <w:pPr>
        <w:keepNext w:val="0"/>
        <w:keepLines w:val="0"/>
        <w:pageBreakBefore w:val="0"/>
        <w:widowControl w:val="0"/>
        <w:kinsoku/>
        <w:wordWrap/>
        <w:overflowPunct/>
        <w:topLinePunct w:val="0"/>
        <w:autoSpaceDE/>
        <w:autoSpaceDN/>
        <w:bidi w:val="0"/>
        <w:snapToGrid/>
        <w:spacing w:line="40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四、合同主要条款</w:t>
      </w:r>
    </w:p>
    <w:p w14:paraId="73162FA1">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auto"/>
          <w:u w:val="single"/>
        </w:rPr>
      </w:pPr>
      <w:r>
        <w:rPr>
          <w:rFonts w:hint="eastAsia" w:ascii="宋体" w:hAnsi="宋体" w:cs="宋体"/>
          <w:color w:val="auto"/>
        </w:rPr>
        <w:t>甲方：</w:t>
      </w:r>
      <w:r>
        <w:rPr>
          <w:rFonts w:hint="eastAsia" w:ascii="宋体" w:hAnsi="宋体" w:cs="宋体"/>
          <w:color w:val="auto"/>
          <w:u w:val="single"/>
        </w:rPr>
        <w:t xml:space="preserve"> </w:t>
      </w:r>
      <w:r>
        <w:rPr>
          <w:rFonts w:hint="eastAsia" w:ascii="宋体" w:hAnsi="宋体" w:cs="宋体"/>
          <w:color w:val="auto"/>
          <w:u w:val="single"/>
          <w:lang w:val="en-US" w:eastAsia="zh-CN"/>
        </w:rPr>
        <w:t>桂林市人民医院</w:t>
      </w:r>
      <w:r>
        <w:rPr>
          <w:rFonts w:hint="eastAsia" w:ascii="宋体" w:hAnsi="宋体" w:cs="宋体"/>
          <w:color w:val="auto"/>
          <w:szCs w:val="21"/>
          <w:u w:val="single"/>
        </w:rPr>
        <w:t xml:space="preserve"> </w:t>
      </w:r>
      <w:r>
        <w:rPr>
          <w:rFonts w:hint="eastAsia" w:ascii="宋体" w:hAnsi="宋体" w:cs="宋体"/>
          <w:color w:val="auto"/>
        </w:rPr>
        <w:t>（采购人）</w:t>
      </w:r>
    </w:p>
    <w:p w14:paraId="143D9CD3">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color w:val="auto"/>
        </w:rPr>
      </w:pPr>
      <w:r>
        <w:rPr>
          <w:rFonts w:hint="eastAsia" w:ascii="宋体" w:hAnsi="宋体" w:cs="宋体"/>
          <w:color w:val="auto"/>
        </w:rPr>
        <w:t>乙方：</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（中标供应商）</w:t>
      </w:r>
    </w:p>
    <w:p w14:paraId="432051F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rPr>
      </w:pPr>
      <w:r>
        <w:rPr>
          <w:rFonts w:hint="eastAsia" w:ascii="宋体" w:hAnsi="宋体" w:cs="宋体"/>
          <w:color w:val="auto"/>
        </w:rPr>
        <w:t>根据《中华人民共和国政府采购法》《中华人民共和国政府采购法实施条例》《中华人民共和国民法典》等法律、法规规定，按照招、投标文件规定条款和中标供应商承诺、甲乙双方签订本采购合同。</w:t>
      </w:r>
    </w:p>
    <w:p w14:paraId="6A31F3DE">
      <w:pPr>
        <w:keepNext w:val="0"/>
        <w:keepLines w:val="0"/>
        <w:pageBreakBefore w:val="0"/>
        <w:widowControl w:val="0"/>
        <w:numPr>
          <w:ilvl w:val="0"/>
          <w:numId w:val="2"/>
        </w:numPr>
        <w:kinsoku/>
        <w:wordWrap/>
        <w:overflowPunct/>
        <w:topLinePunct w:val="0"/>
        <w:autoSpaceDE/>
        <w:autoSpaceDN/>
        <w:bidi w:val="0"/>
        <w:adjustRightInd/>
        <w:spacing w:line="360" w:lineRule="exact"/>
        <w:ind w:firstLine="413" w:firstLineChars="196"/>
        <w:textAlignment w:val="auto"/>
        <w:outlineLvl w:val="1"/>
        <w:rPr>
          <w:rFonts w:hint="eastAsia" w:ascii="宋体" w:hAnsi="宋体" w:cs="宋体"/>
          <w:b/>
          <w:color w:val="auto"/>
          <w:szCs w:val="21"/>
        </w:rPr>
      </w:pPr>
      <w:bookmarkStart w:id="4" w:name="_Toc7911"/>
      <w:bookmarkStart w:id="5" w:name="_Toc22268"/>
      <w:bookmarkStart w:id="6" w:name="_Toc13005"/>
      <w:bookmarkStart w:id="7" w:name="_Toc495841768"/>
      <w:r>
        <w:rPr>
          <w:rFonts w:hint="eastAsia" w:ascii="宋体" w:hAnsi="宋体" w:cs="宋体"/>
          <w:b/>
          <w:color w:val="auto"/>
          <w:szCs w:val="21"/>
        </w:rPr>
        <w:t xml:space="preserve"> 合同标的及合同金额</w:t>
      </w:r>
      <w:bookmarkEnd w:id="4"/>
      <w:bookmarkEnd w:id="5"/>
      <w:bookmarkEnd w:id="6"/>
      <w:bookmarkEnd w:id="7"/>
    </w:p>
    <w:p w14:paraId="5272EFBA">
      <w:pPr>
        <w:spacing w:line="336" w:lineRule="auto"/>
        <w:ind w:firstLine="960" w:firstLineChars="400"/>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1、供货内容：</w:t>
      </w:r>
      <w:r>
        <w:rPr>
          <w:rFonts w:hint="eastAsia" w:ascii="宋体" w:hAnsi="宋体" w:cs="宋体"/>
          <w:bCs/>
          <w:color w:val="auto"/>
          <w:sz w:val="24"/>
          <w:szCs w:val="24"/>
          <w:lang w:val="en-US" w:eastAsia="zh-CN"/>
        </w:rPr>
        <w:t>如下表；</w:t>
      </w:r>
    </w:p>
    <w:p w14:paraId="5BC77D08">
      <w:pPr>
        <w:spacing w:line="336" w:lineRule="auto"/>
        <w:ind w:firstLine="960" w:firstLineChars="400"/>
        <w:rPr>
          <w:color w:val="auto"/>
        </w:rPr>
      </w:pPr>
      <w:r>
        <w:rPr>
          <w:rFonts w:hint="eastAsia" w:ascii="宋体" w:hAnsi="宋体" w:cs="宋体"/>
          <w:bCs/>
          <w:color w:val="auto"/>
          <w:sz w:val="24"/>
          <w:szCs w:val="24"/>
          <w:lang w:val="en-US" w:eastAsia="zh-CN"/>
        </w:rPr>
        <w:t>2</w:t>
      </w:r>
      <w:r>
        <w:rPr>
          <w:rFonts w:hint="eastAsia" w:ascii="宋体" w:hAnsi="宋体" w:cs="宋体"/>
          <w:bCs/>
          <w:color w:val="auto"/>
          <w:sz w:val="24"/>
          <w:szCs w:val="24"/>
        </w:rPr>
        <w:t>、供货数量：预计采购</w:t>
      </w:r>
      <w:r>
        <w:rPr>
          <w:rFonts w:hint="eastAsia" w:ascii="宋体" w:hAnsi="宋体" w:cs="宋体"/>
          <w:bCs/>
          <w:color w:val="auto"/>
          <w:sz w:val="24"/>
          <w:szCs w:val="24"/>
          <w:lang w:val="en-US" w:eastAsia="zh-CN"/>
        </w:rPr>
        <w:t>90</w:t>
      </w:r>
      <w:r>
        <w:rPr>
          <w:rFonts w:hint="eastAsia" w:ascii="宋体" w:hAnsi="宋体" w:cs="宋体"/>
          <w:bCs/>
          <w:color w:val="auto"/>
          <w:sz w:val="24"/>
          <w:szCs w:val="24"/>
        </w:rPr>
        <w:t>台，数量据实结算；</w:t>
      </w:r>
    </w:p>
    <w:tbl>
      <w:tblPr>
        <w:tblStyle w:val="2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451"/>
        <w:gridCol w:w="1445"/>
        <w:gridCol w:w="1483"/>
        <w:gridCol w:w="1073"/>
        <w:gridCol w:w="714"/>
        <w:gridCol w:w="1545"/>
        <w:gridCol w:w="1575"/>
      </w:tblGrid>
      <w:tr w14:paraId="401B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490" w:type="dxa"/>
            <w:shd w:val="clear" w:color="auto" w:fill="FFFFFF" w:themeFill="background1"/>
            <w:noWrap w:val="0"/>
            <w:vAlign w:val="center"/>
          </w:tcPr>
          <w:p w14:paraId="771216A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项号</w:t>
            </w:r>
          </w:p>
        </w:tc>
        <w:tc>
          <w:tcPr>
            <w:tcW w:w="1451" w:type="dxa"/>
            <w:shd w:val="clear" w:color="auto" w:fill="FFFFFF" w:themeFill="background1"/>
            <w:noWrap w:val="0"/>
            <w:vAlign w:val="center"/>
          </w:tcPr>
          <w:p w14:paraId="4B1B67E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lang w:val="en-US" w:eastAsia="zh-CN"/>
              </w:rPr>
              <w:t>标的</w:t>
            </w:r>
            <w:r>
              <w:rPr>
                <w:rFonts w:hint="eastAsia" w:ascii="宋体" w:hAnsi="宋体" w:cs="宋体"/>
                <w:b/>
                <w:color w:val="auto"/>
                <w:szCs w:val="21"/>
              </w:rPr>
              <w:t>名称</w:t>
            </w:r>
          </w:p>
        </w:tc>
        <w:tc>
          <w:tcPr>
            <w:tcW w:w="1445" w:type="dxa"/>
            <w:shd w:val="clear" w:color="auto" w:fill="FFFFFF" w:themeFill="background1"/>
            <w:noWrap w:val="0"/>
            <w:vAlign w:val="center"/>
          </w:tcPr>
          <w:p w14:paraId="0725F8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30"/>
              </w:rPr>
              <w:t>生产厂家、品牌、规格型号</w:t>
            </w:r>
          </w:p>
        </w:tc>
        <w:tc>
          <w:tcPr>
            <w:tcW w:w="1483" w:type="dxa"/>
            <w:shd w:val="clear" w:color="auto" w:fill="FFFFFF" w:themeFill="background1"/>
            <w:noWrap w:val="0"/>
            <w:vAlign w:val="center"/>
          </w:tcPr>
          <w:p w14:paraId="0109D68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30"/>
              </w:rPr>
              <w:t>品牌、规格型号</w:t>
            </w:r>
          </w:p>
        </w:tc>
        <w:tc>
          <w:tcPr>
            <w:tcW w:w="1073" w:type="dxa"/>
            <w:shd w:val="clear" w:color="auto" w:fill="FFFFFF" w:themeFill="background1"/>
            <w:noWrap w:val="0"/>
            <w:vAlign w:val="center"/>
          </w:tcPr>
          <w:p w14:paraId="26CDD62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数量</w:t>
            </w:r>
          </w:p>
          <w:p w14:paraId="1ADB25C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①</w:t>
            </w:r>
          </w:p>
        </w:tc>
        <w:tc>
          <w:tcPr>
            <w:tcW w:w="714" w:type="dxa"/>
            <w:shd w:val="clear" w:color="auto" w:fill="FFFFFF" w:themeFill="background1"/>
            <w:noWrap w:val="0"/>
            <w:vAlign w:val="center"/>
          </w:tcPr>
          <w:p w14:paraId="0F74ACA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单位</w:t>
            </w:r>
          </w:p>
        </w:tc>
        <w:tc>
          <w:tcPr>
            <w:tcW w:w="1545" w:type="dxa"/>
            <w:shd w:val="clear" w:color="auto" w:fill="FFFFFF" w:themeFill="background1"/>
            <w:noWrap w:val="0"/>
            <w:vAlign w:val="center"/>
          </w:tcPr>
          <w:p w14:paraId="5AA10CF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单价（元）</w:t>
            </w:r>
          </w:p>
          <w:p w14:paraId="4B81D94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②</w:t>
            </w:r>
          </w:p>
        </w:tc>
        <w:tc>
          <w:tcPr>
            <w:tcW w:w="1575" w:type="dxa"/>
            <w:shd w:val="clear" w:color="auto" w:fill="FFFFFF" w:themeFill="background1"/>
            <w:noWrap w:val="0"/>
            <w:vAlign w:val="center"/>
          </w:tcPr>
          <w:p w14:paraId="0BC49C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单项合计金额（元）</w:t>
            </w:r>
          </w:p>
          <w:p w14:paraId="2363CF9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③＝①×②</w:t>
            </w:r>
          </w:p>
        </w:tc>
      </w:tr>
      <w:tr w14:paraId="5583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0" w:type="dxa"/>
            <w:noWrap w:val="0"/>
            <w:vAlign w:val="center"/>
          </w:tcPr>
          <w:p w14:paraId="3B9EF9D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1</w:t>
            </w:r>
          </w:p>
        </w:tc>
        <w:tc>
          <w:tcPr>
            <w:tcW w:w="1451" w:type="dxa"/>
            <w:noWrap w:val="0"/>
            <w:vAlign w:val="center"/>
          </w:tcPr>
          <w:p w14:paraId="3F4BD8B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c>
          <w:tcPr>
            <w:tcW w:w="1445" w:type="dxa"/>
            <w:noWrap w:val="0"/>
            <w:vAlign w:val="center"/>
          </w:tcPr>
          <w:p w14:paraId="5E83F57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lang w:val="en-US" w:eastAsia="zh-CN"/>
              </w:rPr>
            </w:pPr>
          </w:p>
        </w:tc>
        <w:tc>
          <w:tcPr>
            <w:tcW w:w="1483" w:type="dxa"/>
            <w:noWrap w:val="0"/>
            <w:vAlign w:val="center"/>
          </w:tcPr>
          <w:p w14:paraId="1E4046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color w:val="auto"/>
                <w:szCs w:val="21"/>
              </w:rPr>
            </w:pPr>
          </w:p>
        </w:tc>
        <w:tc>
          <w:tcPr>
            <w:tcW w:w="1073" w:type="dxa"/>
            <w:noWrap w:val="0"/>
            <w:vAlign w:val="center"/>
          </w:tcPr>
          <w:p w14:paraId="402B5F1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c>
          <w:tcPr>
            <w:tcW w:w="714" w:type="dxa"/>
            <w:noWrap w:val="0"/>
            <w:vAlign w:val="center"/>
          </w:tcPr>
          <w:p w14:paraId="396E56F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c>
          <w:tcPr>
            <w:tcW w:w="1545" w:type="dxa"/>
            <w:noWrap w:val="0"/>
            <w:vAlign w:val="center"/>
          </w:tcPr>
          <w:p w14:paraId="1C754F1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c>
          <w:tcPr>
            <w:tcW w:w="1575" w:type="dxa"/>
            <w:noWrap w:val="0"/>
            <w:vAlign w:val="center"/>
          </w:tcPr>
          <w:p w14:paraId="2B57C40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r>
      <w:tr w14:paraId="337D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01" w:type="dxa"/>
            <w:gridSpan w:val="7"/>
            <w:noWrap w:val="0"/>
            <w:vAlign w:val="center"/>
          </w:tcPr>
          <w:p w14:paraId="06DC34C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color w:val="auto"/>
                <w:szCs w:val="21"/>
              </w:rPr>
            </w:pPr>
            <w:r>
              <w:rPr>
                <w:rFonts w:hint="eastAsia" w:ascii="宋体" w:hAnsi="宋体" w:cs="宋体"/>
                <w:color w:val="auto"/>
                <w:szCs w:val="21"/>
              </w:rPr>
              <w:t xml:space="preserve">                                                               合     计</w:t>
            </w:r>
          </w:p>
        </w:tc>
        <w:tc>
          <w:tcPr>
            <w:tcW w:w="1575" w:type="dxa"/>
            <w:noWrap w:val="0"/>
            <w:vAlign w:val="center"/>
          </w:tcPr>
          <w:p w14:paraId="585323E5">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eastAsia="宋体" w:cs="宋体"/>
                <w:color w:val="auto"/>
                <w:szCs w:val="21"/>
                <w:lang w:val="en-US" w:eastAsia="zh-CN"/>
              </w:rPr>
            </w:pPr>
          </w:p>
        </w:tc>
      </w:tr>
    </w:tbl>
    <w:p w14:paraId="3D90DF99">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s="宋体"/>
          <w:color w:val="auto"/>
          <w:szCs w:val="21"/>
        </w:rPr>
      </w:pPr>
      <w:r>
        <w:rPr>
          <w:rFonts w:hint="eastAsia" w:ascii="宋体" w:hAnsi="宋体" w:cs="宋体"/>
          <w:color w:val="auto"/>
          <w:szCs w:val="21"/>
        </w:rPr>
        <w:t>根据《中标通知书》的中标内容，合同的总金额为：（大写）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元整</w:t>
      </w:r>
      <w:r>
        <w:rPr>
          <w:rFonts w:hint="eastAsia" w:ascii="宋体" w:hAnsi="宋体" w:cs="宋体"/>
          <w:color w:val="auto"/>
          <w:szCs w:val="21"/>
          <w:u w:val="single"/>
        </w:rPr>
        <w:t xml:space="preserve"> </w:t>
      </w:r>
      <w:r>
        <w:rPr>
          <w:rFonts w:hint="eastAsia" w:ascii="宋体" w:hAnsi="宋体" w:cs="宋体"/>
          <w:color w:val="auto"/>
          <w:szCs w:val="21"/>
        </w:rPr>
        <w:t>人民币（¥</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.00</w:t>
      </w:r>
      <w:r>
        <w:rPr>
          <w:rFonts w:hint="eastAsia" w:ascii="宋体" w:hAnsi="宋体" w:cs="宋体"/>
          <w:color w:val="auto"/>
          <w:szCs w:val="21"/>
          <w:u w:val="single"/>
        </w:rPr>
        <w:t xml:space="preserve"> </w:t>
      </w:r>
      <w:r>
        <w:rPr>
          <w:rFonts w:hint="eastAsia" w:ascii="宋体" w:hAnsi="宋体" w:cs="宋体"/>
          <w:color w:val="auto"/>
          <w:szCs w:val="21"/>
        </w:rPr>
        <w:t>元）</w:t>
      </w:r>
    </w:p>
    <w:p w14:paraId="17DA616B">
      <w:pPr>
        <w:pStyle w:val="7"/>
        <w:ind w:left="0" w:firstLine="0"/>
        <w:rPr>
          <w:color w:val="auto"/>
        </w:rPr>
      </w:pPr>
      <w:r>
        <w:rPr>
          <w:rFonts w:hint="eastAsia" w:ascii="宋体" w:hAnsi="宋体"/>
          <w:color w:val="auto"/>
          <w:sz w:val="24"/>
          <w:szCs w:val="24"/>
          <w:lang w:val="en-US" w:eastAsia="zh-CN"/>
        </w:rPr>
        <w:t>结算资金来源：自有资金</w:t>
      </w:r>
    </w:p>
    <w:p w14:paraId="67C3126E">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8" w:name="_Toc495841769"/>
      <w:bookmarkStart w:id="9" w:name="_Toc6841"/>
      <w:bookmarkStart w:id="10" w:name="_Toc23870"/>
      <w:bookmarkStart w:id="11" w:name="_Toc15939"/>
      <w:r>
        <w:rPr>
          <w:rFonts w:hint="eastAsia" w:ascii="宋体" w:hAnsi="宋体" w:cs="宋体"/>
          <w:b/>
          <w:color w:val="auto"/>
          <w:szCs w:val="21"/>
        </w:rPr>
        <w:t>第二条  质量保证</w:t>
      </w:r>
      <w:bookmarkEnd w:id="8"/>
      <w:bookmarkEnd w:id="9"/>
      <w:bookmarkEnd w:id="10"/>
      <w:bookmarkEnd w:id="11"/>
    </w:p>
    <w:p w14:paraId="5979E364">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ascii="宋体" w:hAnsi="宋体" w:cs="宋体"/>
          <w:color w:val="auto"/>
          <w:szCs w:val="21"/>
        </w:rPr>
      </w:pPr>
      <w:r>
        <w:rPr>
          <w:rFonts w:hint="eastAsia" w:ascii="宋体" w:hAnsi="宋体" w:cs="宋体"/>
          <w:color w:val="auto"/>
          <w:szCs w:val="21"/>
        </w:rPr>
        <w:t>1.乙方应按投标文件承诺的货物规格型号、技术参数、质量标准等向甲方提供未经使用的全新原装产品，且在正常安装使用和保养条件下，其使用寿命期内各项指标均达到质量标准。</w:t>
      </w:r>
    </w:p>
    <w:p w14:paraId="613EDE52">
      <w:pPr>
        <w:keepNext w:val="0"/>
        <w:keepLines w:val="0"/>
        <w:pageBreakBefore w:val="0"/>
        <w:widowControl w:val="0"/>
        <w:kinsoku/>
        <w:wordWrap/>
        <w:overflowPunct/>
        <w:topLinePunct w:val="0"/>
        <w:autoSpaceDE/>
        <w:autoSpaceDN/>
        <w:bidi w:val="0"/>
        <w:adjustRightInd/>
        <w:spacing w:line="360" w:lineRule="exact"/>
        <w:ind w:firstLine="435"/>
        <w:textAlignment w:val="auto"/>
        <w:rPr>
          <w:rFonts w:ascii="宋体" w:hAnsi="宋体" w:cs="宋体"/>
          <w:color w:val="auto"/>
          <w:szCs w:val="21"/>
        </w:rPr>
      </w:pPr>
      <w:r>
        <w:rPr>
          <w:rFonts w:hint="eastAsia" w:ascii="宋体" w:hAnsi="宋体" w:cs="宋体"/>
          <w:color w:val="auto"/>
          <w:szCs w:val="21"/>
        </w:rPr>
        <w:t>2.乙方提供货物的</w:t>
      </w:r>
      <w:r>
        <w:rPr>
          <w:rFonts w:hint="eastAsia" w:ascii="宋体" w:hAnsi="宋体" w:cs="宋体"/>
          <w:color w:val="auto"/>
          <w:szCs w:val="21"/>
          <w:lang w:val="en-US" w:eastAsia="zh-CN"/>
        </w:rPr>
        <w:t>自验收合格之日起，</w:t>
      </w:r>
      <w:r>
        <w:rPr>
          <w:rFonts w:hint="eastAsia" w:ascii="宋体" w:hAnsi="宋体" w:cs="宋体"/>
          <w:color w:val="auto"/>
          <w:szCs w:val="21"/>
        </w:rPr>
        <w:t>质量保证期为</w:t>
      </w:r>
      <w:r>
        <w:rPr>
          <w:rFonts w:hint="eastAsia" w:ascii="宋体" w:hAnsi="宋体" w:cs="宋体"/>
          <w:color w:val="auto"/>
          <w:szCs w:val="21"/>
          <w:u w:val="single"/>
          <w:lang w:val="en-US" w:eastAsia="zh-CN"/>
        </w:rPr>
        <w:t>三年</w:t>
      </w:r>
      <w:r>
        <w:rPr>
          <w:rFonts w:hint="eastAsia" w:ascii="宋体" w:hAnsi="宋体" w:cs="宋体"/>
          <w:color w:val="auto"/>
          <w:szCs w:val="21"/>
        </w:rPr>
        <w:t>（厂家规定质保期超过</w:t>
      </w:r>
      <w:r>
        <w:rPr>
          <w:rFonts w:hint="eastAsia" w:ascii="宋体" w:hAnsi="宋体" w:cs="宋体"/>
          <w:color w:val="auto"/>
          <w:szCs w:val="21"/>
          <w:lang w:val="en-US" w:eastAsia="zh-CN"/>
        </w:rPr>
        <w:t>三</w:t>
      </w:r>
      <w:r>
        <w:rPr>
          <w:rFonts w:hint="eastAsia" w:ascii="宋体" w:hAnsi="宋体" w:cs="宋体"/>
          <w:color w:val="auto"/>
          <w:szCs w:val="21"/>
        </w:rPr>
        <w:t>年的，按厂家规定，“采购需求”有规定的，按规定执行）。在质保期内因货物本身的质量问题发生故障，乙方应负责免费修理和更换零部件。对达不到技术要求者，根据实际情况，经双方协商，可按以下第（1）款办法处理：</w:t>
      </w:r>
    </w:p>
    <w:p w14:paraId="59CE916F">
      <w:pPr>
        <w:keepNext w:val="0"/>
        <w:keepLines w:val="0"/>
        <w:pageBreakBefore w:val="0"/>
        <w:widowControl w:val="0"/>
        <w:kinsoku/>
        <w:wordWrap/>
        <w:overflowPunct/>
        <w:topLinePunct w:val="0"/>
        <w:autoSpaceDE/>
        <w:autoSpaceDN/>
        <w:bidi w:val="0"/>
        <w:adjustRightInd/>
        <w:spacing w:line="360" w:lineRule="exact"/>
        <w:ind w:firstLine="435"/>
        <w:textAlignment w:val="auto"/>
        <w:rPr>
          <w:rFonts w:ascii="宋体" w:hAnsi="宋体" w:cs="宋体"/>
          <w:color w:val="auto"/>
          <w:szCs w:val="21"/>
        </w:rPr>
      </w:pPr>
      <w:r>
        <w:rPr>
          <w:rFonts w:hint="eastAsia" w:ascii="宋体" w:hAnsi="宋体" w:cs="宋体"/>
          <w:color w:val="auto"/>
          <w:szCs w:val="21"/>
        </w:rPr>
        <w:t>（1）更换：由乙方承担所有发生的全部费用。</w:t>
      </w:r>
    </w:p>
    <w:p w14:paraId="28C39FCC">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（2）贬值处理：由甲乙双方合议定价。</w:t>
      </w:r>
    </w:p>
    <w:p w14:paraId="26FDB1B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（3）退货处理：乙方应退还甲方支付的合同款，同时应承担该货物的直接费用（运输、保险、检验、贷款利息及银行手续费等）。</w:t>
      </w:r>
    </w:p>
    <w:p w14:paraId="6FB1AB58">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12" w:name="_Toc495841770"/>
      <w:bookmarkStart w:id="13" w:name="_Toc17443"/>
      <w:bookmarkStart w:id="14" w:name="_Toc22527"/>
      <w:bookmarkStart w:id="15" w:name="_Toc28745"/>
      <w:r>
        <w:rPr>
          <w:rFonts w:hint="eastAsia" w:ascii="宋体" w:hAnsi="宋体" w:cs="宋体"/>
          <w:b/>
          <w:color w:val="auto"/>
          <w:szCs w:val="21"/>
        </w:rPr>
        <w:t>第三条  权利保证</w:t>
      </w:r>
      <w:bookmarkEnd w:id="12"/>
      <w:bookmarkEnd w:id="13"/>
      <w:bookmarkEnd w:id="14"/>
      <w:bookmarkEnd w:id="15"/>
    </w:p>
    <w:p w14:paraId="763A9E9A">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ascii="宋体" w:hAnsi="宋体" w:cs="宋体"/>
          <w:color w:val="auto"/>
          <w:szCs w:val="21"/>
        </w:rPr>
      </w:pPr>
      <w:r>
        <w:rPr>
          <w:rFonts w:hint="eastAsia" w:ascii="宋体" w:hAnsi="宋体" w:cs="宋体"/>
          <w:color w:val="auto"/>
          <w:szCs w:val="21"/>
        </w:rPr>
        <w:t>1.乙方应保证所提供货物在使用时不会侵犯任何第三方的专利权、商标权、工业设计权或其他权利。</w:t>
      </w:r>
    </w:p>
    <w:p w14:paraId="54AEF95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2.乙方应按招标文件规定的时间向甲方提供使用货物的有关技术资料。</w:t>
      </w:r>
    </w:p>
    <w:p w14:paraId="50F414E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3.乙方保证所交付的货物的所有权完全属于乙方且无任何抵押、质押、查封等产权瑕疵。</w:t>
      </w:r>
    </w:p>
    <w:p w14:paraId="0320F13C">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16" w:name="_Toc17138"/>
      <w:bookmarkStart w:id="17" w:name="_Toc495841771"/>
      <w:bookmarkStart w:id="18" w:name="_Toc24662"/>
      <w:bookmarkStart w:id="19" w:name="_Toc7468"/>
      <w:r>
        <w:rPr>
          <w:rFonts w:hint="eastAsia" w:ascii="宋体" w:hAnsi="宋体" w:cs="宋体"/>
          <w:b/>
          <w:color w:val="auto"/>
          <w:szCs w:val="21"/>
        </w:rPr>
        <w:t>第四条  货物包装、运输</w:t>
      </w:r>
      <w:bookmarkEnd w:id="16"/>
      <w:bookmarkEnd w:id="17"/>
      <w:bookmarkEnd w:id="18"/>
      <w:bookmarkEnd w:id="19"/>
    </w:p>
    <w:p w14:paraId="3353644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1.乙方应在货物发运前对其进行满足运输距离、防潮、防震、防锈和防破损装卸等要求包装，以保证货物安全运达甲方指定地点。</w:t>
      </w:r>
    </w:p>
    <w:p w14:paraId="2D44E89F">
      <w:pPr>
        <w:keepNext w:val="0"/>
        <w:keepLines w:val="0"/>
        <w:pageBreakBefore w:val="0"/>
        <w:widowControl w:val="0"/>
        <w:kinsoku/>
        <w:wordWrap/>
        <w:overflowPunct/>
        <w:topLinePunct w:val="0"/>
        <w:autoSpaceDE/>
        <w:autoSpaceDN/>
        <w:bidi w:val="0"/>
        <w:adjustRightInd/>
        <w:spacing w:line="360" w:lineRule="exact"/>
        <w:ind w:left="420"/>
        <w:textAlignment w:val="auto"/>
        <w:rPr>
          <w:color w:val="auto"/>
        </w:rPr>
      </w:pPr>
      <w:r>
        <w:rPr>
          <w:rFonts w:hint="eastAsia" w:ascii="宋体" w:hAnsi="宋体" w:cs="宋体"/>
          <w:color w:val="auto"/>
          <w:szCs w:val="21"/>
        </w:rPr>
        <w:t>2.使用中文说明书（供货时应同时附上中文使用说明书）、质量检验证明书、随配附件和工具以及清单一并附于货物内。</w:t>
      </w:r>
    </w:p>
    <w:p w14:paraId="04EC4A5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3.乙方在货物发运手续办理完毕后二十四小时内或货到甲方四十八小时前通知甲方，以准备接货。</w:t>
      </w:r>
    </w:p>
    <w:p w14:paraId="6E69E610">
      <w:pPr>
        <w:keepNext w:val="0"/>
        <w:keepLines w:val="0"/>
        <w:pageBreakBefore w:val="0"/>
        <w:widowControl w:val="0"/>
        <w:kinsoku/>
        <w:wordWrap/>
        <w:overflowPunct/>
        <w:topLinePunct w:val="0"/>
        <w:autoSpaceDE/>
        <w:autoSpaceDN/>
        <w:bidi w:val="0"/>
        <w:adjustRightInd/>
        <w:spacing w:line="360" w:lineRule="exact"/>
        <w:ind w:left="420"/>
        <w:textAlignment w:val="auto"/>
        <w:rPr>
          <w:rFonts w:ascii="宋体" w:hAnsi="宋体" w:cs="宋体"/>
          <w:color w:val="auto"/>
          <w:szCs w:val="21"/>
        </w:rPr>
      </w:pPr>
      <w:r>
        <w:rPr>
          <w:rFonts w:hint="eastAsia" w:ascii="宋体" w:hAnsi="宋体" w:cs="宋体"/>
          <w:color w:val="auto"/>
          <w:szCs w:val="21"/>
        </w:rPr>
        <w:t>4.货物在交付甲方前发生的风险均由乙方负责。</w:t>
      </w:r>
    </w:p>
    <w:p w14:paraId="76E26EBC">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20" w:name="_Toc2705"/>
      <w:bookmarkStart w:id="21" w:name="_Toc6786"/>
      <w:bookmarkStart w:id="22" w:name="_Toc581"/>
      <w:bookmarkStart w:id="23" w:name="_Toc495841772"/>
      <w:r>
        <w:rPr>
          <w:rFonts w:hint="eastAsia" w:ascii="宋体" w:hAnsi="宋体" w:cs="宋体"/>
          <w:b/>
          <w:color w:val="auto"/>
          <w:szCs w:val="21"/>
        </w:rPr>
        <w:t>第五条  交付</w:t>
      </w:r>
      <w:bookmarkEnd w:id="20"/>
      <w:bookmarkEnd w:id="21"/>
      <w:bookmarkEnd w:id="22"/>
      <w:bookmarkEnd w:id="23"/>
    </w:p>
    <w:p w14:paraId="5DBC913E">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Cs w:val="21"/>
          <w:highlight w:val="none"/>
        </w:rPr>
      </w:pPr>
      <w:bookmarkStart w:id="24" w:name="_Toc495841773"/>
      <w:bookmarkStart w:id="25" w:name="_Toc2045"/>
      <w:bookmarkStart w:id="26" w:name="_Toc14073"/>
      <w:bookmarkStart w:id="27" w:name="_Toc30287"/>
      <w:r>
        <w:rPr>
          <w:rFonts w:hint="eastAsia" w:ascii="宋体" w:hAnsi="宋体" w:eastAsia="宋体" w:cs="宋体"/>
          <w:color w:val="auto"/>
          <w:szCs w:val="21"/>
          <w:highlight w:val="none"/>
        </w:rPr>
        <w:t>1.交付期：自</w:t>
      </w:r>
      <w:r>
        <w:rPr>
          <w:rFonts w:hint="eastAsia" w:ascii="宋体" w:hAnsi="宋体" w:eastAsia="宋体" w:cs="宋体"/>
          <w:color w:val="auto"/>
          <w:szCs w:val="21"/>
          <w:highlight w:val="none"/>
          <w:lang w:val="en-US" w:eastAsia="zh-CN"/>
        </w:rPr>
        <w:t>收到采购人订单后10个工作日</w:t>
      </w:r>
      <w:r>
        <w:rPr>
          <w:rFonts w:hint="eastAsia" w:ascii="宋体" w:hAnsi="宋体" w:eastAsia="宋体" w:cs="宋体"/>
          <w:color w:val="auto"/>
          <w:szCs w:val="21"/>
          <w:highlight w:val="none"/>
        </w:rPr>
        <w:t>内</w:t>
      </w:r>
      <w:r>
        <w:rPr>
          <w:rFonts w:hint="eastAsia" w:ascii="宋体" w:hAnsi="宋体" w:eastAsia="宋体" w:cs="宋体"/>
          <w:color w:val="auto"/>
          <w:szCs w:val="21"/>
          <w:highlight w:val="none"/>
          <w:lang w:val="en-US" w:eastAsia="zh-CN"/>
        </w:rPr>
        <w:t>安装完成</w:t>
      </w:r>
      <w:r>
        <w:rPr>
          <w:rFonts w:hint="eastAsia" w:ascii="宋体" w:hAnsi="宋体" w:eastAsia="宋体" w:cs="宋体"/>
          <w:color w:val="auto"/>
          <w:szCs w:val="21"/>
          <w:highlight w:val="none"/>
        </w:rPr>
        <w:t>验收合格并交付采购人使用。</w:t>
      </w:r>
    </w:p>
    <w:p w14:paraId="3FD5DF0A">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2.交付地点：</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指定地点。</w:t>
      </w:r>
    </w:p>
    <w:p w14:paraId="45542DCD">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r>
        <w:rPr>
          <w:rFonts w:hint="eastAsia" w:ascii="宋体" w:hAnsi="宋体" w:cs="宋体"/>
          <w:b/>
          <w:color w:val="auto"/>
          <w:szCs w:val="21"/>
        </w:rPr>
        <w:t xml:space="preserve">第六条  </w:t>
      </w:r>
      <w:bookmarkEnd w:id="24"/>
      <w:bookmarkEnd w:id="25"/>
      <w:bookmarkEnd w:id="26"/>
      <w:bookmarkEnd w:id="27"/>
      <w:r>
        <w:rPr>
          <w:rFonts w:hint="eastAsia" w:ascii="宋体" w:hAnsi="宋体" w:cs="宋体"/>
          <w:b/>
          <w:color w:val="auto"/>
          <w:szCs w:val="21"/>
        </w:rPr>
        <w:t>验收方式</w:t>
      </w:r>
    </w:p>
    <w:p w14:paraId="441F3A73">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Cs w:val="21"/>
          <w:highlight w:val="none"/>
        </w:rPr>
      </w:pPr>
      <w:bookmarkStart w:id="28" w:name="_Toc724"/>
      <w:bookmarkStart w:id="29" w:name="_Toc495841774"/>
      <w:bookmarkStart w:id="30" w:name="_Toc11427"/>
      <w:bookmarkStart w:id="31" w:name="_Toc29074"/>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提供的产品必须符合国家强制执行的相关质量标准要求以及产品制造厂家合格产品的出厂质量标准。</w:t>
      </w:r>
    </w:p>
    <w:p w14:paraId="2096772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2.产品需全新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完好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无破损，产品到货交付后，</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将根据招标文件要求及投标文件承诺逐条对应进行核验，必要时，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有权邀请国家质量监督检验部门或国家认可的检测机构参与共同验收。如产品不满足招标文件要求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投标文件承诺或国家强制执行的相关质量标准要求以及产品制造厂家合格产品的出厂质量标准，</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有权不予验收，由此造成</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的经济损失由</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承担全部赔偿责任，验收时所产生的一切费用由中标供应商承担。</w:t>
      </w:r>
    </w:p>
    <w:p w14:paraId="231A4C9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项目完成系统建设内容，经稳定运行一周以上可提出验收，</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按医院信息化项目管理制度要求提供有关材料，由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组织现场验收。</w:t>
      </w:r>
    </w:p>
    <w:p w14:paraId="1C2DEF2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货物验收时须提供设备注册时的检测检验报告书。</w:t>
      </w:r>
    </w:p>
    <w:p w14:paraId="7E76A597">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r>
        <w:rPr>
          <w:rFonts w:hint="eastAsia" w:ascii="宋体" w:hAnsi="宋体" w:cs="宋体"/>
          <w:b/>
          <w:color w:val="auto"/>
          <w:szCs w:val="21"/>
        </w:rPr>
        <w:t>第七条  安装和培训</w:t>
      </w:r>
      <w:bookmarkEnd w:id="28"/>
      <w:bookmarkEnd w:id="29"/>
      <w:bookmarkEnd w:id="30"/>
      <w:bookmarkEnd w:id="31"/>
    </w:p>
    <w:p w14:paraId="27A56807">
      <w:pPr>
        <w:keepNext w:val="0"/>
        <w:keepLines w:val="0"/>
        <w:pageBreakBefore w:val="0"/>
        <w:widowControl w:val="0"/>
        <w:kinsoku/>
        <w:wordWrap/>
        <w:overflowPunct/>
        <w:topLinePunct w:val="0"/>
        <w:autoSpaceDE/>
        <w:autoSpaceDN/>
        <w:bidi w:val="0"/>
        <w:adjustRightInd/>
        <w:spacing w:line="360" w:lineRule="exact"/>
        <w:ind w:firstLine="630" w:firstLineChars="300"/>
        <w:jc w:val="left"/>
        <w:textAlignment w:val="auto"/>
        <w:rPr>
          <w:rFonts w:hint="eastAsia"/>
          <w:color w:val="auto"/>
        </w:rPr>
      </w:pPr>
      <w:bookmarkStart w:id="32" w:name="_Toc29939"/>
      <w:bookmarkStart w:id="33" w:name="_Toc7422"/>
      <w:bookmarkStart w:id="34" w:name="_Toc495841775"/>
      <w:bookmarkStart w:id="35" w:name="_Toc13114"/>
      <w:r>
        <w:rPr>
          <w:rFonts w:hint="eastAsia" w:ascii="宋体" w:hAnsi="宋体" w:eastAsia="宋体" w:cs="宋体"/>
          <w:color w:val="auto"/>
          <w:szCs w:val="21"/>
          <w:highlight w:val="none"/>
        </w:rPr>
        <w:t>须提供详细的项目培训计划；对系统使用人员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系统运行维护管理人员等不同对象的培训计划；培训课程安排</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故障的诊断与处理等方面的培训。</w:t>
      </w:r>
    </w:p>
    <w:p w14:paraId="1038FBE6">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r>
        <w:rPr>
          <w:rFonts w:hint="eastAsia" w:ascii="宋体" w:hAnsi="宋体" w:cs="宋体"/>
          <w:b/>
          <w:color w:val="auto"/>
          <w:szCs w:val="21"/>
        </w:rPr>
        <w:t>第八条  售后服务、保修期</w:t>
      </w:r>
      <w:bookmarkEnd w:id="32"/>
      <w:bookmarkEnd w:id="33"/>
      <w:bookmarkEnd w:id="34"/>
      <w:bookmarkEnd w:id="35"/>
    </w:p>
    <w:p w14:paraId="7F94BAD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Cs w:val="21"/>
          <w:highlight w:val="none"/>
        </w:rPr>
      </w:pPr>
      <w:bookmarkStart w:id="36" w:name="_Toc18235"/>
      <w:bookmarkStart w:id="37" w:name="_Toc495841776"/>
      <w:bookmarkStart w:id="38" w:name="_Toc12595"/>
      <w:bookmarkStart w:id="39" w:name="_Toc29143"/>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免费送货上门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免费安装调试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免费培训；按国家有关产品“三包”规定执行“三包”，保修期除采购人特别注明外，最短不得少于</w:t>
      </w:r>
      <w:r>
        <w:rPr>
          <w:rFonts w:hint="eastAsia" w:ascii="宋体" w:hAnsi="宋体" w:eastAsia="宋体" w:cs="宋体"/>
          <w:color w:val="auto"/>
          <w:szCs w:val="21"/>
          <w:highlight w:val="none"/>
          <w:u w:val="none"/>
          <w:lang w:val="en-US" w:eastAsia="zh-CN"/>
        </w:rPr>
        <w:t>3年</w:t>
      </w:r>
      <w:r>
        <w:rPr>
          <w:rFonts w:hint="eastAsia" w:ascii="宋体" w:hAnsi="宋体" w:eastAsia="宋体" w:cs="宋体"/>
          <w:color w:val="auto"/>
          <w:szCs w:val="21"/>
          <w:highlight w:val="none"/>
          <w:u w:val="none"/>
          <w:lang w:eastAsia="zh-CN"/>
        </w:rPr>
        <w:t>，</w:t>
      </w:r>
      <w:r>
        <w:rPr>
          <w:rFonts w:hint="eastAsia" w:ascii="宋体" w:hAnsi="宋体" w:cs="宋体"/>
          <w:color w:val="auto"/>
          <w:szCs w:val="21"/>
          <w:u w:val="none"/>
        </w:rPr>
        <w:t>原厂3年</w:t>
      </w:r>
      <w:r>
        <w:rPr>
          <w:rFonts w:hint="eastAsia" w:ascii="宋体" w:hAnsi="宋体" w:cs="宋体"/>
          <w:color w:val="auto"/>
          <w:szCs w:val="21"/>
          <w:u w:val="none"/>
          <w:lang w:val="en-US" w:eastAsia="zh-CN"/>
        </w:rPr>
        <w:t>质保期内，接采购人通知后</w:t>
      </w:r>
      <w:r>
        <w:rPr>
          <w:rFonts w:hint="eastAsia" w:ascii="宋体" w:hAnsi="宋体" w:cs="宋体"/>
          <w:color w:val="auto"/>
          <w:szCs w:val="21"/>
          <w:u w:val="none"/>
        </w:rPr>
        <w:t>下一工作日上门服务，每周7天24小时热线支持服务；</w:t>
      </w:r>
      <w:r>
        <w:rPr>
          <w:rFonts w:hint="eastAsia" w:ascii="宋体" w:hAnsi="宋体" w:eastAsia="宋体" w:cs="宋体"/>
          <w:color w:val="auto"/>
          <w:szCs w:val="21"/>
          <w:highlight w:val="none"/>
        </w:rPr>
        <w:t>壹年内两次维修后更换主机。</w:t>
      </w:r>
    </w:p>
    <w:p w14:paraId="0C7A3779">
      <w:pPr>
        <w:pStyle w:val="10"/>
        <w:keepNext w:val="0"/>
        <w:keepLines w:val="0"/>
        <w:pageBreakBefore w:val="0"/>
        <w:widowControl w:val="0"/>
        <w:kinsoku/>
        <w:wordWrap/>
        <w:overflowPunct/>
        <w:topLinePunct w:val="0"/>
        <w:autoSpaceDE/>
        <w:autoSpaceDN/>
        <w:bidi w:val="0"/>
        <w:adjustRightInd/>
        <w:spacing w:line="360" w:lineRule="exact"/>
        <w:textAlignment w:val="auto"/>
        <w:rPr>
          <w:rFonts w:hint="eastAsia" w:eastAsia="宋体"/>
          <w:color w:val="auto"/>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为确保长期的电脑及外设框架性设备供应的运维服务及服务质量，本次项目要求提供一线驻</w:t>
      </w:r>
      <w:r>
        <w:rPr>
          <w:rFonts w:hint="eastAsia" w:ascii="宋体" w:hAnsi="宋体" w:eastAsia="宋体" w:cs="宋体"/>
          <w:color w:val="auto"/>
          <w:szCs w:val="21"/>
          <w:highlight w:val="none"/>
          <w:lang w:val="en-US" w:eastAsia="zh-CN"/>
        </w:rPr>
        <w:t>场项目实施人员</w:t>
      </w:r>
      <w:r>
        <w:rPr>
          <w:rFonts w:hint="eastAsia" w:ascii="宋体" w:hAnsi="宋体" w:cs="宋体"/>
          <w:color w:val="auto"/>
          <w:kern w:val="0"/>
          <w:szCs w:val="21"/>
          <w:highlight w:val="none"/>
        </w:rPr>
        <w:t>≥</w:t>
      </w:r>
      <w:r>
        <w:rPr>
          <w:rFonts w:hint="eastAsia" w:ascii="宋体" w:hAnsi="宋体" w:eastAsia="宋体" w:cs="宋体"/>
          <w:color w:val="auto"/>
          <w:szCs w:val="21"/>
          <w:highlight w:val="none"/>
        </w:rPr>
        <w:t>1人驻场，二线</w:t>
      </w:r>
      <w:r>
        <w:rPr>
          <w:rFonts w:hint="eastAsia" w:ascii="宋体" w:hAnsi="宋体" w:eastAsia="宋体" w:cs="宋体"/>
          <w:color w:val="auto"/>
          <w:szCs w:val="21"/>
          <w:highlight w:val="none"/>
          <w:lang w:val="en-US" w:eastAsia="zh-CN"/>
        </w:rPr>
        <w:t>项目实施人员</w:t>
      </w:r>
      <w:r>
        <w:rPr>
          <w:rFonts w:hint="eastAsia" w:ascii="宋体" w:hAnsi="宋体" w:cs="宋体"/>
          <w:color w:val="auto"/>
          <w:kern w:val="0"/>
          <w:szCs w:val="21"/>
          <w:highlight w:val="none"/>
        </w:rPr>
        <w:t>≥</w:t>
      </w:r>
      <w:r>
        <w:rPr>
          <w:rFonts w:hint="eastAsia" w:ascii="宋体" w:hAnsi="宋体" w:eastAsia="宋体" w:cs="宋体"/>
          <w:color w:val="auto"/>
          <w:szCs w:val="21"/>
          <w:highlight w:val="none"/>
        </w:rPr>
        <w:t>2人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提</w:t>
      </w:r>
      <w:r>
        <w:rPr>
          <w:rFonts w:hint="eastAsia"/>
          <w:color w:val="auto"/>
          <w:lang w:val="en-US" w:eastAsia="zh-CN"/>
        </w:rPr>
        <w:t>供</w:t>
      </w:r>
      <w:r>
        <w:rPr>
          <w:rFonts w:hint="eastAsia" w:ascii="宋体" w:hAnsi="宋体" w:cs="宋体"/>
          <w:color w:val="auto"/>
          <w:szCs w:val="21"/>
        </w:rPr>
        <w:t>截止开标时间前半年内任意一个月</w:t>
      </w:r>
      <w:r>
        <w:rPr>
          <w:rFonts w:hint="eastAsia" w:ascii="宋体" w:hAnsi="宋体" w:cs="宋体"/>
          <w:color w:val="auto"/>
          <w:szCs w:val="21"/>
          <w:lang w:eastAsia="zh-CN"/>
        </w:rPr>
        <w:t>内</w:t>
      </w:r>
      <w:r>
        <w:rPr>
          <w:rFonts w:hint="eastAsia" w:ascii="宋体" w:hAnsi="宋体" w:eastAsia="宋体" w:cs="宋体"/>
          <w:color w:val="auto"/>
          <w:szCs w:val="21"/>
          <w:highlight w:val="none"/>
        </w:rPr>
        <w:t>由县级以上（含县级）社会养老保险经办机构出具的</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项目实施人员</w:t>
      </w:r>
      <w:r>
        <w:rPr>
          <w:rFonts w:hint="eastAsia" w:ascii="宋体" w:hAnsi="宋体" w:eastAsia="宋体" w:cs="宋体"/>
          <w:color w:val="auto"/>
          <w:szCs w:val="21"/>
          <w:highlight w:val="none"/>
        </w:rPr>
        <w:t>交纳的社保证明</w:t>
      </w:r>
      <w:r>
        <w:rPr>
          <w:rFonts w:hint="eastAsia" w:ascii="宋体" w:hAnsi="宋体" w:cs="宋体"/>
          <w:color w:val="auto"/>
          <w:szCs w:val="21"/>
          <w:lang w:eastAsia="zh-CN"/>
        </w:rPr>
        <w:t>扫描件。</w:t>
      </w:r>
    </w:p>
    <w:p w14:paraId="576D1BED">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拟投入本项目的驻场运维服务工程师须为供应商本单位正式员工，具有至少2年计算机维护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计算机网络等相关工作经历，具有经验丰富的计算机</w:t>
      </w:r>
      <w:r>
        <w:rPr>
          <w:rFonts w:hint="eastAsia" w:ascii="宋体" w:hAnsi="宋体" w:eastAsia="宋体" w:cs="宋体"/>
          <w:color w:val="auto"/>
          <w:szCs w:val="21"/>
          <w:highlight w:val="none"/>
          <w:lang w:eastAsia="zh-CN"/>
        </w:rPr>
        <w:t>相关专业工程师或以上职称</w:t>
      </w:r>
      <w:r>
        <w:rPr>
          <w:rFonts w:hint="eastAsia" w:ascii="宋体" w:hAnsi="宋体" w:eastAsia="宋体" w:cs="宋体"/>
          <w:color w:val="auto"/>
          <w:szCs w:val="21"/>
          <w:highlight w:val="none"/>
        </w:rPr>
        <w:t>，包括计算机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数据库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红帽RHCSA</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RHCE计算机网络软件成熟操作能力，并可以随时为驻场人员提供资深技术支持。</w:t>
      </w:r>
    </w:p>
    <w:p w14:paraId="529FB6CA">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维修响应时间不超过</w:t>
      </w:r>
      <w:r>
        <w:rPr>
          <w:rFonts w:hint="eastAsia" w:ascii="宋体" w:hAnsi="宋体" w:cs="宋体"/>
          <w:color w:val="auto"/>
          <w:szCs w:val="21"/>
          <w:highlight w:val="none"/>
          <w:lang w:val="en-US" w:eastAsia="zh-CN"/>
        </w:rPr>
        <w:t>15分钟</w:t>
      </w:r>
      <w:r>
        <w:rPr>
          <w:rFonts w:hint="eastAsia" w:ascii="宋体" w:hAnsi="宋体" w:eastAsia="宋体" w:cs="宋体"/>
          <w:color w:val="auto"/>
          <w:szCs w:val="21"/>
          <w:highlight w:val="none"/>
        </w:rPr>
        <w:t>，必要时厂方工程师到达现场时间不超过24小时。如因仪器故障影响临床工作，仪器保修期将按机器因故障导致工作不能正常开展的时间加倍顺延。</w:t>
      </w:r>
    </w:p>
    <w:p w14:paraId="55A8218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超出“三包”范围的售后服务承诺，中标</w:t>
      </w:r>
      <w:r>
        <w:rPr>
          <w:rFonts w:hint="eastAsia" w:ascii="宋体" w:hAnsi="宋体" w:eastAsia="宋体" w:cs="宋体"/>
          <w:color w:val="auto"/>
          <w:szCs w:val="21"/>
          <w:highlight w:val="none"/>
          <w:lang w:val="en-US" w:eastAsia="zh-CN"/>
        </w:rPr>
        <w:t>签订合同时</w:t>
      </w:r>
      <w:r>
        <w:rPr>
          <w:rFonts w:hint="eastAsia" w:ascii="宋体" w:hAnsi="宋体" w:eastAsia="宋体" w:cs="宋体"/>
          <w:color w:val="auto"/>
          <w:szCs w:val="21"/>
          <w:highlight w:val="none"/>
        </w:rPr>
        <w:t>提供生产厂家或总代理商出具的针对所响应产品的售后服务承诺书原件，并携带由行政主管部门核准的资格文件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注册产品标准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产品白皮书等材料，以便核实相关资质和技术参数，如无以上材料不予验收。</w:t>
      </w:r>
    </w:p>
    <w:p w14:paraId="3DC60354">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售后服务服务过程中如有违反约定的情况，采购人有权扣除履约保证金。</w:t>
      </w:r>
    </w:p>
    <w:p w14:paraId="4CAE13F9">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r>
        <w:rPr>
          <w:rFonts w:hint="eastAsia" w:ascii="宋体" w:hAnsi="宋体" w:cs="宋体"/>
          <w:b/>
          <w:color w:val="auto"/>
          <w:szCs w:val="21"/>
        </w:rPr>
        <w:t>第九条  税费</w:t>
      </w:r>
      <w:bookmarkEnd w:id="36"/>
      <w:bookmarkEnd w:id="37"/>
      <w:bookmarkEnd w:id="38"/>
      <w:bookmarkEnd w:id="39"/>
    </w:p>
    <w:p w14:paraId="64571BC2">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ascii="宋体" w:hAnsi="宋体" w:cs="宋体"/>
          <w:color w:val="auto"/>
          <w:szCs w:val="21"/>
        </w:rPr>
      </w:pPr>
      <w:r>
        <w:rPr>
          <w:rFonts w:hint="eastAsia" w:ascii="宋体" w:hAnsi="宋体" w:cs="宋体"/>
          <w:color w:val="auto"/>
          <w:szCs w:val="21"/>
        </w:rPr>
        <w:t>本合同执行中相关的一切税费均由乙方负担。</w:t>
      </w:r>
    </w:p>
    <w:p w14:paraId="0934E439">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40" w:name="_Toc17338"/>
      <w:bookmarkStart w:id="41" w:name="_Toc8637"/>
      <w:bookmarkStart w:id="42" w:name="_Toc495841777"/>
      <w:bookmarkStart w:id="43" w:name="_Toc18828"/>
      <w:r>
        <w:rPr>
          <w:rFonts w:hint="eastAsia" w:ascii="宋体" w:hAnsi="宋体" w:cs="宋体"/>
          <w:b/>
          <w:color w:val="auto"/>
          <w:szCs w:val="21"/>
        </w:rPr>
        <w:t>第十条  付款方式</w:t>
      </w:r>
      <w:bookmarkEnd w:id="40"/>
      <w:bookmarkEnd w:id="41"/>
      <w:bookmarkEnd w:id="42"/>
      <w:bookmarkEnd w:id="43"/>
    </w:p>
    <w:p w14:paraId="2F7AA3B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color w:val="auto"/>
          <w:szCs w:val="21"/>
        </w:rPr>
      </w:pPr>
      <w:bookmarkStart w:id="44" w:name="_Toc26154"/>
      <w:bookmarkStart w:id="45" w:name="_Toc495841778"/>
      <w:bookmarkStart w:id="46" w:name="_Toc19042"/>
      <w:bookmarkStart w:id="47" w:name="_Toc6761"/>
      <w:r>
        <w:rPr>
          <w:rFonts w:hint="eastAsia" w:ascii="宋体" w:hAnsi="宋体" w:cs="宋体"/>
          <w:color w:val="auto"/>
          <w:szCs w:val="21"/>
        </w:rPr>
        <w:t>1</w:t>
      </w:r>
      <w:r>
        <w:rPr>
          <w:rFonts w:hint="eastAsia" w:ascii="宋体" w:hAnsi="宋体" w:cs="宋体"/>
          <w:color w:val="auto"/>
          <w:szCs w:val="21"/>
          <w:lang w:val="en-US" w:eastAsia="zh-CN"/>
        </w:rPr>
        <w:t>.合同签订后，</w:t>
      </w:r>
      <w:r>
        <w:rPr>
          <w:rFonts w:hint="eastAsia" w:ascii="宋体" w:hAnsi="宋体" w:cs="宋体"/>
          <w:color w:val="auto"/>
          <w:szCs w:val="21"/>
        </w:rPr>
        <w:t>自验收合格</w:t>
      </w:r>
      <w:r>
        <w:rPr>
          <w:rFonts w:hint="eastAsia" w:ascii="宋体" w:hAnsi="宋体" w:cs="宋体"/>
          <w:color w:val="auto"/>
          <w:szCs w:val="21"/>
          <w:lang w:eastAsia="zh-CN"/>
        </w:rPr>
        <w:t>（</w:t>
      </w:r>
      <w:r>
        <w:rPr>
          <w:rFonts w:hint="eastAsia" w:ascii="宋体" w:hAnsi="宋体" w:cs="宋体"/>
          <w:color w:val="auto"/>
          <w:szCs w:val="21"/>
          <w:lang w:val="en-US" w:eastAsia="zh-CN"/>
        </w:rPr>
        <w:t>培训指导完成、设备、软件正式使用）</w:t>
      </w:r>
      <w:r>
        <w:rPr>
          <w:rFonts w:hint="eastAsia" w:ascii="宋体" w:hAnsi="宋体" w:cs="宋体"/>
          <w:color w:val="auto"/>
          <w:szCs w:val="21"/>
        </w:rPr>
        <w:t>收到</w:t>
      </w:r>
      <w:r>
        <w:rPr>
          <w:rFonts w:hint="eastAsia" w:ascii="宋体" w:hAnsi="宋体" w:cs="宋体"/>
          <w:color w:val="auto"/>
          <w:szCs w:val="21"/>
          <w:lang w:val="en-US" w:eastAsia="zh-CN"/>
        </w:rPr>
        <w:t>正规等额、有效发票</w:t>
      </w:r>
      <w:r>
        <w:rPr>
          <w:rFonts w:hint="eastAsia" w:ascii="宋体" w:hAnsi="宋体" w:cs="宋体"/>
          <w:color w:val="auto"/>
          <w:szCs w:val="21"/>
        </w:rPr>
        <w:t>之日起</w:t>
      </w:r>
      <w:r>
        <w:rPr>
          <w:rFonts w:hint="eastAsia" w:ascii="宋体" w:hAnsi="宋体" w:cs="宋体"/>
          <w:color w:val="auto"/>
          <w:szCs w:val="21"/>
          <w:lang w:val="en-US" w:eastAsia="zh-CN"/>
        </w:rPr>
        <w:t>60个工作日后</w:t>
      </w:r>
      <w:r>
        <w:rPr>
          <w:rFonts w:hint="eastAsia" w:ascii="宋体" w:hAnsi="宋体" w:cs="宋体"/>
          <w:color w:val="auto"/>
          <w:szCs w:val="21"/>
        </w:rPr>
        <w:t>支付合同价款的95%，合同价款的</w:t>
      </w:r>
      <w:r>
        <w:rPr>
          <w:rFonts w:hint="eastAsia" w:ascii="宋体" w:hAnsi="宋体" w:cs="宋体"/>
          <w:color w:val="auto"/>
          <w:szCs w:val="21"/>
          <w:lang w:val="en-US" w:eastAsia="zh-CN"/>
        </w:rPr>
        <w:t>5</w:t>
      </w:r>
      <w:r>
        <w:rPr>
          <w:rFonts w:hint="eastAsia" w:ascii="宋体" w:hAnsi="宋体" w:cs="宋体"/>
          <w:color w:val="auto"/>
          <w:szCs w:val="21"/>
        </w:rPr>
        <w:t>%作为履约保证金</w:t>
      </w:r>
      <w:r>
        <w:rPr>
          <w:rFonts w:hint="eastAsia" w:ascii="宋体" w:hAnsi="宋体" w:cs="宋体"/>
          <w:color w:val="auto"/>
          <w:szCs w:val="21"/>
          <w:lang w:eastAsia="zh-CN"/>
        </w:rPr>
        <w:t>，</w:t>
      </w:r>
      <w:r>
        <w:rPr>
          <w:rFonts w:hint="eastAsia" w:ascii="宋体" w:hAnsi="宋体" w:cs="宋体"/>
          <w:color w:val="auto"/>
          <w:szCs w:val="21"/>
          <w:lang w:val="en-US" w:eastAsia="zh-CN"/>
        </w:rPr>
        <w:t>质保期</w:t>
      </w:r>
      <w:r>
        <w:rPr>
          <w:rFonts w:hint="eastAsia" w:ascii="宋体" w:hAnsi="宋体" w:cs="宋体"/>
          <w:color w:val="auto"/>
          <w:szCs w:val="21"/>
          <w:u w:val="single"/>
          <w:lang w:val="en-US" w:eastAsia="zh-CN"/>
        </w:rPr>
        <w:t xml:space="preserve"> 三  </w:t>
      </w:r>
      <w:r>
        <w:rPr>
          <w:rFonts w:hint="eastAsia" w:ascii="宋体" w:hAnsi="宋体" w:cs="宋体"/>
          <w:color w:val="auto"/>
          <w:szCs w:val="21"/>
          <w:lang w:val="en-US" w:eastAsia="zh-CN"/>
        </w:rPr>
        <w:t>年，质保期届满30个工作日后付清</w:t>
      </w:r>
      <w:r>
        <w:rPr>
          <w:rFonts w:hint="eastAsia" w:ascii="宋体" w:hAnsi="宋体" w:cs="宋体"/>
          <w:color w:val="auto"/>
          <w:szCs w:val="21"/>
        </w:rPr>
        <w:t>（无息）</w:t>
      </w:r>
      <w:r>
        <w:rPr>
          <w:rFonts w:hint="eastAsia" w:ascii="宋体" w:hAnsi="宋体" w:cs="宋体"/>
          <w:color w:val="auto"/>
          <w:szCs w:val="21"/>
          <w:lang w:val="en-US" w:eastAsia="zh-CN"/>
        </w:rPr>
        <w:t>。质保期届满后维保费不超过合同金额的</w:t>
      </w:r>
      <w:r>
        <w:rPr>
          <w:rFonts w:hint="eastAsia" w:ascii="宋体" w:hAnsi="宋体" w:cs="宋体"/>
          <w:color w:val="auto"/>
          <w:szCs w:val="21"/>
          <w:u w:val="single"/>
          <w:lang w:val="en-US" w:eastAsia="zh-CN"/>
        </w:rPr>
        <w:t xml:space="preserve">  5   </w:t>
      </w:r>
      <w:r>
        <w:rPr>
          <w:rFonts w:hint="eastAsia" w:ascii="宋体" w:hAnsi="宋体" w:cs="宋体"/>
          <w:color w:val="auto"/>
          <w:szCs w:val="21"/>
          <w:lang w:val="en-US" w:eastAsia="zh-CN"/>
        </w:rPr>
        <w:t>%，维保协议另行签订。</w:t>
      </w:r>
    </w:p>
    <w:p w14:paraId="1B03A384">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r>
        <w:rPr>
          <w:rFonts w:hint="eastAsia" w:ascii="宋体" w:hAnsi="宋体" w:cs="宋体"/>
          <w:b/>
          <w:color w:val="auto"/>
          <w:szCs w:val="21"/>
        </w:rPr>
        <w:t>第十一条  违约责任</w:t>
      </w:r>
      <w:bookmarkEnd w:id="44"/>
      <w:bookmarkEnd w:id="45"/>
      <w:bookmarkEnd w:id="46"/>
      <w:bookmarkEnd w:id="47"/>
    </w:p>
    <w:p w14:paraId="1099390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 乙方所提供的货物规格、技术标准、材料等质量不合格的，应及时更换，更换不及时的按逾期交货处罚，乙方应向甲方支付合同金额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 </w:t>
      </w:r>
      <w:r>
        <w:rPr>
          <w:rFonts w:hint="eastAsia" w:ascii="宋体" w:hAnsi="宋体" w:cs="宋体"/>
          <w:color w:val="auto"/>
          <w:szCs w:val="21"/>
        </w:rPr>
        <w:t>%违约金并赔偿甲方经济损失。</w:t>
      </w:r>
    </w:p>
    <w:p w14:paraId="4B8749B9">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ascii="宋体" w:hAnsi="宋体" w:cs="宋体"/>
          <w:color w:val="auto"/>
          <w:szCs w:val="21"/>
        </w:rPr>
      </w:pPr>
      <w:r>
        <w:rPr>
          <w:rFonts w:hint="eastAsia" w:ascii="宋体" w:hAnsi="宋体" w:cs="宋体"/>
          <w:color w:val="auto"/>
          <w:szCs w:val="21"/>
        </w:rPr>
        <w:t>2. 乙方提供的货物如果侵犯了第三方合法权益而引发的任何纠纷或诉讼，均由乙方负责交涉并承担全部责任。</w:t>
      </w:r>
    </w:p>
    <w:p w14:paraId="6883B428">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ascii="宋体" w:hAnsi="宋体" w:cs="宋体"/>
          <w:color w:val="auto"/>
          <w:szCs w:val="21"/>
        </w:rPr>
      </w:pPr>
      <w:r>
        <w:rPr>
          <w:rFonts w:hint="eastAsia" w:ascii="宋体" w:hAnsi="宋体" w:cs="宋体"/>
          <w:color w:val="auto"/>
          <w:szCs w:val="21"/>
        </w:rPr>
        <w:t>3. 因包装、运输引起的货物损坏，按质量不合格处理。</w:t>
      </w:r>
    </w:p>
    <w:p w14:paraId="08772855">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ascii="宋体" w:hAnsi="宋体" w:cs="宋体"/>
          <w:color w:val="auto"/>
          <w:szCs w:val="21"/>
        </w:rPr>
      </w:pPr>
      <w:r>
        <w:rPr>
          <w:rFonts w:hint="eastAsia" w:ascii="宋体" w:hAnsi="宋体" w:cs="宋体"/>
          <w:color w:val="auto"/>
          <w:szCs w:val="21"/>
        </w:rPr>
        <w:t>4. 甲方无故延期接收货物、乙方逾期交货的，每天向对方偿付违约货款额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0.5</w:t>
      </w:r>
      <w:r>
        <w:rPr>
          <w:rFonts w:hint="eastAsia" w:ascii="宋体" w:hAnsi="宋体" w:cs="宋体"/>
          <w:color w:val="auto"/>
          <w:szCs w:val="21"/>
          <w:u w:val="single"/>
        </w:rPr>
        <w:t xml:space="preserve"> ‰</w:t>
      </w:r>
      <w:r>
        <w:rPr>
          <w:rFonts w:hint="eastAsia" w:ascii="宋体" w:hAnsi="宋体" w:cs="宋体"/>
          <w:color w:val="auto"/>
          <w:szCs w:val="21"/>
        </w:rPr>
        <w:t>违约金，但违约金累计不得超过违约货款额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  %</w:t>
      </w:r>
      <w:r>
        <w:rPr>
          <w:rFonts w:hint="eastAsia" w:ascii="宋体" w:hAnsi="宋体" w:cs="宋体"/>
          <w:color w:val="auto"/>
          <w:szCs w:val="21"/>
        </w:rPr>
        <w:t>，超过</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60</w:t>
      </w:r>
      <w:r>
        <w:rPr>
          <w:rFonts w:hint="eastAsia" w:ascii="宋体" w:hAnsi="宋体" w:cs="宋体"/>
          <w:color w:val="auto"/>
          <w:szCs w:val="21"/>
          <w:u w:val="single"/>
        </w:rPr>
        <w:t xml:space="preserve"> </w:t>
      </w:r>
      <w:r>
        <w:rPr>
          <w:rFonts w:hint="eastAsia" w:ascii="宋体" w:hAnsi="宋体" w:cs="宋体"/>
          <w:color w:val="auto"/>
          <w:szCs w:val="21"/>
        </w:rPr>
        <w:t>天对方有权解除合同，违约方承担因此给对方造成经济损失；甲方延期付货款的，每天向乙方偿付延期货款额</w:t>
      </w:r>
      <w:r>
        <w:rPr>
          <w:rFonts w:hint="eastAsia" w:ascii="宋体" w:hAnsi="宋体" w:cs="宋体"/>
          <w:color w:val="auto"/>
          <w:szCs w:val="21"/>
          <w:u w:val="single"/>
          <w:lang w:val="en-US" w:eastAsia="zh-CN"/>
        </w:rPr>
        <w:t>0.5</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违约</w:t>
      </w:r>
      <w:r>
        <w:rPr>
          <w:rFonts w:hint="eastAsia" w:ascii="宋体" w:hAnsi="宋体" w:cs="宋体"/>
          <w:color w:val="auto"/>
          <w:szCs w:val="21"/>
        </w:rPr>
        <w:t>金，但</w:t>
      </w:r>
      <w:r>
        <w:rPr>
          <w:rFonts w:hint="eastAsia" w:ascii="宋体" w:hAnsi="宋体" w:cs="宋体"/>
          <w:color w:val="auto"/>
          <w:szCs w:val="21"/>
          <w:lang w:val="en-US" w:eastAsia="zh-CN"/>
        </w:rPr>
        <w:t>违约</w:t>
      </w:r>
      <w:r>
        <w:rPr>
          <w:rFonts w:hint="eastAsia" w:ascii="宋体" w:hAnsi="宋体" w:cs="宋体"/>
          <w:color w:val="auto"/>
          <w:szCs w:val="21"/>
        </w:rPr>
        <w:t>金累计不得超过延期货款额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10 </w:t>
      </w:r>
      <w:r>
        <w:rPr>
          <w:rFonts w:hint="eastAsia" w:ascii="宋体" w:hAnsi="宋体" w:cs="宋体"/>
          <w:color w:val="auto"/>
          <w:szCs w:val="21"/>
          <w:u w:val="single"/>
        </w:rPr>
        <w:t>%</w:t>
      </w:r>
      <w:r>
        <w:rPr>
          <w:rFonts w:hint="eastAsia" w:ascii="宋体" w:hAnsi="宋体" w:cs="宋体"/>
          <w:color w:val="auto"/>
          <w:szCs w:val="21"/>
        </w:rPr>
        <w:t>。</w:t>
      </w:r>
    </w:p>
    <w:p w14:paraId="423718AE">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ascii="宋体" w:hAnsi="宋体" w:cs="宋体"/>
          <w:color w:val="auto"/>
          <w:szCs w:val="21"/>
        </w:rPr>
      </w:pPr>
      <w:r>
        <w:rPr>
          <w:rFonts w:hint="eastAsia" w:ascii="宋体" w:hAnsi="宋体" w:cs="宋体"/>
          <w:color w:val="auto"/>
          <w:szCs w:val="21"/>
        </w:rPr>
        <w:t>5. 乙方未按本合同和投标文件中规定的服务承诺提供售后服务的，乙方应按本合同合同金额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  </w:t>
      </w:r>
      <w:r>
        <w:rPr>
          <w:rFonts w:hint="eastAsia" w:ascii="宋体" w:hAnsi="宋体" w:cs="宋体"/>
          <w:color w:val="auto"/>
          <w:szCs w:val="21"/>
        </w:rPr>
        <w:t>%向甲方支付违约金。</w:t>
      </w:r>
    </w:p>
    <w:p w14:paraId="254F6AA2">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eastAsia="宋体" w:cs="宋体"/>
          <w:color w:val="auto"/>
          <w:szCs w:val="21"/>
        </w:rPr>
      </w:pPr>
      <w:r>
        <w:rPr>
          <w:rFonts w:hint="eastAsia" w:ascii="宋体" w:hAnsi="宋体" w:cs="宋体"/>
          <w:color w:val="auto"/>
          <w:szCs w:val="21"/>
        </w:rPr>
        <w:t>6. 乙方提供的货物在质保期内，因设计、工艺或材料的缺陷和其他质量原因造成的问题，由乙</w:t>
      </w:r>
      <w:r>
        <w:rPr>
          <w:rFonts w:hint="eastAsia" w:ascii="宋体" w:hAnsi="宋体" w:eastAsia="宋体" w:cs="宋体"/>
          <w:color w:val="auto"/>
          <w:szCs w:val="21"/>
        </w:rPr>
        <w:t>方负责。</w:t>
      </w:r>
    </w:p>
    <w:p w14:paraId="54C67715">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7. </w:t>
      </w:r>
      <w:r>
        <w:rPr>
          <w:rFonts w:hint="eastAsia" w:ascii="宋体" w:hAnsi="宋体" w:eastAsia="宋体" w:cs="宋体"/>
          <w:color w:val="auto"/>
          <w:szCs w:val="21"/>
        </w:rPr>
        <w:t>乙方没有按约定派驻人员，每人次支付合同总额10‰（千分之十）的违约金。</w:t>
      </w:r>
    </w:p>
    <w:p w14:paraId="41EF7D8F">
      <w:pPr>
        <w:keepNext w:val="0"/>
        <w:keepLines w:val="0"/>
        <w:pageBreakBefore w:val="0"/>
        <w:widowControl w:val="0"/>
        <w:kinsoku/>
        <w:wordWrap/>
        <w:overflowPunct/>
        <w:topLinePunct w:val="0"/>
        <w:autoSpaceDE/>
        <w:autoSpaceDN/>
        <w:bidi w:val="0"/>
        <w:adjustRightInd/>
        <w:spacing w:line="360" w:lineRule="exact"/>
        <w:ind w:firstLine="411" w:firstLineChars="196"/>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 其他违约行为按违约货款额</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rPr>
        <w:t xml:space="preserve"> %收取违约金并赔偿经济损失。</w:t>
      </w:r>
    </w:p>
    <w:p w14:paraId="0C6DF6DB">
      <w:pPr>
        <w:spacing w:line="360" w:lineRule="exact"/>
        <w:ind w:firstLine="411" w:firstLineChars="196"/>
        <w:rPr>
          <w:rFonts w:hint="eastAsia" w:ascii="宋体" w:hAnsi="宋体" w:eastAsia="宋体" w:cs="宋体"/>
          <w:bCs w:val="0"/>
          <w:color w:val="auto"/>
          <w:kern w:val="2"/>
          <w:sz w:val="21"/>
          <w:szCs w:val="21"/>
        </w:rPr>
      </w:pPr>
      <w:r>
        <w:rPr>
          <w:rFonts w:hint="eastAsia" w:ascii="宋体" w:hAnsi="宋体" w:cs="宋体"/>
          <w:color w:val="auto"/>
          <w:szCs w:val="21"/>
          <w:lang w:val="en-US" w:eastAsia="zh-CN"/>
        </w:rPr>
        <w:t>9</w:t>
      </w:r>
      <w:r>
        <w:rPr>
          <w:rFonts w:hint="eastAsia" w:ascii="宋体" w:hAnsi="宋体" w:eastAsia="宋体" w:cs="宋体"/>
          <w:color w:val="auto"/>
          <w:szCs w:val="21"/>
          <w:lang w:val="en-US" w:eastAsia="zh-CN"/>
        </w:rPr>
        <w:t>.</w:t>
      </w:r>
      <w:r>
        <w:rPr>
          <w:rFonts w:hint="eastAsia" w:ascii="宋体" w:hAnsi="宋体" w:eastAsia="宋体" w:cs="宋体"/>
          <w:bCs w:val="0"/>
          <w:color w:val="auto"/>
          <w:kern w:val="2"/>
          <w:sz w:val="21"/>
          <w:szCs w:val="21"/>
        </w:rPr>
        <w:t>乙方应该开具真实的发票，一旦查出发票作假，</w:t>
      </w:r>
      <w:r>
        <w:rPr>
          <w:rFonts w:hint="eastAsia" w:ascii="宋体" w:hAnsi="宋体" w:eastAsia="宋体" w:cs="宋体"/>
          <w:bCs w:val="0"/>
          <w:color w:val="auto"/>
          <w:kern w:val="2"/>
          <w:sz w:val="21"/>
          <w:szCs w:val="21"/>
          <w:lang w:val="en-US" w:eastAsia="zh-CN"/>
        </w:rPr>
        <w:t>甲方有权</w:t>
      </w:r>
      <w:r>
        <w:rPr>
          <w:rFonts w:hint="eastAsia" w:ascii="宋体" w:hAnsi="宋体" w:eastAsia="宋体" w:cs="宋体"/>
          <w:bCs w:val="0"/>
          <w:color w:val="auto"/>
          <w:kern w:val="2"/>
          <w:sz w:val="21"/>
          <w:szCs w:val="21"/>
        </w:rPr>
        <w:t>解除协议并且甲方有权利不支付该笔发票款项。</w:t>
      </w:r>
    </w:p>
    <w:p w14:paraId="18C594F2">
      <w:pPr>
        <w:widowControl/>
        <w:spacing w:line="360" w:lineRule="exact"/>
        <w:ind w:left="0" w:firstLine="411" w:firstLineChars="196"/>
        <w:rPr>
          <w:rFonts w:hint="default" w:eastAsia="宋体"/>
          <w:color w:val="auto"/>
          <w:lang w:val="en-US" w:eastAsia="zh-CN"/>
        </w:rPr>
      </w:pPr>
      <w:r>
        <w:rPr>
          <w:rFonts w:hint="eastAsia" w:ascii="宋体" w:hAnsi="宋体" w:cs="宋体"/>
          <w:bCs w:val="0"/>
          <w:color w:val="auto"/>
          <w:kern w:val="2"/>
          <w:sz w:val="21"/>
          <w:szCs w:val="21"/>
          <w:lang w:val="en-US" w:eastAsia="zh-CN"/>
        </w:rPr>
        <w:t>10</w:t>
      </w:r>
      <w:r>
        <w:rPr>
          <w:rFonts w:hint="eastAsia" w:ascii="宋体" w:hAnsi="宋体" w:eastAsia="宋体" w:cs="宋体"/>
          <w:bCs w:val="0"/>
          <w:color w:val="auto"/>
          <w:kern w:val="2"/>
          <w:sz w:val="21"/>
          <w:szCs w:val="21"/>
          <w:lang w:val="en-US" w:eastAsia="zh-CN"/>
        </w:rPr>
        <w:t>.</w:t>
      </w:r>
      <w:r>
        <w:rPr>
          <w:rFonts w:hint="eastAsia" w:ascii="宋体" w:hAnsi="宋体" w:eastAsia="宋体" w:cs="宋体"/>
          <w:color w:val="auto"/>
          <w:sz w:val="21"/>
          <w:szCs w:val="21"/>
        </w:rPr>
        <w:t>如乙方（厂商）及其员工存在涉嫌商业贿赂（包括但不限于相关部门介入、立案调查、询问等）违法行为的情况，甲方（医院）可暂缓付款，一经查实乙方及其员工存在对甲方员工进行商业贿赂等违法行为的，乙方须向甲方支付合同总价款40%的违约金，甲方有权从应支付给乙方的款项中予以直接扣减。</w:t>
      </w:r>
    </w:p>
    <w:p w14:paraId="27CC5D20">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48" w:name="_Toc4299"/>
      <w:bookmarkStart w:id="49" w:name="_Toc15932"/>
      <w:bookmarkStart w:id="50" w:name="_Toc495841779"/>
      <w:bookmarkStart w:id="51" w:name="_Toc5808"/>
      <w:r>
        <w:rPr>
          <w:rFonts w:hint="eastAsia" w:ascii="宋体" w:hAnsi="宋体" w:cs="宋体"/>
          <w:b/>
          <w:color w:val="auto"/>
          <w:szCs w:val="21"/>
        </w:rPr>
        <w:t>第十二条  不可抗力事件处理</w:t>
      </w:r>
      <w:bookmarkEnd w:id="48"/>
      <w:bookmarkEnd w:id="49"/>
      <w:bookmarkEnd w:id="50"/>
      <w:bookmarkEnd w:id="51"/>
    </w:p>
    <w:p w14:paraId="7943B3C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1.在合同有效期内，乙方因不可抗力事件导致不能履行合同，则合同履行期可延长，其延长期与不可抗力影响期相同。</w:t>
      </w:r>
    </w:p>
    <w:p w14:paraId="1A53DD0D">
      <w:pPr>
        <w:keepNext w:val="0"/>
        <w:keepLines w:val="0"/>
        <w:pageBreakBefore w:val="0"/>
        <w:widowControl w:val="0"/>
        <w:kinsoku/>
        <w:wordWrap/>
        <w:overflowPunct/>
        <w:topLinePunct w:val="0"/>
        <w:autoSpaceDE/>
        <w:autoSpaceDN/>
        <w:bidi w:val="0"/>
        <w:adjustRightInd/>
        <w:spacing w:line="360" w:lineRule="exact"/>
        <w:ind w:left="420"/>
        <w:textAlignment w:val="auto"/>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w:t>
      </w:r>
    </w:p>
    <w:p w14:paraId="0AAD4DBE">
      <w:pPr>
        <w:keepNext w:val="0"/>
        <w:keepLines w:val="0"/>
        <w:pageBreakBefore w:val="0"/>
        <w:widowControl w:val="0"/>
        <w:kinsoku/>
        <w:wordWrap/>
        <w:overflowPunct/>
        <w:topLinePunct w:val="0"/>
        <w:autoSpaceDE/>
        <w:autoSpaceDN/>
        <w:bidi w:val="0"/>
        <w:adjustRightInd/>
        <w:spacing w:line="360" w:lineRule="exact"/>
        <w:ind w:left="420"/>
        <w:textAlignment w:val="auto"/>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61C6D65A">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52" w:name="_Toc495841780"/>
      <w:bookmarkStart w:id="53" w:name="_Toc8423"/>
      <w:bookmarkStart w:id="54" w:name="_Toc9"/>
      <w:bookmarkStart w:id="55" w:name="_Toc24966"/>
      <w:r>
        <w:rPr>
          <w:rFonts w:hint="eastAsia" w:ascii="宋体" w:hAnsi="宋体" w:cs="宋体"/>
          <w:b/>
          <w:color w:val="auto"/>
          <w:szCs w:val="21"/>
        </w:rPr>
        <w:t>第十三条  合同争议解决</w:t>
      </w:r>
      <w:bookmarkEnd w:id="52"/>
      <w:bookmarkEnd w:id="53"/>
      <w:bookmarkEnd w:id="54"/>
      <w:bookmarkEnd w:id="55"/>
    </w:p>
    <w:p w14:paraId="7775382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1.因货物质量问题发生争议的，应邀请国家认可的质量检测机构对货物质量进行鉴定。货物符合标准的，鉴定费由甲方承担；货物不符合标准的，鉴定费由乙方承担。</w:t>
      </w:r>
    </w:p>
    <w:p w14:paraId="066D6A9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2.因履行本合同引起的或与本合同有关的争议，甲乙双方应首先通过友好协商解决，如果协商不能解决，可向</w:t>
      </w:r>
      <w:r>
        <w:rPr>
          <w:rFonts w:hint="default" w:ascii="宋体" w:hAnsi="宋体" w:cs="宋体"/>
          <w:color w:val="auto"/>
          <w:szCs w:val="21"/>
          <w:lang w:val="en-US"/>
        </w:rPr>
        <w:t>项目所在地辖区</w:t>
      </w:r>
      <w:r>
        <w:rPr>
          <w:rFonts w:hint="eastAsia" w:ascii="宋体" w:hAnsi="宋体" w:cs="宋体"/>
          <w:color w:val="auto"/>
          <w:szCs w:val="21"/>
        </w:rPr>
        <w:t>人民法院提起诉讼。</w:t>
      </w:r>
    </w:p>
    <w:p w14:paraId="31E59F1F">
      <w:pPr>
        <w:keepNext w:val="0"/>
        <w:keepLines w:val="0"/>
        <w:pageBreakBefore w:val="0"/>
        <w:widowControl w:val="0"/>
        <w:kinsoku/>
        <w:wordWrap/>
        <w:overflowPunct/>
        <w:topLinePunct w:val="0"/>
        <w:autoSpaceDE/>
        <w:autoSpaceDN/>
        <w:bidi w:val="0"/>
        <w:adjustRightInd/>
        <w:spacing w:line="360" w:lineRule="exact"/>
        <w:ind w:left="435"/>
        <w:textAlignment w:val="auto"/>
        <w:rPr>
          <w:rFonts w:ascii="宋体" w:hAnsi="宋体" w:cs="宋体"/>
          <w:color w:val="auto"/>
          <w:szCs w:val="21"/>
        </w:rPr>
      </w:pPr>
      <w:r>
        <w:rPr>
          <w:rFonts w:hint="eastAsia" w:ascii="宋体" w:hAnsi="宋体" w:cs="宋体"/>
          <w:color w:val="auto"/>
          <w:szCs w:val="21"/>
        </w:rPr>
        <w:t>3.诉讼期间，本合同继续履行。</w:t>
      </w:r>
    </w:p>
    <w:p w14:paraId="0A4BFA06">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56" w:name="_Toc26915"/>
      <w:bookmarkStart w:id="57" w:name="_Toc495841781"/>
      <w:bookmarkStart w:id="58" w:name="_Toc10780"/>
      <w:bookmarkStart w:id="59" w:name="_Toc26480"/>
      <w:r>
        <w:rPr>
          <w:rFonts w:hint="eastAsia" w:ascii="宋体" w:hAnsi="宋体" w:cs="宋体"/>
          <w:b/>
          <w:color w:val="auto"/>
          <w:szCs w:val="21"/>
        </w:rPr>
        <w:t>第十四条  合同生效及其它</w:t>
      </w:r>
      <w:bookmarkEnd w:id="56"/>
      <w:bookmarkEnd w:id="57"/>
      <w:bookmarkEnd w:id="58"/>
      <w:bookmarkEnd w:id="59"/>
    </w:p>
    <w:p w14:paraId="4137F83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default" w:ascii="宋体" w:hAnsi="宋体" w:eastAsia="宋体" w:cs="宋体"/>
          <w:color w:val="auto"/>
          <w:szCs w:val="21"/>
          <w:lang w:val="en-US" w:eastAsia="zh-CN"/>
        </w:rPr>
      </w:pPr>
      <w:r>
        <w:rPr>
          <w:rFonts w:hint="eastAsia" w:ascii="宋体" w:hAnsi="宋体" w:cs="宋体"/>
          <w:color w:val="auto"/>
          <w:szCs w:val="21"/>
        </w:rPr>
        <w:t>1.合同经甲乙双方法定代表人、负责人、自然人或相应的授权代表签字并加盖</w:t>
      </w:r>
      <w:r>
        <w:rPr>
          <w:rFonts w:hint="eastAsia" w:ascii="宋体" w:hAnsi="宋体" w:cs="宋体"/>
          <w:color w:val="auto"/>
          <w:szCs w:val="21"/>
          <w:lang w:val="en-US" w:eastAsia="zh-CN"/>
        </w:rPr>
        <w:t>双方</w:t>
      </w:r>
      <w:r>
        <w:rPr>
          <w:rFonts w:hint="eastAsia" w:ascii="宋体" w:hAnsi="宋体" w:cs="宋体"/>
          <w:color w:val="auto"/>
          <w:szCs w:val="21"/>
        </w:rPr>
        <w:t>公章后生效。</w:t>
      </w:r>
      <w:r>
        <w:rPr>
          <w:rFonts w:hint="eastAsia" w:ascii="宋体" w:hAnsi="宋体" w:cs="宋体"/>
          <w:color w:val="auto"/>
          <w:szCs w:val="21"/>
          <w:lang w:val="en-US" w:eastAsia="zh-CN"/>
        </w:rPr>
        <w:t>本合同一式陆份，甲方执肆份，乙方执贰份。</w:t>
      </w:r>
    </w:p>
    <w:p w14:paraId="745F3FC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2.合同执行中涉及采购资金和采购内容修改或补充的，需经同级财政部门审批，并签订书面补充协议报同级财政部门备案，方可作为主合同不可分割的一部分。</w:t>
      </w:r>
    </w:p>
    <w:p w14:paraId="69AB74C0">
      <w:pPr>
        <w:keepNext w:val="0"/>
        <w:keepLines w:val="0"/>
        <w:pageBreakBefore w:val="0"/>
        <w:widowControl w:val="0"/>
        <w:kinsoku/>
        <w:wordWrap/>
        <w:overflowPunct/>
        <w:topLinePunct w:val="0"/>
        <w:autoSpaceDE/>
        <w:autoSpaceDN/>
        <w:bidi w:val="0"/>
        <w:adjustRightInd/>
        <w:spacing w:line="360" w:lineRule="exact"/>
        <w:ind w:left="435"/>
        <w:textAlignment w:val="auto"/>
        <w:rPr>
          <w:rFonts w:ascii="宋体" w:hAnsi="宋体" w:cs="宋体"/>
          <w:color w:val="auto"/>
          <w:szCs w:val="21"/>
        </w:rPr>
      </w:pPr>
      <w:r>
        <w:rPr>
          <w:rFonts w:hint="eastAsia" w:ascii="宋体" w:hAnsi="宋体" w:cs="宋体"/>
          <w:color w:val="auto"/>
          <w:szCs w:val="21"/>
        </w:rPr>
        <w:t>3.本合同未尽事宜，遵照《中华人民共和国民法典》有关条文执行。</w:t>
      </w:r>
    </w:p>
    <w:p w14:paraId="2FB28FC9">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60" w:name="_Toc23733"/>
      <w:bookmarkStart w:id="61" w:name="_Toc20115"/>
      <w:bookmarkStart w:id="62" w:name="_Toc31400"/>
      <w:bookmarkStart w:id="63" w:name="_Toc495841782"/>
      <w:r>
        <w:rPr>
          <w:rFonts w:hint="eastAsia" w:ascii="宋体" w:hAnsi="宋体" w:cs="宋体"/>
          <w:b/>
          <w:color w:val="auto"/>
          <w:szCs w:val="21"/>
        </w:rPr>
        <w:t>第十五条  合同的变更、终止与转让</w:t>
      </w:r>
      <w:bookmarkEnd w:id="60"/>
      <w:bookmarkEnd w:id="61"/>
      <w:bookmarkEnd w:id="62"/>
      <w:bookmarkEnd w:id="63"/>
    </w:p>
    <w:p w14:paraId="778B00B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1.除《中华人民共和国政府采购法》第五十条规定的情形外，本合同一经签订，甲乙双方不得擅自变更，中止或终止。</w:t>
      </w:r>
    </w:p>
    <w:p w14:paraId="4E4B5B8C">
      <w:pPr>
        <w:keepNext w:val="0"/>
        <w:keepLines w:val="0"/>
        <w:pageBreakBefore w:val="0"/>
        <w:widowControl w:val="0"/>
        <w:kinsoku/>
        <w:wordWrap/>
        <w:overflowPunct/>
        <w:topLinePunct w:val="0"/>
        <w:autoSpaceDE/>
        <w:autoSpaceDN/>
        <w:bidi w:val="0"/>
        <w:adjustRightInd/>
        <w:spacing w:line="360" w:lineRule="exact"/>
        <w:ind w:left="420"/>
        <w:textAlignment w:val="auto"/>
        <w:rPr>
          <w:rFonts w:ascii="宋体" w:hAnsi="宋体" w:cs="宋体"/>
          <w:color w:val="auto"/>
          <w:szCs w:val="21"/>
        </w:rPr>
      </w:pPr>
      <w:r>
        <w:rPr>
          <w:rFonts w:hint="eastAsia" w:ascii="宋体" w:hAnsi="宋体" w:cs="宋体"/>
          <w:color w:val="auto"/>
          <w:szCs w:val="21"/>
        </w:rPr>
        <w:t>2.乙方不得擅自转让(无进口资格的供应商委托进口货物除外)其应履行的合同义务。</w:t>
      </w:r>
    </w:p>
    <w:p w14:paraId="2BB2E763">
      <w:pPr>
        <w:keepNext w:val="0"/>
        <w:keepLines w:val="0"/>
        <w:pageBreakBefore w:val="0"/>
        <w:widowControl w:val="0"/>
        <w:kinsoku/>
        <w:wordWrap/>
        <w:overflowPunct/>
        <w:topLinePunct w:val="0"/>
        <w:autoSpaceDE/>
        <w:autoSpaceDN/>
        <w:bidi w:val="0"/>
        <w:adjustRightInd/>
        <w:spacing w:line="360" w:lineRule="exact"/>
        <w:ind w:firstLine="413" w:firstLineChars="196"/>
        <w:textAlignment w:val="auto"/>
        <w:outlineLvl w:val="1"/>
        <w:rPr>
          <w:rFonts w:ascii="宋体" w:hAnsi="宋体" w:cs="宋体"/>
          <w:b/>
          <w:color w:val="auto"/>
          <w:szCs w:val="21"/>
        </w:rPr>
      </w:pPr>
      <w:bookmarkStart w:id="64" w:name="_Toc495841783"/>
      <w:bookmarkStart w:id="65" w:name="_Toc19322"/>
      <w:bookmarkStart w:id="66" w:name="_Toc13625"/>
      <w:bookmarkStart w:id="67" w:name="_Toc10700"/>
      <w:r>
        <w:rPr>
          <w:rFonts w:hint="eastAsia" w:ascii="宋体" w:hAnsi="宋体" w:cs="宋体"/>
          <w:b/>
          <w:color w:val="auto"/>
          <w:szCs w:val="21"/>
        </w:rPr>
        <w:t>第十六条  签订本合同依据</w:t>
      </w:r>
      <w:bookmarkEnd w:id="64"/>
      <w:bookmarkEnd w:id="65"/>
      <w:bookmarkEnd w:id="66"/>
      <w:bookmarkEnd w:id="67"/>
    </w:p>
    <w:p w14:paraId="2A6F299C">
      <w:pPr>
        <w:keepNext w:val="0"/>
        <w:keepLines w:val="0"/>
        <w:pageBreakBefore w:val="0"/>
        <w:widowControl w:val="0"/>
        <w:kinsoku/>
        <w:wordWrap/>
        <w:overflowPunct/>
        <w:topLinePunct w:val="0"/>
        <w:autoSpaceDE/>
        <w:autoSpaceDN/>
        <w:bidi w:val="0"/>
        <w:adjustRightInd/>
        <w:spacing w:line="360" w:lineRule="exact"/>
        <w:ind w:left="420"/>
        <w:textAlignment w:val="auto"/>
        <w:rPr>
          <w:rFonts w:ascii="宋体" w:hAnsi="宋体" w:cs="宋体"/>
          <w:color w:val="auto"/>
          <w:szCs w:val="21"/>
        </w:rPr>
      </w:pPr>
      <w:r>
        <w:rPr>
          <w:rFonts w:hint="eastAsia" w:ascii="宋体" w:hAnsi="宋体" w:cs="宋体"/>
          <w:color w:val="auto"/>
          <w:szCs w:val="21"/>
        </w:rPr>
        <w:t>1.招标文件；</w:t>
      </w:r>
    </w:p>
    <w:p w14:paraId="69EF0C28">
      <w:pPr>
        <w:keepNext w:val="0"/>
        <w:keepLines w:val="0"/>
        <w:pageBreakBefore w:val="0"/>
        <w:widowControl w:val="0"/>
        <w:kinsoku/>
        <w:wordWrap/>
        <w:overflowPunct/>
        <w:topLinePunct w:val="0"/>
        <w:autoSpaceDE/>
        <w:autoSpaceDN/>
        <w:bidi w:val="0"/>
        <w:adjustRightInd/>
        <w:spacing w:line="360" w:lineRule="exact"/>
        <w:ind w:left="420"/>
        <w:textAlignment w:val="auto"/>
        <w:rPr>
          <w:rFonts w:ascii="宋体" w:hAnsi="宋体" w:cs="宋体"/>
          <w:color w:val="auto"/>
          <w:szCs w:val="21"/>
        </w:rPr>
      </w:pPr>
      <w:r>
        <w:rPr>
          <w:rFonts w:hint="eastAsia" w:ascii="宋体" w:hAnsi="宋体" w:cs="宋体"/>
          <w:color w:val="auto"/>
          <w:szCs w:val="21"/>
        </w:rPr>
        <w:t>2.乙方提供的投标（或应答）文件；</w:t>
      </w:r>
    </w:p>
    <w:p w14:paraId="1AE5259E">
      <w:pPr>
        <w:keepNext w:val="0"/>
        <w:keepLines w:val="0"/>
        <w:pageBreakBefore w:val="0"/>
        <w:widowControl w:val="0"/>
        <w:kinsoku/>
        <w:wordWrap/>
        <w:overflowPunct/>
        <w:topLinePunct w:val="0"/>
        <w:autoSpaceDE/>
        <w:autoSpaceDN/>
        <w:bidi w:val="0"/>
        <w:adjustRightInd/>
        <w:spacing w:line="360" w:lineRule="exact"/>
        <w:ind w:left="420"/>
        <w:textAlignment w:val="auto"/>
        <w:rPr>
          <w:rFonts w:ascii="宋体" w:hAnsi="宋体" w:cs="宋体"/>
          <w:color w:val="auto"/>
          <w:szCs w:val="21"/>
        </w:rPr>
      </w:pPr>
      <w:r>
        <w:rPr>
          <w:rFonts w:hint="eastAsia" w:ascii="宋体" w:hAnsi="宋体" w:cs="宋体"/>
          <w:color w:val="auto"/>
          <w:szCs w:val="21"/>
        </w:rPr>
        <w:t>3.售后服务承诺书；</w:t>
      </w:r>
    </w:p>
    <w:p w14:paraId="0E1B6228">
      <w:pPr>
        <w:keepNext w:val="0"/>
        <w:keepLines w:val="0"/>
        <w:pageBreakBefore w:val="0"/>
        <w:widowControl w:val="0"/>
        <w:kinsoku/>
        <w:wordWrap/>
        <w:overflowPunct/>
        <w:topLinePunct w:val="0"/>
        <w:autoSpaceDE/>
        <w:autoSpaceDN/>
        <w:bidi w:val="0"/>
        <w:adjustRightInd/>
        <w:spacing w:line="360" w:lineRule="exact"/>
        <w:ind w:left="420"/>
        <w:textAlignment w:val="auto"/>
        <w:rPr>
          <w:rFonts w:ascii="宋体" w:hAnsi="宋体" w:cs="宋体"/>
          <w:color w:val="auto"/>
          <w:szCs w:val="21"/>
        </w:rPr>
      </w:pPr>
      <w:r>
        <w:rPr>
          <w:rFonts w:hint="eastAsia" w:ascii="宋体" w:hAnsi="宋体" w:cs="宋体"/>
          <w:color w:val="auto"/>
          <w:szCs w:val="21"/>
        </w:rPr>
        <w:t>4.中标通知书。</w:t>
      </w:r>
    </w:p>
    <w:p w14:paraId="7FCE902D">
      <w:pPr>
        <w:keepNext w:val="0"/>
        <w:keepLines w:val="0"/>
        <w:pageBreakBefore w:val="0"/>
        <w:widowControl w:val="0"/>
        <w:kinsoku/>
        <w:wordWrap/>
        <w:overflowPunct/>
        <w:topLinePunct w:val="0"/>
        <w:autoSpaceDE/>
        <w:autoSpaceDN/>
        <w:bidi w:val="0"/>
        <w:adjustRightInd/>
        <w:spacing w:line="360" w:lineRule="exact"/>
        <w:ind w:left="2" w:leftChars="1" w:firstLine="420" w:firstLineChars="200"/>
        <w:textAlignment w:val="auto"/>
        <w:rPr>
          <w:rFonts w:ascii="宋体" w:hAnsi="宋体" w:cs="宋体"/>
          <w:color w:val="auto"/>
          <w:szCs w:val="21"/>
        </w:rPr>
      </w:pPr>
      <w:r>
        <w:rPr>
          <w:rFonts w:hint="eastAsia" w:ascii="宋体" w:hAnsi="宋体" w:cs="宋体"/>
          <w:color w:val="auto"/>
          <w:szCs w:val="21"/>
        </w:rPr>
        <w:t>政府采购合同自签订之日起将自动存档于“广西政府采购云平台”上，采购人于合同签订之日起七个工作日内将一份合同原件送本级财政部门备案。</w:t>
      </w:r>
    </w:p>
    <w:p w14:paraId="3485230B">
      <w:pPr>
        <w:pStyle w:val="11"/>
        <w:keepNext w:val="0"/>
        <w:keepLines w:val="0"/>
        <w:pageBreakBefore w:val="0"/>
        <w:widowControl w:val="0"/>
        <w:kinsoku/>
        <w:wordWrap/>
        <w:overflowPunct/>
        <w:topLinePunct w:val="0"/>
        <w:autoSpaceDE/>
        <w:autoSpaceDN/>
        <w:bidi w:val="0"/>
        <w:adjustRightInd/>
        <w:spacing w:line="360" w:lineRule="exact"/>
        <w:textAlignment w:val="auto"/>
        <w:rPr>
          <w:rFonts w:hint="eastAsia"/>
          <w:color w:val="auto"/>
        </w:rPr>
      </w:pPr>
    </w:p>
    <w:p w14:paraId="45C545CD">
      <w:pPr>
        <w:keepNext w:val="0"/>
        <w:keepLines w:val="0"/>
        <w:pageBreakBefore w:val="0"/>
        <w:widowControl w:val="0"/>
        <w:kinsoku/>
        <w:wordWrap/>
        <w:overflowPunct/>
        <w:topLinePunct w:val="0"/>
        <w:autoSpaceDE/>
        <w:autoSpaceDN/>
        <w:bidi w:val="0"/>
        <w:adjustRightInd/>
        <w:spacing w:line="360" w:lineRule="exact"/>
        <w:ind w:left="6720" w:hanging="6720" w:hangingChars="3200"/>
        <w:textAlignment w:val="auto"/>
        <w:rPr>
          <w:rFonts w:ascii="宋体" w:hAnsi="宋体" w:cs="宋体"/>
          <w:color w:val="auto"/>
          <w:szCs w:val="21"/>
          <w:u w:val="single"/>
        </w:rPr>
      </w:pPr>
      <w:r>
        <w:rPr>
          <w:rFonts w:hint="eastAsia" w:ascii="宋体" w:hAnsi="宋体" w:cs="宋体"/>
          <w:color w:val="auto"/>
          <w:szCs w:val="21"/>
        </w:rPr>
        <w:t>甲方（公章）：</w:t>
      </w:r>
      <w:r>
        <w:rPr>
          <w:rFonts w:hint="eastAsia" w:ascii="宋体" w:hAnsi="宋体" w:cs="宋体"/>
          <w:color w:val="auto"/>
          <w:szCs w:val="21"/>
          <w:u w:val="single"/>
        </w:rPr>
        <w:t xml:space="preserve"> </w:t>
      </w:r>
      <w:r>
        <w:rPr>
          <w:rFonts w:hint="eastAsia" w:ascii="宋体" w:hAnsi="宋体" w:cs="宋体"/>
          <w:color w:val="auto"/>
          <w:u w:val="single"/>
        </w:rPr>
        <w:t xml:space="preserve"> </w:t>
      </w:r>
      <w:r>
        <w:rPr>
          <w:rFonts w:hint="eastAsia" w:ascii="宋体" w:hAnsi="宋体" w:cs="宋体"/>
          <w:color w:val="auto"/>
          <w:u w:val="single"/>
          <w:lang w:val="en-US" w:eastAsia="zh-CN"/>
        </w:rPr>
        <w:t>桂林市人民医院</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rPr>
        <w:t xml:space="preserve">    乙方（公章，自然人除外）：</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14:paraId="4043901C">
      <w:pPr>
        <w:keepNext w:val="0"/>
        <w:keepLines w:val="0"/>
        <w:pageBreakBefore w:val="0"/>
        <w:widowControl w:val="0"/>
        <w:kinsoku/>
        <w:wordWrap/>
        <w:overflowPunct/>
        <w:topLinePunct w:val="0"/>
        <w:autoSpaceDE/>
        <w:autoSpaceDN/>
        <w:bidi w:val="0"/>
        <w:adjustRightInd/>
        <w:spacing w:line="360" w:lineRule="exact"/>
        <w:ind w:left="4620" w:hanging="4620" w:hangingChars="2200"/>
        <w:textAlignment w:val="auto"/>
        <w:rPr>
          <w:rFonts w:ascii="宋体" w:hAnsi="宋体" w:cs="宋体"/>
          <w:color w:val="auto"/>
          <w:szCs w:val="21"/>
          <w:u w:val="single"/>
        </w:rPr>
      </w:pPr>
      <w:r>
        <w:rPr>
          <w:rFonts w:hint="eastAsia" w:ascii="宋体" w:hAnsi="宋体" w:cs="宋体"/>
          <w:color w:val="auto"/>
          <w:szCs w:val="21"/>
        </w:rPr>
        <w:t>法定代表人签字：</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rPr>
        <w:t>法定代表人（负责人）签字</w:t>
      </w:r>
      <w:r>
        <w:rPr>
          <w:rFonts w:hint="eastAsia" w:ascii="宋体" w:hAnsi="宋体" w:cs="宋体"/>
          <w:color w:val="auto"/>
          <w:szCs w:val="21"/>
        </w:rPr>
        <w:t>：</w:t>
      </w:r>
      <w:r>
        <w:rPr>
          <w:rFonts w:hint="eastAsia" w:ascii="宋体" w:hAnsi="宋体" w:cs="宋体"/>
          <w:color w:val="auto"/>
          <w:szCs w:val="21"/>
          <w:u w:val="single"/>
        </w:rPr>
        <w:t xml:space="preserve">                          </w:t>
      </w:r>
    </w:p>
    <w:p w14:paraId="50B2A0B9">
      <w:pPr>
        <w:keepNext w:val="0"/>
        <w:keepLines w:val="0"/>
        <w:pageBreakBefore w:val="0"/>
        <w:widowControl w:val="0"/>
        <w:tabs>
          <w:tab w:val="left" w:pos="4680"/>
        </w:tabs>
        <w:kinsoku/>
        <w:wordWrap/>
        <w:overflowPunct/>
        <w:topLinePunct w:val="0"/>
        <w:autoSpaceDE/>
        <w:autoSpaceDN/>
        <w:bidi w:val="0"/>
        <w:adjustRightInd/>
        <w:spacing w:line="360" w:lineRule="exact"/>
        <w:textAlignment w:val="auto"/>
        <w:rPr>
          <w:rFonts w:ascii="宋体" w:hAnsi="宋体" w:cs="宋体"/>
          <w:color w:val="auto"/>
          <w:szCs w:val="21"/>
          <w:u w:val="single"/>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 xml:space="preserve">    委托代理人：</w:t>
      </w:r>
      <w:r>
        <w:rPr>
          <w:rFonts w:hint="eastAsia" w:ascii="宋体" w:hAnsi="宋体" w:cs="宋体"/>
          <w:color w:val="auto"/>
          <w:szCs w:val="21"/>
          <w:u w:val="single"/>
        </w:rPr>
        <w:t xml:space="preserve">                                     </w:t>
      </w:r>
    </w:p>
    <w:p w14:paraId="3B95A6C7">
      <w:pPr>
        <w:keepNext w:val="0"/>
        <w:keepLines w:val="0"/>
        <w:pageBreakBefore w:val="0"/>
        <w:widowControl w:val="0"/>
        <w:tabs>
          <w:tab w:val="left" w:pos="5040"/>
        </w:tabs>
        <w:kinsoku/>
        <w:wordWrap/>
        <w:overflowPunct/>
        <w:topLinePunct w:val="0"/>
        <w:autoSpaceDE/>
        <w:autoSpaceDN/>
        <w:bidi w:val="0"/>
        <w:adjustRightInd/>
        <w:spacing w:line="360" w:lineRule="exact"/>
        <w:textAlignment w:val="auto"/>
        <w:rPr>
          <w:rFonts w:ascii="宋体" w:hAnsi="宋体" w:cs="宋体"/>
          <w:color w:val="auto"/>
          <w:szCs w:val="21"/>
          <w:u w:val="single"/>
        </w:rPr>
      </w:pPr>
      <w:r>
        <w:rPr>
          <w:rFonts w:hint="eastAsia" w:ascii="宋体" w:hAnsi="宋体" w:cs="宋体"/>
          <w:color w:val="auto"/>
          <w:szCs w:val="21"/>
        </w:rPr>
        <w:t>电  话：</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0773-2826013          </w:t>
      </w:r>
      <w:r>
        <w:rPr>
          <w:rFonts w:hint="eastAsia" w:ascii="宋体" w:hAnsi="宋体" w:cs="宋体"/>
          <w:color w:val="auto"/>
          <w:szCs w:val="21"/>
          <w:u w:val="single"/>
        </w:rPr>
        <w:t xml:space="preserve">     </w:t>
      </w:r>
      <w:r>
        <w:rPr>
          <w:rFonts w:hint="eastAsia" w:ascii="宋体" w:hAnsi="宋体" w:cs="宋体"/>
          <w:color w:val="auto"/>
          <w:szCs w:val="21"/>
        </w:rPr>
        <w:t xml:space="preserve">     电   话：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14:paraId="1C3CAC48">
      <w:pPr>
        <w:keepNext w:val="0"/>
        <w:keepLines w:val="0"/>
        <w:pageBreakBefore w:val="0"/>
        <w:widowControl w:val="0"/>
        <w:tabs>
          <w:tab w:val="left" w:pos="5040"/>
        </w:tabs>
        <w:kinsoku/>
        <w:wordWrap/>
        <w:overflowPunct/>
        <w:topLinePunct w:val="0"/>
        <w:autoSpaceDE/>
        <w:autoSpaceDN/>
        <w:bidi w:val="0"/>
        <w:adjustRightInd/>
        <w:spacing w:line="360" w:lineRule="exact"/>
        <w:ind w:left="6930" w:hanging="6930" w:hangingChars="3300"/>
        <w:textAlignment w:val="auto"/>
        <w:rPr>
          <w:rFonts w:ascii="宋体" w:hAnsi="宋体" w:cs="宋体"/>
          <w:color w:val="auto"/>
          <w:szCs w:val="21"/>
        </w:rPr>
      </w:pPr>
      <w:r>
        <w:rPr>
          <w:rFonts w:hint="eastAsia" w:ascii="宋体" w:hAnsi="宋体" w:cs="宋体"/>
          <w:color w:val="auto"/>
          <w:szCs w:val="21"/>
        </w:rPr>
        <w:t>开户名称：</w:t>
      </w:r>
      <w:r>
        <w:rPr>
          <w:rFonts w:hint="eastAsia" w:ascii="宋体" w:hAnsi="宋体" w:cs="宋体"/>
          <w:color w:val="auto"/>
          <w:u w:val="single"/>
          <w:lang w:val="en-US" w:eastAsia="zh-CN"/>
        </w:rPr>
        <w:t xml:space="preserve">桂林市人民医院          </w:t>
      </w:r>
      <w:r>
        <w:rPr>
          <w:rFonts w:hint="eastAsia" w:ascii="宋体" w:hAnsi="宋体" w:cs="宋体"/>
          <w:color w:val="auto"/>
          <w:szCs w:val="21"/>
          <w:u w:val="single"/>
        </w:rPr>
        <w:t xml:space="preserve">    </w:t>
      </w:r>
      <w:r>
        <w:rPr>
          <w:rFonts w:hint="eastAsia" w:ascii="宋体" w:hAnsi="宋体" w:cs="宋体"/>
          <w:color w:val="auto"/>
          <w:szCs w:val="21"/>
        </w:rPr>
        <w:t xml:space="preserve">     开户名称：</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14:paraId="12CEAFF8">
      <w:pPr>
        <w:keepNext w:val="0"/>
        <w:keepLines w:val="0"/>
        <w:pageBreakBefore w:val="0"/>
        <w:widowControl w:val="0"/>
        <w:tabs>
          <w:tab w:val="left" w:pos="5040"/>
        </w:tabs>
        <w:kinsoku/>
        <w:wordWrap/>
        <w:overflowPunct/>
        <w:topLinePunct w:val="0"/>
        <w:autoSpaceDE/>
        <w:autoSpaceDN/>
        <w:bidi w:val="0"/>
        <w:adjustRightInd/>
        <w:spacing w:line="360" w:lineRule="exact"/>
        <w:textAlignment w:val="auto"/>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桂林银行文明路支行</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14:paraId="0E09C3B7">
      <w:pPr>
        <w:keepNext w:val="0"/>
        <w:keepLines w:val="0"/>
        <w:pageBreakBefore w:val="0"/>
        <w:widowControl w:val="0"/>
        <w:tabs>
          <w:tab w:val="left" w:pos="5040"/>
        </w:tabs>
        <w:kinsoku/>
        <w:wordWrap/>
        <w:overflowPunct/>
        <w:topLinePunct w:val="0"/>
        <w:autoSpaceDE/>
        <w:autoSpaceDN/>
        <w:bidi w:val="0"/>
        <w:adjustRightInd/>
        <w:spacing w:line="360" w:lineRule="exact"/>
        <w:textAlignment w:val="auto"/>
        <w:rPr>
          <w:rFonts w:hint="default" w:ascii="宋体" w:hAnsi="宋体" w:eastAsia="宋体" w:cs="宋体"/>
          <w:b w:val="0"/>
          <w:bCs/>
          <w:color w:val="auto"/>
          <w:sz w:val="21"/>
          <w:szCs w:val="21"/>
          <w:u w:val="single"/>
          <w:lang w:val="en-US" w:eastAsia="zh-CN"/>
        </w:rPr>
      </w:pPr>
      <w:r>
        <w:rPr>
          <w:rFonts w:hint="eastAsia" w:ascii="宋体" w:hAnsi="宋体" w:cs="宋体"/>
          <w:color w:val="auto"/>
          <w:szCs w:val="21"/>
        </w:rPr>
        <w:t>银行账号：</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660012017474300020</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银行账号：</w:t>
      </w:r>
      <w:r>
        <w:rPr>
          <w:rFonts w:hint="eastAsia" w:ascii="宋体" w:hAnsi="宋体"/>
          <w:b w:val="0"/>
          <w:bCs/>
          <w:color w:val="auto"/>
          <w:sz w:val="21"/>
          <w:szCs w:val="21"/>
          <w:u w:val="single"/>
          <w:lang w:val="en-US" w:eastAsia="zh-CN"/>
        </w:rPr>
        <w:t xml:space="preserve">                       </w:t>
      </w:r>
    </w:p>
    <w:p w14:paraId="52184FEB">
      <w:pPr>
        <w:keepNext w:val="0"/>
        <w:keepLines w:val="0"/>
        <w:pageBreakBefore w:val="0"/>
        <w:widowControl w:val="0"/>
        <w:tabs>
          <w:tab w:val="left" w:pos="5040"/>
        </w:tabs>
        <w:kinsoku/>
        <w:wordWrap/>
        <w:overflowPunct/>
        <w:topLinePunct w:val="0"/>
        <w:autoSpaceDE/>
        <w:autoSpaceDN/>
        <w:bidi w:val="0"/>
        <w:adjustRightInd/>
        <w:spacing w:line="360" w:lineRule="exact"/>
        <w:textAlignment w:val="auto"/>
        <w:rPr>
          <w:rFonts w:ascii="宋体" w:hAnsi="宋体" w:cs="宋体"/>
          <w:color w:val="auto"/>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日    期：</w:t>
      </w:r>
      <w:r>
        <w:rPr>
          <w:rFonts w:hint="eastAsia" w:ascii="宋体" w:hAnsi="宋体" w:cs="宋体"/>
          <w:color w:val="auto"/>
          <w:szCs w:val="21"/>
          <w:u w:val="single"/>
        </w:rPr>
        <w:t xml:space="preserve">                                   </w:t>
      </w:r>
    </w:p>
    <w:p w14:paraId="7443473C">
      <w:pPr>
        <w:pStyle w:val="3"/>
        <w:jc w:val="center"/>
        <w:rPr>
          <w:rFonts w:hint="eastAsia"/>
          <w:color w:val="auto"/>
          <w:sz w:val="30"/>
          <w:szCs w:val="30"/>
        </w:rPr>
      </w:pPr>
    </w:p>
    <w:p w14:paraId="62D129B8">
      <w:pPr>
        <w:pStyle w:val="3"/>
        <w:jc w:val="center"/>
        <w:rPr>
          <w:rFonts w:hint="eastAsia"/>
          <w:color w:val="auto"/>
          <w:sz w:val="30"/>
          <w:szCs w:val="30"/>
        </w:rPr>
      </w:pPr>
    </w:p>
    <w:p w14:paraId="24E18EBA">
      <w:pPr>
        <w:rPr>
          <w:rFonts w:hint="eastAsia"/>
          <w:color w:val="auto"/>
          <w:sz w:val="30"/>
          <w:szCs w:val="30"/>
        </w:rPr>
      </w:pPr>
    </w:p>
    <w:p w14:paraId="3A14221F">
      <w:pPr>
        <w:pStyle w:val="2"/>
        <w:rPr>
          <w:rFonts w:hint="eastAsia"/>
          <w:color w:val="auto"/>
          <w:sz w:val="30"/>
          <w:szCs w:val="30"/>
        </w:rPr>
      </w:pPr>
    </w:p>
    <w:p w14:paraId="4BBDF3D2">
      <w:pPr>
        <w:pStyle w:val="2"/>
        <w:rPr>
          <w:rFonts w:hint="eastAsia"/>
          <w:color w:val="auto"/>
          <w:sz w:val="30"/>
          <w:szCs w:val="30"/>
        </w:rPr>
      </w:pPr>
    </w:p>
    <w:p w14:paraId="2257A0B9">
      <w:pPr>
        <w:pStyle w:val="2"/>
        <w:rPr>
          <w:rFonts w:hint="eastAsia"/>
          <w:color w:val="auto"/>
          <w:sz w:val="30"/>
          <w:szCs w:val="30"/>
        </w:rPr>
      </w:pPr>
    </w:p>
    <w:p w14:paraId="2E55FD4B">
      <w:pPr>
        <w:pStyle w:val="2"/>
        <w:rPr>
          <w:rFonts w:hint="eastAsia"/>
          <w:color w:val="auto"/>
          <w:sz w:val="30"/>
          <w:szCs w:val="30"/>
        </w:rPr>
      </w:pPr>
    </w:p>
    <w:p w14:paraId="644268C2">
      <w:pPr>
        <w:pStyle w:val="2"/>
        <w:rPr>
          <w:rFonts w:hint="eastAsia"/>
          <w:color w:val="auto"/>
          <w:sz w:val="30"/>
          <w:szCs w:val="30"/>
        </w:rPr>
      </w:pPr>
    </w:p>
    <w:p w14:paraId="3352EBF3">
      <w:pPr>
        <w:pStyle w:val="3"/>
        <w:jc w:val="center"/>
        <w:rPr>
          <w:color w:val="auto"/>
          <w:sz w:val="30"/>
          <w:szCs w:val="30"/>
        </w:rPr>
      </w:pPr>
      <w:r>
        <w:rPr>
          <w:rFonts w:hint="eastAsia"/>
          <w:color w:val="auto"/>
          <w:sz w:val="30"/>
          <w:szCs w:val="30"/>
        </w:rPr>
        <w:t>响应文件（格式）</w:t>
      </w:r>
    </w:p>
    <w:p w14:paraId="0F328FCA">
      <w:pPr>
        <w:spacing w:line="440" w:lineRule="atLeast"/>
        <w:ind w:firstLine="482" w:firstLineChars="200"/>
        <w:rPr>
          <w:rFonts w:ascii="宋体" w:hAnsi="宋体" w:cs="宋体"/>
          <w:b/>
          <w:bCs/>
          <w:color w:val="auto"/>
          <w:sz w:val="24"/>
        </w:rPr>
      </w:pPr>
    </w:p>
    <w:p w14:paraId="21C2E8F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rPr>
      </w:pPr>
      <w:r>
        <w:rPr>
          <w:rFonts w:hint="eastAsia" w:ascii="宋体" w:hAnsi="宋体" w:cs="宋体"/>
          <w:b/>
          <w:bCs/>
          <w:color w:val="auto"/>
          <w:sz w:val="24"/>
        </w:rPr>
        <w:t>一、响应证明材料目录</w:t>
      </w:r>
    </w:p>
    <w:p w14:paraId="4D6F0DA3">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
          <w:color w:val="auto"/>
          <w:sz w:val="24"/>
        </w:rPr>
      </w:pPr>
      <w:r>
        <w:rPr>
          <w:rFonts w:hint="eastAsia" w:ascii="宋体" w:hAnsi="宋体" w:cs="宋体"/>
          <w:color w:val="auto"/>
          <w:sz w:val="24"/>
        </w:rPr>
        <w:t>1.报价表</w:t>
      </w:r>
      <w:r>
        <w:rPr>
          <w:rFonts w:hint="eastAsia" w:ascii="宋体" w:hAnsi="宋体" w:cs="宋体"/>
          <w:b/>
          <w:color w:val="auto"/>
          <w:sz w:val="24"/>
        </w:rPr>
        <w:t>（必须提供，未提供或提供的不符合要求按响应无效处理）</w:t>
      </w:r>
    </w:p>
    <w:p w14:paraId="386B06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2.供应商有效的营业执照副本复印件</w:t>
      </w:r>
      <w:r>
        <w:rPr>
          <w:rFonts w:hint="eastAsia" w:ascii="宋体" w:hAnsi="宋体" w:cs="宋体"/>
          <w:b/>
          <w:color w:val="auto"/>
          <w:sz w:val="24"/>
        </w:rPr>
        <w:t>（必须提供，未提供或提供的不符合要求按响应无效处理）</w:t>
      </w:r>
    </w:p>
    <w:p w14:paraId="7CF37E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color w:val="auto"/>
          <w:sz w:val="24"/>
        </w:rPr>
      </w:pPr>
      <w:r>
        <w:rPr>
          <w:rFonts w:hint="eastAsia" w:ascii="宋体" w:hAnsi="宋体" w:cs="宋体"/>
          <w:color w:val="auto"/>
          <w:sz w:val="24"/>
        </w:rPr>
        <w:t>3.法定代表人（负责人）身份证正反面复印件</w:t>
      </w:r>
      <w:r>
        <w:rPr>
          <w:rFonts w:hint="eastAsia" w:ascii="宋体" w:hAnsi="宋体" w:cs="宋体"/>
          <w:b/>
          <w:color w:val="auto"/>
          <w:sz w:val="24"/>
        </w:rPr>
        <w:t>（必须提供，未提供或提供的不符合要求按响应无效处理）</w:t>
      </w:r>
    </w:p>
    <w:p w14:paraId="3C9FC2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法定代表人授权委托书原件、委托代理人身份证正反面复印件</w:t>
      </w: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委托时</w:t>
      </w:r>
      <w:r>
        <w:rPr>
          <w:rFonts w:hint="eastAsia" w:ascii="宋体" w:hAnsi="宋体" w:eastAsia="宋体" w:cs="宋体"/>
          <w:b/>
          <w:color w:val="auto"/>
          <w:sz w:val="24"/>
          <w:szCs w:val="24"/>
        </w:rPr>
        <w:t>必须提供</w:t>
      </w:r>
      <w:r>
        <w:rPr>
          <w:rFonts w:hint="eastAsia" w:ascii="宋体" w:hAnsi="宋体" w:cs="宋体"/>
          <w:b/>
          <w:color w:val="auto"/>
          <w:sz w:val="24"/>
          <w:szCs w:val="24"/>
          <w:lang w:eastAsia="zh-CN"/>
        </w:rPr>
        <w:t>，</w:t>
      </w:r>
      <w:r>
        <w:rPr>
          <w:rFonts w:hint="eastAsia" w:ascii="宋体" w:hAnsi="宋体" w:cs="宋体"/>
          <w:b/>
          <w:color w:val="auto"/>
          <w:sz w:val="24"/>
        </w:rPr>
        <w:t>未提供或提供的不符合要求按响应无效处理</w:t>
      </w:r>
      <w:r>
        <w:rPr>
          <w:rFonts w:hint="eastAsia" w:ascii="宋体" w:hAnsi="宋体" w:eastAsia="宋体" w:cs="宋体"/>
          <w:b/>
          <w:color w:val="auto"/>
          <w:sz w:val="24"/>
          <w:szCs w:val="24"/>
        </w:rPr>
        <w:t>）</w:t>
      </w:r>
    </w:p>
    <w:p w14:paraId="245B91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.供应商参加采购活动前3年内在经营活动中没有重大违法记录及有关信用信息的书面声明（</w:t>
      </w:r>
      <w:r>
        <w:rPr>
          <w:rFonts w:hint="eastAsia" w:ascii="宋体" w:hAnsi="宋体" w:cs="宋体"/>
          <w:b/>
          <w:color w:val="auto"/>
          <w:sz w:val="24"/>
        </w:rPr>
        <w:t>必须提供，未提供或提供的不符合要求按响应无效处理）</w:t>
      </w:r>
    </w:p>
    <w:p w14:paraId="67F9AE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auto"/>
        </w:rPr>
      </w:pPr>
      <w:r>
        <w:rPr>
          <w:rFonts w:hint="eastAsia" w:ascii="宋体" w:hAnsi="宋体" w:cs="宋体"/>
          <w:color w:val="auto"/>
          <w:sz w:val="24"/>
          <w:lang w:val="en-US" w:eastAsia="zh-CN"/>
        </w:rPr>
        <w:t>6</w:t>
      </w:r>
      <w:r>
        <w:rPr>
          <w:rFonts w:hint="eastAsia" w:ascii="宋体" w:hAnsi="宋体" w:cs="宋体"/>
          <w:color w:val="auto"/>
          <w:sz w:val="24"/>
        </w:rPr>
        <w:t>.</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信用中国(www.creditchina.gov.cn)</w:t>
      </w:r>
      <w:r>
        <w:rPr>
          <w:rFonts w:hint="eastAsia" w:ascii="宋体" w:hAnsi="宋体" w:eastAsia="宋体" w:cs="宋体"/>
          <w:color w:val="auto"/>
          <w:sz w:val="24"/>
          <w:szCs w:val="24"/>
          <w:lang w:eastAsia="zh-CN"/>
        </w:rPr>
        <w:t>以及中国政府采购网(www.ccgp.gov.cn)”未被列入失信被执行人、重大税收违法失信主体、严重违法失信行为记录名单、政府采购严重违法失信行为信息记录相关信息</w:t>
      </w:r>
      <w:r>
        <w:rPr>
          <w:rFonts w:hint="eastAsia" w:ascii="宋体" w:hAnsi="宋体" w:cs="宋体"/>
          <w:b/>
          <w:color w:val="auto"/>
          <w:sz w:val="24"/>
        </w:rPr>
        <w:t>（必须提供，未提供或提供的不符合要求按响应无效处理）</w:t>
      </w:r>
    </w:p>
    <w:p w14:paraId="43E4F9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color w:val="auto"/>
          <w:sz w:val="24"/>
        </w:rPr>
      </w:pPr>
      <w:r>
        <w:rPr>
          <w:rFonts w:hint="eastAsia" w:ascii="宋体" w:hAnsi="宋体" w:eastAsia="宋体" w:cs="宋体"/>
          <w:color w:val="auto"/>
          <w:sz w:val="24"/>
          <w:lang w:val="en-US" w:eastAsia="zh-CN"/>
        </w:rPr>
        <w:t>7.无串通投标行为的承诺函</w:t>
      </w:r>
      <w:r>
        <w:rPr>
          <w:rFonts w:hint="eastAsia" w:ascii="宋体" w:hAnsi="宋体" w:eastAsia="宋体" w:cs="宋体"/>
          <w:b/>
          <w:bCs/>
          <w:color w:val="auto"/>
          <w:sz w:val="24"/>
          <w:lang w:val="en-US" w:eastAsia="zh-CN"/>
        </w:rPr>
        <w:t>（</w:t>
      </w:r>
      <w:r>
        <w:rPr>
          <w:rFonts w:hint="eastAsia" w:ascii="宋体" w:hAnsi="宋体" w:cs="宋体"/>
          <w:b/>
          <w:bCs/>
          <w:color w:val="auto"/>
          <w:sz w:val="24"/>
        </w:rPr>
        <w:t>必须提供）</w:t>
      </w:r>
    </w:p>
    <w:p w14:paraId="0E5300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color w:val="auto"/>
          <w:sz w:val="24"/>
          <w:lang w:val="en-US" w:eastAsia="zh-CN"/>
        </w:rPr>
        <w:t>8.《国家企业信用信息公示系统》（网址：www.gsxt.gov.cn/index.html）查询的“股东及出资信息”截图</w:t>
      </w:r>
      <w:r>
        <w:rPr>
          <w:rFonts w:hint="eastAsia" w:ascii="宋体" w:hAnsi="宋体" w:eastAsia="宋体" w:cs="宋体"/>
          <w:b/>
          <w:bCs/>
          <w:color w:val="auto"/>
          <w:sz w:val="24"/>
          <w:lang w:val="en-US" w:eastAsia="zh-CN"/>
        </w:rPr>
        <w:t>（必须提供）</w:t>
      </w:r>
    </w:p>
    <w:p w14:paraId="2DAD74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注：评标小组在对投标人进行资格性审查时，将对投标人企业股东及出资等信息进行查询。审查中如发现投标人存在单位负责人为同一人或者存在控股、管理关系的不同单位参加本项目</w:t>
      </w:r>
      <w:r>
        <w:rPr>
          <w:rFonts w:hint="eastAsia" w:ascii="宋体" w:hAnsi="宋体" w:cs="宋体"/>
          <w:b w:val="0"/>
          <w:bCs w:val="0"/>
          <w:color w:val="auto"/>
          <w:sz w:val="24"/>
          <w:lang w:val="en-US" w:eastAsia="zh-CN"/>
        </w:rPr>
        <w:t>竞价</w:t>
      </w:r>
      <w:r>
        <w:rPr>
          <w:rFonts w:hint="eastAsia" w:ascii="宋体" w:hAnsi="宋体" w:eastAsia="宋体" w:cs="宋体"/>
          <w:b w:val="0"/>
          <w:bCs w:val="0"/>
          <w:color w:val="auto"/>
          <w:sz w:val="24"/>
          <w:lang w:val="en-US" w:eastAsia="zh-CN"/>
        </w:rPr>
        <w:t>的，按资格审查不通过处理。</w:t>
      </w:r>
    </w:p>
    <w:p w14:paraId="6EDFAC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pacing w:val="-1"/>
          <w:sz w:val="24"/>
          <w:szCs w:val="24"/>
          <w:lang w:val="en-US" w:eastAsia="zh-CN"/>
        </w:rPr>
      </w:pP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“项目采购需求”中要求必须提供的有效证明文件</w:t>
      </w:r>
      <w:r>
        <w:rPr>
          <w:rFonts w:hint="eastAsia" w:ascii="宋体" w:hAnsi="宋体" w:eastAsia="宋体" w:cs="宋体"/>
          <w:b/>
          <w:bCs/>
          <w:color w:val="auto"/>
          <w:spacing w:val="-1"/>
          <w:sz w:val="24"/>
          <w:szCs w:val="24"/>
          <w:lang w:val="en-US" w:eastAsia="zh-CN"/>
        </w:rPr>
        <w:t>（“项目采购需求”中有要求必须提供的，则必须提供）</w:t>
      </w:r>
    </w:p>
    <w:p w14:paraId="70A18AB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br w:type="page"/>
      </w:r>
    </w:p>
    <w:p w14:paraId="0DF7B7BF">
      <w:pPr>
        <w:spacing w:line="440" w:lineRule="atLeast"/>
        <w:rPr>
          <w:rFonts w:ascii="宋体" w:hAnsi="宋体" w:cs="宋体"/>
          <w:b/>
          <w:color w:val="auto"/>
          <w:sz w:val="24"/>
        </w:rPr>
      </w:pPr>
      <w:r>
        <w:rPr>
          <w:rFonts w:hint="eastAsia" w:ascii="宋体" w:hAnsi="宋体" w:cs="宋体"/>
          <w:b/>
          <w:color w:val="auto"/>
          <w:sz w:val="24"/>
        </w:rPr>
        <w:t>1.报价表（必须提供）</w:t>
      </w:r>
    </w:p>
    <w:p w14:paraId="7350D86D">
      <w:pPr>
        <w:spacing w:line="400" w:lineRule="exact"/>
        <w:jc w:val="center"/>
        <w:rPr>
          <w:rFonts w:ascii="宋体" w:hAnsi="宋体" w:cs="宋体"/>
          <w:b/>
          <w:color w:val="auto"/>
          <w:kern w:val="0"/>
          <w:sz w:val="32"/>
          <w:szCs w:val="32"/>
        </w:rPr>
      </w:pPr>
    </w:p>
    <w:p w14:paraId="3014DA33">
      <w:pPr>
        <w:spacing w:line="460" w:lineRule="exact"/>
        <w:jc w:val="center"/>
        <w:rPr>
          <w:rFonts w:ascii="宋体" w:hAnsi="宋体" w:cs="宋体"/>
          <w:color w:val="auto"/>
          <w:sz w:val="24"/>
        </w:rPr>
      </w:pPr>
      <w:r>
        <w:rPr>
          <w:rFonts w:hint="eastAsia" w:ascii="华文中宋" w:hAnsi="华文中宋" w:eastAsia="华文中宋" w:cs="华文中宋"/>
          <w:bCs/>
          <w:color w:val="auto"/>
          <w:sz w:val="44"/>
          <w:szCs w:val="44"/>
        </w:rPr>
        <w:t>报  价  表</w:t>
      </w:r>
    </w:p>
    <w:p w14:paraId="2B039E16">
      <w:pPr>
        <w:snapToGrid w:val="0"/>
        <w:spacing w:before="50" w:after="50" w:line="460" w:lineRule="exact"/>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44D47760">
      <w:pPr>
        <w:widowControl/>
        <w:numPr>
          <w:ilvl w:val="255"/>
          <w:numId w:val="0"/>
        </w:numPr>
        <w:spacing w:line="400" w:lineRule="exact"/>
        <w:jc w:val="left"/>
        <w:rPr>
          <w:rFonts w:hint="eastAsia" w:ascii="宋体" w:hAnsi="宋体" w:cs="宋体"/>
          <w:color w:val="auto"/>
          <w:sz w:val="24"/>
        </w:rPr>
      </w:pPr>
      <w:r>
        <w:rPr>
          <w:rFonts w:hint="eastAsia" w:ascii="宋体" w:hAnsi="宋体" w:cs="宋体"/>
          <w:color w:val="auto"/>
          <w:sz w:val="24"/>
        </w:rPr>
        <w:t>（单位：人民币  元）</w:t>
      </w:r>
    </w:p>
    <w:tbl>
      <w:tblPr>
        <w:tblStyle w:val="2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451"/>
        <w:gridCol w:w="1445"/>
        <w:gridCol w:w="1483"/>
        <w:gridCol w:w="1073"/>
        <w:gridCol w:w="714"/>
        <w:gridCol w:w="1545"/>
        <w:gridCol w:w="1575"/>
      </w:tblGrid>
      <w:tr w14:paraId="1ABD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490" w:type="dxa"/>
            <w:shd w:val="clear" w:color="auto" w:fill="FFFFFF" w:themeFill="background1"/>
            <w:noWrap w:val="0"/>
            <w:vAlign w:val="center"/>
          </w:tcPr>
          <w:p w14:paraId="1924225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项号</w:t>
            </w:r>
          </w:p>
        </w:tc>
        <w:tc>
          <w:tcPr>
            <w:tcW w:w="1451" w:type="dxa"/>
            <w:shd w:val="clear" w:color="auto" w:fill="FFFFFF" w:themeFill="background1"/>
            <w:noWrap w:val="0"/>
            <w:vAlign w:val="center"/>
          </w:tcPr>
          <w:p w14:paraId="63B98E2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lang w:val="en-US" w:eastAsia="zh-CN"/>
              </w:rPr>
              <w:t>标的</w:t>
            </w:r>
            <w:r>
              <w:rPr>
                <w:rFonts w:hint="eastAsia" w:ascii="宋体" w:hAnsi="宋体" w:cs="宋体"/>
                <w:b/>
                <w:color w:val="auto"/>
                <w:szCs w:val="21"/>
              </w:rPr>
              <w:t>名称</w:t>
            </w:r>
          </w:p>
        </w:tc>
        <w:tc>
          <w:tcPr>
            <w:tcW w:w="1445" w:type="dxa"/>
            <w:shd w:val="clear" w:color="auto" w:fill="FFFFFF" w:themeFill="background1"/>
            <w:noWrap w:val="0"/>
            <w:vAlign w:val="center"/>
          </w:tcPr>
          <w:p w14:paraId="5149A99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30"/>
              </w:rPr>
              <w:t>生产厂家、品牌、规格型号</w:t>
            </w:r>
          </w:p>
        </w:tc>
        <w:tc>
          <w:tcPr>
            <w:tcW w:w="1483" w:type="dxa"/>
            <w:shd w:val="clear" w:color="auto" w:fill="FFFFFF" w:themeFill="background1"/>
            <w:noWrap w:val="0"/>
            <w:vAlign w:val="center"/>
          </w:tcPr>
          <w:p w14:paraId="41CDC64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30"/>
              </w:rPr>
              <w:t>品牌、规格型号</w:t>
            </w:r>
          </w:p>
        </w:tc>
        <w:tc>
          <w:tcPr>
            <w:tcW w:w="1073" w:type="dxa"/>
            <w:shd w:val="clear" w:color="auto" w:fill="FFFFFF" w:themeFill="background1"/>
            <w:noWrap w:val="0"/>
            <w:vAlign w:val="center"/>
          </w:tcPr>
          <w:p w14:paraId="4AB0088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数量</w:t>
            </w:r>
          </w:p>
          <w:p w14:paraId="63C49C6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①</w:t>
            </w:r>
          </w:p>
        </w:tc>
        <w:tc>
          <w:tcPr>
            <w:tcW w:w="714" w:type="dxa"/>
            <w:shd w:val="clear" w:color="auto" w:fill="FFFFFF" w:themeFill="background1"/>
            <w:noWrap w:val="0"/>
            <w:vAlign w:val="center"/>
          </w:tcPr>
          <w:p w14:paraId="2D5DB68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单位</w:t>
            </w:r>
          </w:p>
        </w:tc>
        <w:tc>
          <w:tcPr>
            <w:tcW w:w="1545" w:type="dxa"/>
            <w:shd w:val="clear" w:color="auto" w:fill="FFFFFF" w:themeFill="background1"/>
            <w:noWrap w:val="0"/>
            <w:vAlign w:val="center"/>
          </w:tcPr>
          <w:p w14:paraId="27432F8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单价（元）</w:t>
            </w:r>
          </w:p>
          <w:p w14:paraId="1F5CB57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②</w:t>
            </w:r>
          </w:p>
        </w:tc>
        <w:tc>
          <w:tcPr>
            <w:tcW w:w="1575" w:type="dxa"/>
            <w:shd w:val="clear" w:color="auto" w:fill="FFFFFF" w:themeFill="background1"/>
            <w:noWrap w:val="0"/>
            <w:vAlign w:val="center"/>
          </w:tcPr>
          <w:p w14:paraId="35CBB9A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单项合计金额（元）</w:t>
            </w:r>
          </w:p>
          <w:p w14:paraId="29D642B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b/>
                <w:color w:val="auto"/>
                <w:szCs w:val="21"/>
              </w:rPr>
            </w:pPr>
            <w:r>
              <w:rPr>
                <w:rFonts w:hint="eastAsia" w:ascii="宋体" w:hAnsi="宋体" w:cs="宋体"/>
                <w:b/>
                <w:color w:val="auto"/>
                <w:szCs w:val="21"/>
              </w:rPr>
              <w:t>③＝①×②</w:t>
            </w:r>
          </w:p>
        </w:tc>
      </w:tr>
      <w:tr w14:paraId="3D47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90" w:type="dxa"/>
            <w:noWrap w:val="0"/>
            <w:vAlign w:val="center"/>
          </w:tcPr>
          <w:p w14:paraId="2A3A0FE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color w:val="auto"/>
                <w:szCs w:val="21"/>
              </w:rPr>
            </w:pPr>
            <w:r>
              <w:rPr>
                <w:rFonts w:hint="eastAsia" w:ascii="宋体" w:hAnsi="宋体" w:cs="宋体"/>
                <w:color w:val="auto"/>
                <w:szCs w:val="21"/>
              </w:rPr>
              <w:t>1</w:t>
            </w:r>
          </w:p>
        </w:tc>
        <w:tc>
          <w:tcPr>
            <w:tcW w:w="1451" w:type="dxa"/>
            <w:noWrap w:val="0"/>
            <w:vAlign w:val="center"/>
          </w:tcPr>
          <w:p w14:paraId="76D5C75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c>
          <w:tcPr>
            <w:tcW w:w="1445" w:type="dxa"/>
            <w:noWrap w:val="0"/>
            <w:vAlign w:val="center"/>
          </w:tcPr>
          <w:p w14:paraId="1791F8B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lang w:val="en-US" w:eastAsia="zh-CN"/>
              </w:rPr>
            </w:pPr>
          </w:p>
        </w:tc>
        <w:tc>
          <w:tcPr>
            <w:tcW w:w="1483" w:type="dxa"/>
            <w:noWrap w:val="0"/>
            <w:vAlign w:val="center"/>
          </w:tcPr>
          <w:p w14:paraId="245D935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s="宋体"/>
                <w:color w:val="auto"/>
                <w:szCs w:val="21"/>
              </w:rPr>
            </w:pPr>
          </w:p>
        </w:tc>
        <w:tc>
          <w:tcPr>
            <w:tcW w:w="1073" w:type="dxa"/>
            <w:noWrap w:val="0"/>
            <w:vAlign w:val="center"/>
          </w:tcPr>
          <w:p w14:paraId="280E4CB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c>
          <w:tcPr>
            <w:tcW w:w="714" w:type="dxa"/>
            <w:noWrap w:val="0"/>
            <w:vAlign w:val="center"/>
          </w:tcPr>
          <w:p w14:paraId="4879CD3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c>
          <w:tcPr>
            <w:tcW w:w="1545" w:type="dxa"/>
            <w:noWrap w:val="0"/>
            <w:vAlign w:val="center"/>
          </w:tcPr>
          <w:p w14:paraId="318B5C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c>
          <w:tcPr>
            <w:tcW w:w="1575" w:type="dxa"/>
            <w:noWrap w:val="0"/>
            <w:vAlign w:val="center"/>
          </w:tcPr>
          <w:p w14:paraId="40DEBE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auto"/>
                <w:szCs w:val="21"/>
                <w:lang w:val="en-US" w:eastAsia="zh-CN"/>
              </w:rPr>
            </w:pPr>
          </w:p>
        </w:tc>
      </w:tr>
      <w:tr w14:paraId="17F2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01" w:type="dxa"/>
            <w:gridSpan w:val="7"/>
            <w:noWrap w:val="0"/>
            <w:vAlign w:val="center"/>
          </w:tcPr>
          <w:p w14:paraId="01A59D2E">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color w:val="auto"/>
                <w:szCs w:val="21"/>
              </w:rPr>
            </w:pPr>
            <w:r>
              <w:rPr>
                <w:rFonts w:hint="eastAsia" w:ascii="宋体" w:hAnsi="宋体" w:cs="宋体"/>
                <w:color w:val="auto"/>
                <w:szCs w:val="21"/>
              </w:rPr>
              <w:t xml:space="preserve">                                                               合     计</w:t>
            </w:r>
          </w:p>
        </w:tc>
        <w:tc>
          <w:tcPr>
            <w:tcW w:w="1575" w:type="dxa"/>
            <w:noWrap w:val="0"/>
            <w:vAlign w:val="center"/>
          </w:tcPr>
          <w:p w14:paraId="7F13F73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eastAsia="宋体" w:cs="宋体"/>
                <w:color w:val="auto"/>
                <w:szCs w:val="21"/>
                <w:lang w:val="en-US" w:eastAsia="zh-CN"/>
              </w:rPr>
            </w:pPr>
          </w:p>
        </w:tc>
      </w:tr>
      <w:tr w14:paraId="4858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776" w:type="dxa"/>
            <w:gridSpan w:val="8"/>
            <w:noWrap w:val="0"/>
            <w:vAlign w:val="center"/>
          </w:tcPr>
          <w:p w14:paraId="2E41B0B1">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ascii="宋体" w:hAnsi="宋体" w:eastAsia="宋体" w:cs="宋体"/>
                <w:color w:val="auto"/>
                <w:szCs w:val="21"/>
                <w:lang w:val="en-US" w:eastAsia="zh-CN"/>
              </w:rPr>
            </w:pPr>
            <w:r>
              <w:rPr>
                <w:rFonts w:hint="eastAsia" w:ascii="宋体" w:hAnsi="宋体" w:eastAsia="宋体" w:cs="宋体"/>
                <w:color w:val="auto"/>
                <w:spacing w:val="-6"/>
                <w:sz w:val="24"/>
                <w:szCs w:val="24"/>
              </w:rPr>
              <w:t>投标报价（大写）：人民币</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 xml:space="preserve">元（¥ </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rPr>
              <w:t>）</w:t>
            </w:r>
          </w:p>
        </w:tc>
      </w:tr>
    </w:tbl>
    <w:p w14:paraId="128C31D3">
      <w:pPr>
        <w:snapToGrid w:val="0"/>
        <w:spacing w:before="50" w:after="50" w:line="460" w:lineRule="exact"/>
        <w:ind w:firstLine="482" w:firstLineChars="200"/>
        <w:jc w:val="left"/>
        <w:rPr>
          <w:rFonts w:hint="eastAsia" w:ascii="宋体" w:hAnsi="宋体" w:cs="宋体"/>
          <w:color w:val="auto"/>
          <w:kern w:val="0"/>
          <w:sz w:val="24"/>
        </w:rPr>
      </w:pPr>
      <w:r>
        <w:rPr>
          <w:rFonts w:hint="eastAsia" w:ascii="宋体" w:hAnsi="宋体" w:cs="宋体"/>
          <w:b/>
          <w:bCs/>
          <w:color w:val="auto"/>
          <w:kern w:val="0"/>
          <w:sz w:val="24"/>
        </w:rPr>
        <w:t>注：</w:t>
      </w:r>
    </w:p>
    <w:p w14:paraId="523D6037">
      <w:pPr>
        <w:snapToGrid w:val="0"/>
        <w:spacing w:before="50" w:after="50" w:line="460" w:lineRule="exact"/>
        <w:ind w:firstLine="480" w:firstLineChars="200"/>
        <w:jc w:val="left"/>
        <w:rPr>
          <w:rFonts w:ascii="宋体" w:hAnsi="宋体" w:cs="宋体"/>
          <w:color w:val="auto"/>
          <w:sz w:val="24"/>
        </w:rPr>
      </w:pPr>
      <w:r>
        <w:rPr>
          <w:rFonts w:hint="eastAsia" w:ascii="宋体" w:hAnsi="宋体" w:cs="宋体"/>
          <w:color w:val="auto"/>
          <w:kern w:val="0"/>
          <w:sz w:val="24"/>
          <w:lang w:val="en-US" w:eastAsia="zh-CN"/>
        </w:rPr>
        <w:t>1.本项目实行总承包报价，投标报价包含本次采购需求所包含的所有服务、人员、材料、运输、管理费、购置费、售后、税金、安装、调试、技术培训、后续服务等以及其他完成本项目所须成本费用的总和，投标人综合考虑在报价中， 采购人不再支付其他任何费用。</w:t>
      </w:r>
    </w:p>
    <w:p w14:paraId="17A0F427">
      <w:pPr>
        <w:snapToGrid w:val="0"/>
        <w:spacing w:before="50" w:after="50" w:line="460" w:lineRule="exact"/>
        <w:ind w:firstLine="480" w:firstLineChars="200"/>
        <w:jc w:val="left"/>
        <w:rPr>
          <w:rFonts w:ascii="宋体" w:hAnsi="宋体" w:cs="宋体"/>
          <w:b w:val="0"/>
          <w:bCs w:val="0"/>
          <w:color w:val="auto"/>
          <w:sz w:val="24"/>
        </w:rPr>
      </w:pPr>
      <w:r>
        <w:rPr>
          <w:rFonts w:hint="eastAsia" w:ascii="宋体" w:hAnsi="宋体" w:cs="宋体"/>
          <w:b w:val="0"/>
          <w:bCs w:val="0"/>
          <w:color w:val="auto"/>
          <w:sz w:val="24"/>
          <w:lang w:val="en-US" w:eastAsia="zh-CN"/>
        </w:rPr>
        <w:t>2</w:t>
      </w:r>
      <w:r>
        <w:rPr>
          <w:rFonts w:hint="eastAsia" w:ascii="宋体" w:hAnsi="宋体" w:cs="宋体"/>
          <w:b w:val="0"/>
          <w:bCs w:val="0"/>
          <w:color w:val="auto"/>
          <w:sz w:val="24"/>
        </w:rPr>
        <w:t>.供应商的报价表必须加盖供应商公章并由法定代表人或者其委托代理人签字，否则其响应文件作无效处理。</w:t>
      </w:r>
    </w:p>
    <w:p w14:paraId="14C32B4D">
      <w:pPr>
        <w:snapToGrid w:val="0"/>
        <w:spacing w:before="50" w:after="50" w:line="460" w:lineRule="exact"/>
        <w:ind w:firstLine="480" w:firstLineChars="200"/>
        <w:jc w:val="left"/>
        <w:rPr>
          <w:rFonts w:ascii="宋体" w:hAnsi="宋体" w:cs="宋体"/>
          <w:b w:val="0"/>
          <w:bCs w:val="0"/>
          <w:color w:val="auto"/>
          <w:sz w:val="24"/>
        </w:rPr>
      </w:pPr>
      <w:r>
        <w:rPr>
          <w:rFonts w:hint="eastAsia" w:ascii="宋体" w:hAnsi="宋体" w:cs="宋体"/>
          <w:b w:val="0"/>
          <w:bCs w:val="0"/>
          <w:color w:val="auto"/>
          <w:sz w:val="24"/>
          <w:lang w:val="en-US" w:eastAsia="zh-CN"/>
        </w:rPr>
        <w:t>3</w:t>
      </w:r>
      <w:r>
        <w:rPr>
          <w:rFonts w:hint="eastAsia" w:ascii="宋体" w:hAnsi="宋体" w:cs="宋体"/>
          <w:b w:val="0"/>
          <w:bCs w:val="0"/>
          <w:color w:val="auto"/>
          <w:sz w:val="24"/>
        </w:rPr>
        <w:t>.报价一经涂改，应在涂改处加盖供应商公章或者由法定代表人或者授权委托人签字或者盖章，否则其响应文件作无效处理。</w:t>
      </w:r>
    </w:p>
    <w:p w14:paraId="1E60E61E">
      <w:pPr>
        <w:snapToGrid w:val="0"/>
        <w:spacing w:before="50" w:after="50" w:line="460" w:lineRule="exact"/>
        <w:ind w:right="-817" w:rightChars="-389" w:firstLine="3360" w:firstLineChars="1400"/>
        <w:rPr>
          <w:rFonts w:ascii="宋体" w:hAnsi="宋体" w:cs="宋体"/>
          <w:color w:val="auto"/>
          <w:sz w:val="24"/>
        </w:rPr>
      </w:pPr>
    </w:p>
    <w:p w14:paraId="0668C8C5">
      <w:pPr>
        <w:snapToGrid w:val="0"/>
        <w:spacing w:before="50" w:after="50" w:line="460" w:lineRule="exact"/>
        <w:ind w:right="-817" w:rightChars="-389" w:firstLine="3360" w:firstLineChars="1400"/>
        <w:rPr>
          <w:rFonts w:ascii="宋体" w:hAnsi="宋体" w:cs="宋体"/>
          <w:color w:val="auto"/>
          <w:sz w:val="24"/>
        </w:rPr>
      </w:pPr>
      <w:r>
        <w:rPr>
          <w:rFonts w:hint="eastAsia" w:ascii="宋体" w:hAnsi="宋体" w:cs="宋体"/>
          <w:color w:val="auto"/>
          <w:sz w:val="24"/>
        </w:rPr>
        <w:t xml:space="preserve">法定代表人或者其委托代理人（签字）：               </w:t>
      </w:r>
    </w:p>
    <w:p w14:paraId="7CEAE60F">
      <w:pPr>
        <w:snapToGrid w:val="0"/>
        <w:spacing w:before="50" w:after="50" w:line="460" w:lineRule="exact"/>
        <w:ind w:left="-3" w:leftChars="-72" w:right="-817" w:rightChars="-389" w:hanging="148" w:hangingChars="62"/>
        <w:rPr>
          <w:rFonts w:ascii="宋体" w:hAnsi="宋体" w:cs="宋体"/>
          <w:color w:val="auto"/>
          <w:sz w:val="24"/>
        </w:rPr>
      </w:pPr>
      <w:r>
        <w:rPr>
          <w:rFonts w:hint="eastAsia" w:ascii="宋体" w:hAnsi="宋体" w:cs="宋体"/>
          <w:color w:val="auto"/>
          <w:sz w:val="24"/>
        </w:rPr>
        <w:t xml:space="preserve">                             供应商（盖公章）：                                </w:t>
      </w:r>
    </w:p>
    <w:p w14:paraId="53A53017">
      <w:pPr>
        <w:snapToGrid w:val="0"/>
        <w:spacing w:before="50" w:after="50" w:line="460" w:lineRule="exact"/>
        <w:ind w:right="-817" w:rightChars="-389" w:firstLine="3360" w:firstLineChars="1400"/>
        <w:rPr>
          <w:rFonts w:hint="eastAsia" w:ascii="宋体" w:hAnsi="宋体" w:cs="宋体"/>
          <w:b/>
          <w:bCs/>
          <w:color w:val="auto"/>
          <w:sz w:val="24"/>
        </w:rPr>
      </w:pPr>
      <w:r>
        <w:rPr>
          <w:rFonts w:hint="eastAsia" w:ascii="宋体" w:hAnsi="宋体" w:cs="宋体"/>
          <w:color w:val="auto"/>
          <w:sz w:val="24"/>
        </w:rPr>
        <w:t>日期：      年     月     日</w:t>
      </w:r>
    </w:p>
    <w:p w14:paraId="127256EC">
      <w:pPr>
        <w:spacing w:line="440" w:lineRule="exact"/>
        <w:rPr>
          <w:rFonts w:hint="eastAsia" w:ascii="宋体" w:hAnsi="宋体" w:cs="宋体"/>
          <w:b/>
          <w:bCs/>
          <w:color w:val="auto"/>
          <w:sz w:val="24"/>
        </w:rPr>
      </w:pPr>
    </w:p>
    <w:p w14:paraId="4A6E2313">
      <w:pPr>
        <w:spacing w:line="440" w:lineRule="exact"/>
        <w:rPr>
          <w:rFonts w:hint="eastAsia" w:ascii="宋体" w:hAnsi="宋体" w:cs="宋体"/>
          <w:b/>
          <w:bCs/>
          <w:color w:val="auto"/>
          <w:sz w:val="24"/>
        </w:rPr>
      </w:pPr>
    </w:p>
    <w:p w14:paraId="4EC0FFEB">
      <w:pPr>
        <w:spacing w:line="440" w:lineRule="exact"/>
        <w:rPr>
          <w:rFonts w:hint="eastAsia" w:ascii="宋体" w:hAnsi="宋体" w:cs="宋体"/>
          <w:b/>
          <w:bCs/>
          <w:color w:val="auto"/>
          <w:sz w:val="24"/>
        </w:rPr>
      </w:pPr>
    </w:p>
    <w:p w14:paraId="2035BE42">
      <w:pPr>
        <w:spacing w:line="440" w:lineRule="exact"/>
        <w:rPr>
          <w:rFonts w:hint="eastAsia" w:ascii="宋体" w:hAnsi="宋体" w:cs="宋体"/>
          <w:b/>
          <w:bCs/>
          <w:color w:val="auto"/>
          <w:sz w:val="24"/>
        </w:rPr>
      </w:pPr>
    </w:p>
    <w:p w14:paraId="4468C79E">
      <w:pPr>
        <w:spacing w:line="440" w:lineRule="exact"/>
        <w:rPr>
          <w:rFonts w:hint="eastAsia" w:ascii="宋体" w:hAnsi="宋体" w:cs="宋体"/>
          <w:b/>
          <w:bCs/>
          <w:color w:val="auto"/>
          <w:sz w:val="24"/>
        </w:rPr>
      </w:pPr>
    </w:p>
    <w:p w14:paraId="23A11646">
      <w:pPr>
        <w:spacing w:line="440" w:lineRule="exact"/>
        <w:rPr>
          <w:rFonts w:ascii="宋体" w:hAnsi="宋体" w:cs="宋体"/>
          <w:b/>
          <w:bCs/>
          <w:color w:val="auto"/>
          <w:sz w:val="24"/>
        </w:rPr>
      </w:pPr>
      <w:r>
        <w:rPr>
          <w:rFonts w:hint="eastAsia" w:ascii="宋体" w:hAnsi="宋体" w:cs="宋体"/>
          <w:b/>
          <w:bCs/>
          <w:color w:val="auto"/>
          <w:sz w:val="24"/>
        </w:rPr>
        <w:t>2.供应商有效的营业执照副本复印件（必须提供）</w:t>
      </w:r>
    </w:p>
    <w:p w14:paraId="75E03D4A">
      <w:pPr>
        <w:spacing w:line="440" w:lineRule="exact"/>
        <w:rPr>
          <w:rFonts w:ascii="宋体" w:hAnsi="宋体" w:cs="宋体"/>
          <w:b/>
          <w:bCs/>
          <w:color w:val="auto"/>
          <w:sz w:val="24"/>
        </w:rPr>
      </w:pPr>
    </w:p>
    <w:p w14:paraId="369C3320">
      <w:pPr>
        <w:pStyle w:val="33"/>
        <w:rPr>
          <w:color w:val="auto"/>
        </w:rPr>
      </w:pPr>
    </w:p>
    <w:p w14:paraId="21621430">
      <w:pPr>
        <w:spacing w:line="440" w:lineRule="exact"/>
        <w:rPr>
          <w:rFonts w:ascii="宋体" w:hAnsi="宋体" w:cs="宋体"/>
          <w:b/>
          <w:bCs/>
          <w:color w:val="auto"/>
          <w:sz w:val="24"/>
        </w:rPr>
      </w:pPr>
      <w:r>
        <w:rPr>
          <w:rFonts w:hint="eastAsia" w:ascii="宋体" w:hAnsi="宋体" w:cs="宋体"/>
          <w:b/>
          <w:bCs/>
          <w:color w:val="auto"/>
          <w:sz w:val="24"/>
        </w:rPr>
        <w:t>3.法定代表人（负责人）身份证正反面复印件（必须提供）</w:t>
      </w:r>
    </w:p>
    <w:p w14:paraId="4AAD4CCE">
      <w:pPr>
        <w:pStyle w:val="19"/>
        <w:ind w:left="0"/>
        <w:jc w:val="both"/>
        <w:rPr>
          <w:color w:val="auto"/>
        </w:rPr>
      </w:pPr>
    </w:p>
    <w:p w14:paraId="69FD3E07">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rPr>
      </w:pPr>
      <w:r>
        <w:rPr>
          <w:rFonts w:hint="eastAsia" w:ascii="宋体" w:hAnsi="宋体" w:cs="宋体"/>
          <w:b/>
          <w:color w:val="auto"/>
          <w:sz w:val="24"/>
          <w:szCs w:val="24"/>
          <w:lang w:val="en-US" w:eastAsia="zh-CN"/>
        </w:rPr>
        <w:t>4.法定代表人授权委托书原件、委托代理人身份证正反面复印件（委托时必须提供，未</w:t>
      </w:r>
      <w:r>
        <w:rPr>
          <w:rFonts w:hint="eastAsia" w:ascii="宋体" w:hAnsi="宋体" w:cs="宋体"/>
          <w:b/>
          <w:color w:val="auto"/>
          <w:sz w:val="24"/>
        </w:rPr>
        <w:t>提供或提供的不符合要求按响应无效处理</w:t>
      </w:r>
      <w:r>
        <w:rPr>
          <w:rFonts w:hint="eastAsia" w:ascii="宋体" w:hAnsi="宋体" w:eastAsia="宋体" w:cs="宋体"/>
          <w:b/>
          <w:color w:val="auto"/>
          <w:sz w:val="24"/>
          <w:szCs w:val="24"/>
        </w:rPr>
        <w:t>）</w:t>
      </w:r>
    </w:p>
    <w:p w14:paraId="638DCC8F">
      <w:pPr>
        <w:rPr>
          <w:color w:val="auto"/>
        </w:rPr>
      </w:pPr>
    </w:p>
    <w:p w14:paraId="369A0996">
      <w:pPr>
        <w:pStyle w:val="19"/>
        <w:rPr>
          <w:color w:val="auto"/>
        </w:rPr>
      </w:pPr>
    </w:p>
    <w:p w14:paraId="75684CBB">
      <w:pPr>
        <w:spacing w:line="440" w:lineRule="atLeast"/>
        <w:rPr>
          <w:rFonts w:ascii="宋体" w:hAnsi="宋体" w:cs="宋体"/>
          <w:b/>
          <w:bCs/>
          <w:color w:val="auto"/>
          <w:sz w:val="24"/>
        </w:rPr>
      </w:pPr>
      <w:r>
        <w:rPr>
          <w:rFonts w:hint="eastAsia" w:ascii="宋体" w:hAnsi="宋体" w:cs="宋体"/>
          <w:b/>
          <w:bCs/>
          <w:color w:val="auto"/>
          <w:sz w:val="24"/>
          <w:lang w:val="en-US" w:eastAsia="zh-CN"/>
        </w:rPr>
        <w:t>5</w:t>
      </w:r>
      <w:r>
        <w:rPr>
          <w:rFonts w:hint="eastAsia" w:ascii="宋体" w:hAnsi="宋体" w:cs="宋体"/>
          <w:b/>
          <w:bCs/>
          <w:color w:val="auto"/>
          <w:sz w:val="24"/>
        </w:rPr>
        <w:t>.供应商参加采购活动前3年内在经营活动中没有重大违法记录及有关信用信息的书面声明（</w:t>
      </w:r>
      <w:r>
        <w:rPr>
          <w:rFonts w:hint="eastAsia" w:ascii="宋体" w:hAnsi="宋体"/>
          <w:b/>
          <w:bCs/>
          <w:color w:val="auto"/>
          <w:sz w:val="24"/>
        </w:rPr>
        <w:t>必须提供）</w:t>
      </w:r>
    </w:p>
    <w:p w14:paraId="3D54903B">
      <w:pPr>
        <w:spacing w:line="440" w:lineRule="atLeast"/>
        <w:rPr>
          <w:rFonts w:ascii="宋体" w:hAnsi="宋体" w:cs="宋体"/>
          <w:color w:val="auto"/>
          <w:sz w:val="24"/>
        </w:rPr>
      </w:pPr>
      <w:r>
        <w:rPr>
          <w:rFonts w:hint="eastAsia" w:ascii="宋体" w:hAnsi="宋体" w:cs="宋体"/>
          <w:color w:val="auto"/>
          <w:sz w:val="24"/>
        </w:rPr>
        <w:t>附件</w:t>
      </w:r>
    </w:p>
    <w:p w14:paraId="702DE94B">
      <w:pPr>
        <w:snapToGrid w:val="0"/>
        <w:spacing w:line="400" w:lineRule="exact"/>
        <w:rPr>
          <w:rFonts w:ascii="宋体" w:hAnsi="宋体" w:cs="宋体"/>
          <w:b/>
          <w:color w:val="auto"/>
          <w:kern w:val="0"/>
          <w:sz w:val="24"/>
        </w:rPr>
      </w:pPr>
    </w:p>
    <w:p w14:paraId="2C5BD57D">
      <w:pPr>
        <w:snapToGrid w:val="0"/>
        <w:spacing w:line="400" w:lineRule="exact"/>
        <w:rPr>
          <w:rFonts w:ascii="宋体" w:hAnsi="宋体" w:cs="宋体"/>
          <w:color w:val="auto"/>
          <w:kern w:val="0"/>
          <w:sz w:val="24"/>
        </w:rPr>
      </w:pPr>
      <w:r>
        <w:rPr>
          <w:rFonts w:hint="eastAsia" w:ascii="宋体" w:hAnsi="宋体" w:cs="宋体"/>
          <w:b/>
          <w:color w:val="auto"/>
          <w:kern w:val="0"/>
          <w:sz w:val="24"/>
        </w:rPr>
        <w:t>致</w:t>
      </w:r>
      <w:r>
        <w:rPr>
          <w:rFonts w:hint="eastAsia" w:ascii="宋体" w:hAnsi="宋体" w:cs="宋体"/>
          <w:color w:val="auto"/>
          <w:kern w:val="0"/>
          <w:sz w:val="24"/>
        </w:rPr>
        <w:t>：桂林市人民医院</w:t>
      </w:r>
    </w:p>
    <w:p w14:paraId="5A19DDF9">
      <w:pPr>
        <w:rPr>
          <w:rFonts w:ascii="宋体" w:hAnsi="宋体" w:cs="宋体"/>
          <w:color w:val="auto"/>
          <w:kern w:val="0"/>
          <w:sz w:val="24"/>
        </w:rPr>
      </w:pPr>
    </w:p>
    <w:p w14:paraId="2D6570D3">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color w:val="auto"/>
          <w:sz w:val="24"/>
        </w:rPr>
        <w:t>重大税收违法失信主体</w:t>
      </w:r>
      <w:r>
        <w:rPr>
          <w:rFonts w:hint="eastAsia" w:ascii="宋体" w:hAnsi="宋体" w:cs="宋体"/>
          <w:color w:val="auto"/>
          <w:kern w:val="0"/>
          <w:sz w:val="24"/>
        </w:rPr>
        <w:t>，完全符合本项目招标文件规定的投标人资格条件，我方对此声明负全部法律责任。</w:t>
      </w:r>
    </w:p>
    <w:p w14:paraId="27A6208D">
      <w:pPr>
        <w:snapToGrid w:val="0"/>
        <w:spacing w:before="50" w:after="156" w:afterLines="50" w:line="360" w:lineRule="auto"/>
        <w:jc w:val="left"/>
        <w:rPr>
          <w:rFonts w:ascii="宋体" w:hAnsi="宋体" w:cs="宋体"/>
          <w:color w:val="auto"/>
          <w:sz w:val="24"/>
        </w:rPr>
      </w:pPr>
    </w:p>
    <w:p w14:paraId="2B3B8928">
      <w:pPr>
        <w:snapToGrid w:val="0"/>
        <w:spacing w:before="156" w:beforeLines="50"/>
        <w:ind w:left="4620" w:leftChars="2200" w:right="480"/>
        <w:rPr>
          <w:rFonts w:ascii="宋体" w:hAnsi="宋体" w:cs="宋体"/>
          <w:color w:val="auto"/>
          <w:sz w:val="24"/>
          <w:u w:val="single"/>
        </w:rPr>
      </w:pPr>
      <w:r>
        <w:rPr>
          <w:rFonts w:hint="eastAsia" w:ascii="宋体" w:hAnsi="宋体" w:cs="宋体"/>
          <w:color w:val="auto"/>
          <w:sz w:val="24"/>
        </w:rPr>
        <w:t xml:space="preserve">                                         法定代表人签名：</w:t>
      </w:r>
      <w:r>
        <w:rPr>
          <w:rFonts w:hint="eastAsia" w:ascii="宋体" w:hAnsi="宋体" w:cs="宋体"/>
          <w:color w:val="auto"/>
          <w:sz w:val="24"/>
          <w:u w:val="single"/>
        </w:rPr>
        <w:t xml:space="preserve">             </w:t>
      </w:r>
    </w:p>
    <w:p w14:paraId="26098565">
      <w:pPr>
        <w:snapToGrid w:val="0"/>
        <w:spacing w:before="156" w:beforeLines="50"/>
        <w:ind w:left="3570" w:leftChars="1700" w:right="480" w:firstLine="1200" w:firstLineChars="500"/>
        <w:rPr>
          <w:rFonts w:ascii="宋体" w:hAnsi="宋体" w:cs="宋体"/>
          <w:color w:val="auto"/>
          <w:sz w:val="24"/>
        </w:rPr>
      </w:pPr>
      <w:r>
        <w:rPr>
          <w:rFonts w:hint="eastAsia" w:ascii="宋体" w:hAnsi="宋体" w:cs="宋体"/>
          <w:color w:val="auto"/>
          <w:sz w:val="24"/>
        </w:rPr>
        <w:t>投标人（盖公章）：</w:t>
      </w:r>
      <w:r>
        <w:rPr>
          <w:rFonts w:hint="eastAsia" w:ascii="宋体" w:hAnsi="宋体" w:cs="宋体"/>
          <w:color w:val="auto"/>
          <w:sz w:val="24"/>
          <w:u w:val="single"/>
        </w:rPr>
        <w:t xml:space="preserve">                 </w:t>
      </w:r>
    </w:p>
    <w:p w14:paraId="564F4091">
      <w:pPr>
        <w:snapToGrid w:val="0"/>
        <w:spacing w:before="156" w:beforeLines="50" w:after="50"/>
        <w:ind w:right="900" w:firstLine="5400" w:firstLineChars="225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96CE274">
      <w:pPr>
        <w:spacing w:line="400" w:lineRule="exact"/>
        <w:jc w:val="center"/>
        <w:rPr>
          <w:rFonts w:ascii="宋体" w:hAnsi="宋体" w:cs="宋体"/>
          <w:b/>
          <w:color w:val="auto"/>
          <w:sz w:val="24"/>
        </w:rPr>
      </w:pPr>
    </w:p>
    <w:p w14:paraId="3930B0AA">
      <w:pPr>
        <w:numPr>
          <w:ilvl w:val="0"/>
          <w:numId w:val="0"/>
        </w:numPr>
        <w:ind w:left="0" w:leftChars="0" w:firstLine="0" w:firstLineChars="0"/>
        <w:rPr>
          <w:rFonts w:hint="eastAsia" w:ascii="宋体" w:hAnsi="宋体" w:cs="宋体"/>
          <w:b/>
          <w:bCs/>
          <w:color w:val="auto"/>
          <w:kern w:val="2"/>
          <w:sz w:val="24"/>
          <w:szCs w:val="24"/>
          <w:lang w:val="en-US" w:eastAsia="zh-CN" w:bidi="ar-SA"/>
        </w:rPr>
      </w:pPr>
    </w:p>
    <w:p w14:paraId="27F6AB1D">
      <w:pPr>
        <w:numPr>
          <w:ilvl w:val="0"/>
          <w:numId w:val="0"/>
        </w:numPr>
        <w:ind w:left="0" w:leftChars="0" w:firstLine="0" w:firstLineChars="0"/>
        <w:rPr>
          <w:rFonts w:hint="eastAsia" w:ascii="宋体" w:hAnsi="宋体" w:cs="宋体"/>
          <w:b/>
          <w:bCs/>
          <w:color w:val="auto"/>
          <w:kern w:val="2"/>
          <w:sz w:val="24"/>
          <w:szCs w:val="24"/>
          <w:lang w:val="en-US" w:eastAsia="zh-CN" w:bidi="ar-SA"/>
        </w:rPr>
      </w:pPr>
    </w:p>
    <w:p w14:paraId="6E2C7DF8">
      <w:pPr>
        <w:numPr>
          <w:ilvl w:val="0"/>
          <w:numId w:val="0"/>
        </w:numPr>
        <w:ind w:left="0" w:leftChars="0" w:firstLine="0" w:firstLineChars="0"/>
        <w:rPr>
          <w:rFonts w:ascii="宋体" w:hAnsi="宋体" w:cs="宋体"/>
          <w:b/>
          <w:bCs/>
          <w:color w:val="auto"/>
          <w:sz w:val="24"/>
        </w:rPr>
      </w:pPr>
      <w:r>
        <w:rPr>
          <w:rFonts w:hint="eastAsia" w:ascii="宋体" w:hAnsi="宋体" w:cs="宋体"/>
          <w:b/>
          <w:bCs/>
          <w:color w:val="auto"/>
          <w:kern w:val="2"/>
          <w:sz w:val="24"/>
          <w:szCs w:val="24"/>
          <w:lang w:val="en-US" w:eastAsia="zh-CN" w:bidi="ar-SA"/>
        </w:rPr>
        <w:t>6</w:t>
      </w:r>
      <w:r>
        <w:rPr>
          <w:rFonts w:hint="eastAsia" w:ascii="宋体" w:hAnsi="宋体" w:eastAsia="宋体" w:cs="宋体"/>
          <w:b/>
          <w:bCs/>
          <w:color w:val="auto"/>
          <w:kern w:val="2"/>
          <w:sz w:val="24"/>
          <w:szCs w:val="24"/>
          <w:lang w:val="en-US" w:eastAsia="zh-CN" w:bidi="ar-SA"/>
        </w:rPr>
        <w:t>.</w:t>
      </w:r>
      <w:r>
        <w:rPr>
          <w:rFonts w:hint="eastAsia" w:ascii="宋体" w:hAnsi="宋体" w:cs="宋体"/>
          <w:b/>
          <w:bCs/>
          <w:color w:val="auto"/>
          <w:sz w:val="24"/>
        </w:rPr>
        <w:t>供应商信用中国(www.creditchina.gov.cn)以及中国政府采购网(www.ccgp.gov.cn)”未被列入失信被执行人、重大税收违法失信主体、严重违法失信行为记录名单、政府采购严重违法失信行为信息记录相关信息（必须提供）</w:t>
      </w:r>
    </w:p>
    <w:p w14:paraId="0A4A13A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bCs/>
          <w:color w:val="auto"/>
          <w:kern w:val="2"/>
          <w:sz w:val="24"/>
          <w:szCs w:val="24"/>
          <w:lang w:val="en-US" w:eastAsia="zh-CN" w:bidi="ar-SA"/>
        </w:rPr>
      </w:pPr>
    </w:p>
    <w:p w14:paraId="269F979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bCs/>
          <w:color w:val="auto"/>
          <w:kern w:val="2"/>
          <w:sz w:val="24"/>
          <w:szCs w:val="24"/>
          <w:lang w:val="en-US" w:eastAsia="zh-CN" w:bidi="ar-SA"/>
        </w:rPr>
      </w:pPr>
    </w:p>
    <w:p w14:paraId="4D10C97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bCs/>
          <w:color w:val="auto"/>
          <w:kern w:val="2"/>
          <w:sz w:val="24"/>
          <w:szCs w:val="24"/>
          <w:lang w:val="en-US" w:eastAsia="zh-CN" w:bidi="ar-SA"/>
        </w:rPr>
      </w:pPr>
    </w:p>
    <w:p w14:paraId="7F73B66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bCs/>
          <w:color w:val="auto"/>
          <w:kern w:val="2"/>
          <w:sz w:val="24"/>
          <w:szCs w:val="24"/>
          <w:lang w:val="en-US" w:eastAsia="zh-CN" w:bidi="ar-SA"/>
        </w:rPr>
      </w:pPr>
    </w:p>
    <w:p w14:paraId="3ACE36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ascii="宋体" w:hAnsi="宋体" w:eastAsia="宋体" w:cs="宋体"/>
          <w:b/>
          <w:bCs/>
          <w:color w:val="auto"/>
          <w:kern w:val="2"/>
          <w:sz w:val="24"/>
          <w:szCs w:val="24"/>
          <w:lang w:val="en-US" w:eastAsia="zh-CN" w:bidi="ar-SA"/>
        </w:rPr>
        <w:t>7.</w:t>
      </w:r>
      <w:r>
        <w:rPr>
          <w:rFonts w:hint="eastAsia" w:ascii="宋体" w:hAnsi="宋体" w:eastAsia="宋体" w:cs="宋体"/>
          <w:b/>
          <w:bCs/>
          <w:color w:val="auto"/>
          <w:spacing w:val="-1"/>
          <w:sz w:val="24"/>
          <w:szCs w:val="24"/>
          <w:lang w:val="en-US" w:eastAsia="zh-CN"/>
        </w:rPr>
        <w:t>无串通</w:t>
      </w:r>
      <w:r>
        <w:rPr>
          <w:rFonts w:hint="eastAsia" w:ascii="宋体" w:hAnsi="宋体" w:cs="宋体"/>
          <w:b/>
          <w:bCs/>
          <w:color w:val="auto"/>
          <w:spacing w:val="-1"/>
          <w:sz w:val="24"/>
          <w:szCs w:val="24"/>
          <w:highlight w:val="none"/>
          <w:lang w:val="en-US" w:eastAsia="zh-CN"/>
        </w:rPr>
        <w:t>投</w:t>
      </w:r>
      <w:r>
        <w:rPr>
          <w:rFonts w:hint="eastAsia" w:ascii="宋体" w:hAnsi="宋体" w:eastAsia="宋体" w:cs="宋体"/>
          <w:b/>
          <w:bCs/>
          <w:color w:val="auto"/>
          <w:spacing w:val="-1"/>
          <w:sz w:val="24"/>
          <w:szCs w:val="24"/>
          <w:highlight w:val="none"/>
          <w:lang w:val="en-US" w:eastAsia="zh-CN"/>
        </w:rPr>
        <w:t>标</w:t>
      </w:r>
      <w:r>
        <w:rPr>
          <w:rFonts w:hint="eastAsia" w:ascii="宋体" w:hAnsi="宋体" w:eastAsia="宋体" w:cs="宋体"/>
          <w:b/>
          <w:bCs/>
          <w:color w:val="auto"/>
          <w:spacing w:val="-1"/>
          <w:sz w:val="24"/>
          <w:szCs w:val="24"/>
          <w:lang w:val="en-US" w:eastAsia="zh-CN"/>
        </w:rPr>
        <w:t>行为的承诺函</w:t>
      </w:r>
      <w:r>
        <w:rPr>
          <w:rFonts w:hint="eastAsia" w:ascii="宋体" w:hAnsi="宋体" w:eastAsia="宋体" w:cs="宋体"/>
          <w:b/>
          <w:bCs/>
          <w:color w:val="auto"/>
          <w:sz w:val="24"/>
          <w:szCs w:val="24"/>
          <w:lang w:val="en-US" w:eastAsia="zh-CN"/>
        </w:rPr>
        <w:t>（必须提供）</w:t>
      </w:r>
    </w:p>
    <w:p w14:paraId="7100620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ascii="宋体" w:hAnsi="宋体" w:eastAsia="宋体" w:cs="宋体"/>
          <w:b/>
          <w:bCs/>
          <w:color w:val="auto"/>
          <w:kern w:val="2"/>
          <w:sz w:val="24"/>
          <w:szCs w:val="24"/>
          <w:lang w:val="en-US" w:eastAsia="zh-CN" w:bidi="ar-SA"/>
        </w:rPr>
      </w:pPr>
    </w:p>
    <w:p w14:paraId="3AC00E8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无串通</w:t>
      </w:r>
      <w:r>
        <w:rPr>
          <w:rFonts w:hint="eastAsia" w:ascii="宋体" w:hAnsi="宋体" w:cs="宋体"/>
          <w:b/>
          <w:bCs/>
          <w:color w:val="auto"/>
          <w:spacing w:val="-1"/>
          <w:sz w:val="24"/>
          <w:szCs w:val="24"/>
          <w:highlight w:val="none"/>
          <w:lang w:val="en-US" w:eastAsia="zh-CN"/>
        </w:rPr>
        <w:t>投</w:t>
      </w:r>
      <w:r>
        <w:rPr>
          <w:rFonts w:hint="eastAsia" w:ascii="宋体" w:hAnsi="宋体" w:eastAsia="宋体" w:cs="宋体"/>
          <w:b/>
          <w:bCs/>
          <w:color w:val="auto"/>
          <w:spacing w:val="-1"/>
          <w:sz w:val="24"/>
          <w:szCs w:val="24"/>
          <w:highlight w:val="none"/>
          <w:lang w:val="en-US" w:eastAsia="zh-CN"/>
        </w:rPr>
        <w:t>标行为的承诺函（格式）</w:t>
      </w:r>
    </w:p>
    <w:p w14:paraId="41E9AD23">
      <w:pPr>
        <w:spacing w:line="400" w:lineRule="exact"/>
        <w:ind w:firstLine="640" w:firstLineChars="200"/>
        <w:rPr>
          <w:rFonts w:hint="eastAsia" w:ascii="仿宋_GB2312" w:hAnsi="仿宋_GB2312" w:eastAsia="仿宋_GB2312" w:cs="仿宋_GB2312"/>
          <w:color w:val="auto"/>
          <w:sz w:val="32"/>
          <w:szCs w:val="32"/>
          <w:highlight w:val="none"/>
        </w:rPr>
      </w:pPr>
    </w:p>
    <w:p w14:paraId="28D5E570">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w:t>
      </w:r>
      <w:r>
        <w:rPr>
          <w:rFonts w:hint="eastAsia" w:ascii="宋体" w:hAnsi="宋体" w:cs="仿宋_GB2312"/>
          <w:b/>
          <w:bCs/>
          <w:color w:val="auto"/>
          <w:sz w:val="24"/>
          <w:highlight w:val="none"/>
          <w:lang w:eastAsia="zh-CN"/>
        </w:rPr>
        <w:t>投</w:t>
      </w:r>
      <w:r>
        <w:rPr>
          <w:rFonts w:hint="eastAsia" w:ascii="宋体" w:hAnsi="宋体" w:cs="仿宋_GB2312"/>
          <w:b/>
          <w:bCs/>
          <w:color w:val="auto"/>
          <w:sz w:val="24"/>
          <w:highlight w:val="none"/>
        </w:rPr>
        <w:t>标的情形：</w:t>
      </w:r>
    </w:p>
    <w:p w14:paraId="1290C05B">
      <w:pPr>
        <w:spacing w:line="360" w:lineRule="auto"/>
        <w:ind w:firstLine="480" w:firstLineChars="200"/>
        <w:rPr>
          <w:rFonts w:hint="eastAsia" w:ascii="宋体" w:hAnsi="宋体" w:eastAsia="宋体" w:cs="仿宋_GB2312"/>
          <w:color w:val="auto"/>
          <w:sz w:val="24"/>
          <w:highlight w:val="none"/>
        </w:rPr>
      </w:pPr>
      <w:r>
        <w:rPr>
          <w:rFonts w:hint="eastAsia" w:ascii="宋体" w:hAnsi="宋体" w:cs="仿宋_GB2312"/>
          <w:color w:val="auto"/>
          <w:sz w:val="24"/>
          <w:highlight w:val="none"/>
        </w:rPr>
        <w:t>1.不同投标人的投标文件由同一单位或者个人编制；</w:t>
      </w:r>
      <w:r>
        <w:rPr>
          <w:rFonts w:hint="eastAsia" w:ascii="宋体" w:hAnsi="宋体" w:eastAsia="宋体" w:cs="仿宋_GB2312"/>
          <w:color w:val="auto"/>
          <w:sz w:val="24"/>
          <w:highlight w:val="none"/>
        </w:rPr>
        <w:t>或者不同供应商报名的IP地址一致的；或者编制响应文件硬件设备CPU编号、硬盘编号、网卡地址一致的情况；</w:t>
      </w:r>
    </w:p>
    <w:p w14:paraId="50FCB19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2.不同投标人委托同一单位或者个人办理投标事宜；</w:t>
      </w:r>
    </w:p>
    <w:p w14:paraId="434C882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3.不同的投标人的投标文件载明的项目管理员为同一个人；</w:t>
      </w:r>
    </w:p>
    <w:p w14:paraId="2841449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 xml:space="preserve">4.不同投标人的投标文件异常一致或投标报价呈规律性差异； </w:t>
      </w:r>
    </w:p>
    <w:p w14:paraId="229FCFF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5.不同投标人的投标文件相互混装。</w:t>
      </w:r>
    </w:p>
    <w:p w14:paraId="4BFD8F7B">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9F1DB52">
      <w:pPr>
        <w:spacing w:line="360" w:lineRule="auto"/>
        <w:ind w:firstLine="480" w:firstLineChars="200"/>
        <w:rPr>
          <w:rFonts w:hint="eastAsia" w:ascii="宋体" w:hAnsi="宋体" w:cs="仿宋_GB2312"/>
          <w:strike w:val="0"/>
          <w:dstrike w:val="0"/>
          <w:color w:val="auto"/>
          <w:sz w:val="24"/>
          <w:highlight w:val="none"/>
        </w:rPr>
      </w:pPr>
      <w:r>
        <w:rPr>
          <w:rFonts w:hint="eastAsia" w:ascii="宋体" w:hAnsi="宋体" w:cs="仿宋_GB2312"/>
          <w:strike w:val="0"/>
          <w:dstrike w:val="0"/>
          <w:color w:val="auto"/>
          <w:sz w:val="24"/>
          <w:highlight w:val="none"/>
        </w:rPr>
        <w:t>1.供应商直接或者间接从采购人处获得其他供应商的相关信息并修改其</w:t>
      </w:r>
      <w:r>
        <w:rPr>
          <w:rFonts w:hint="eastAsia" w:ascii="宋体" w:hAnsi="宋体" w:cs="仿宋_GB2312"/>
          <w:strike w:val="0"/>
          <w:dstrike w:val="0"/>
          <w:color w:val="auto"/>
          <w:sz w:val="24"/>
          <w:highlight w:val="none"/>
          <w:lang w:eastAsia="zh-CN"/>
        </w:rPr>
        <w:t>投标</w:t>
      </w:r>
      <w:r>
        <w:rPr>
          <w:rFonts w:hint="eastAsia" w:ascii="宋体" w:hAnsi="宋体" w:cs="仿宋_GB2312"/>
          <w:strike w:val="0"/>
          <w:dstrike w:val="0"/>
          <w:color w:val="auto"/>
          <w:sz w:val="24"/>
          <w:highlight w:val="none"/>
        </w:rPr>
        <w:t>文件；</w:t>
      </w:r>
    </w:p>
    <w:p w14:paraId="726DDB90">
      <w:pPr>
        <w:spacing w:line="360" w:lineRule="auto"/>
        <w:ind w:firstLine="480" w:firstLineChars="200"/>
        <w:rPr>
          <w:rFonts w:hint="eastAsia" w:ascii="宋体" w:hAnsi="宋体" w:cs="仿宋_GB2312"/>
          <w:strike w:val="0"/>
          <w:color w:val="auto"/>
          <w:sz w:val="24"/>
          <w:highlight w:val="none"/>
        </w:rPr>
      </w:pPr>
      <w:r>
        <w:rPr>
          <w:rFonts w:hint="eastAsia" w:ascii="宋体" w:hAnsi="宋体" w:cs="仿宋_GB2312"/>
          <w:strike w:val="0"/>
          <w:dstrike w:val="0"/>
          <w:color w:val="auto"/>
          <w:sz w:val="24"/>
          <w:highlight w:val="none"/>
        </w:rPr>
        <w:t>2.供应商按照采购人的授意撤换、修改</w:t>
      </w:r>
      <w:r>
        <w:rPr>
          <w:rFonts w:hint="eastAsia" w:ascii="宋体" w:hAnsi="宋体" w:cs="仿宋_GB2312"/>
          <w:strike w:val="0"/>
          <w:dstrike w:val="0"/>
          <w:color w:val="auto"/>
          <w:sz w:val="24"/>
          <w:highlight w:val="none"/>
          <w:lang w:eastAsia="zh-CN"/>
        </w:rPr>
        <w:t>投标</w:t>
      </w:r>
      <w:r>
        <w:rPr>
          <w:rFonts w:hint="eastAsia" w:ascii="宋体" w:hAnsi="宋体" w:cs="仿宋_GB2312"/>
          <w:strike w:val="0"/>
          <w:dstrike w:val="0"/>
          <w:color w:val="auto"/>
          <w:sz w:val="24"/>
          <w:highlight w:val="none"/>
        </w:rPr>
        <w:t>文件；</w:t>
      </w:r>
    </w:p>
    <w:p w14:paraId="6EF306F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w:t>
      </w:r>
      <w:r>
        <w:rPr>
          <w:rFonts w:hint="eastAsia" w:ascii="宋体" w:hAnsi="宋体" w:cs="仿宋_GB2312"/>
          <w:color w:val="auto"/>
          <w:spacing w:val="-6"/>
          <w:sz w:val="24"/>
          <w:highlight w:val="none"/>
          <w:lang w:eastAsia="zh-CN"/>
        </w:rPr>
        <w:t>投标</w:t>
      </w:r>
      <w:r>
        <w:rPr>
          <w:rFonts w:hint="eastAsia" w:ascii="宋体" w:hAnsi="宋体" w:cs="仿宋_GB2312"/>
          <w:color w:val="auto"/>
          <w:spacing w:val="-6"/>
          <w:sz w:val="24"/>
          <w:highlight w:val="none"/>
        </w:rPr>
        <w:t>文件的实质性内容；</w:t>
      </w:r>
    </w:p>
    <w:p w14:paraId="0DC5B1BF">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w:t>
      </w:r>
      <w:r>
        <w:rPr>
          <w:rFonts w:hint="eastAsia" w:ascii="宋体" w:hAnsi="宋体" w:cs="仿宋_GB2312"/>
          <w:color w:val="auto"/>
          <w:sz w:val="24"/>
          <w:highlight w:val="none"/>
          <w:lang w:val="en-US" w:eastAsia="zh-CN"/>
        </w:rPr>
        <w:t>招标</w:t>
      </w:r>
      <w:r>
        <w:rPr>
          <w:rFonts w:hint="eastAsia" w:ascii="宋体" w:hAnsi="宋体" w:cs="仿宋_GB2312"/>
          <w:color w:val="auto"/>
          <w:sz w:val="24"/>
          <w:highlight w:val="none"/>
        </w:rPr>
        <w:t>采购活动；</w:t>
      </w:r>
    </w:p>
    <w:p w14:paraId="18ECC5C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w:t>
      </w:r>
      <w:r>
        <w:rPr>
          <w:rFonts w:hint="eastAsia" w:ascii="宋体" w:hAnsi="宋体" w:cs="仿宋_GB2312"/>
          <w:color w:val="auto"/>
          <w:sz w:val="24"/>
          <w:highlight w:val="none"/>
          <w:lang w:eastAsia="zh-CN"/>
        </w:rPr>
        <w:t>投</w:t>
      </w:r>
      <w:r>
        <w:rPr>
          <w:rFonts w:hint="eastAsia" w:ascii="宋体" w:hAnsi="宋体" w:cs="仿宋_GB2312"/>
          <w:color w:val="auto"/>
          <w:sz w:val="24"/>
          <w:highlight w:val="none"/>
        </w:rPr>
        <w:t>标报价，或者在</w:t>
      </w:r>
      <w:r>
        <w:rPr>
          <w:rFonts w:hint="eastAsia" w:ascii="宋体" w:hAnsi="宋体" w:cs="仿宋_GB2312"/>
          <w:color w:val="auto"/>
          <w:sz w:val="24"/>
          <w:highlight w:val="none"/>
          <w:lang w:val="en-US" w:eastAsia="zh-CN"/>
        </w:rPr>
        <w:t>招标采购</w:t>
      </w:r>
      <w:r>
        <w:rPr>
          <w:rFonts w:hint="eastAsia" w:ascii="宋体" w:hAnsi="宋体" w:cs="仿宋_GB2312"/>
          <w:color w:val="auto"/>
          <w:sz w:val="24"/>
          <w:highlight w:val="none"/>
        </w:rPr>
        <w:t>项目中事先约定轮流以高价位或者低价位</w:t>
      </w:r>
      <w:r>
        <w:rPr>
          <w:rFonts w:hint="eastAsia" w:ascii="宋体" w:hAnsi="宋体" w:cs="仿宋_GB2312"/>
          <w:color w:val="auto"/>
          <w:sz w:val="24"/>
          <w:highlight w:val="none"/>
          <w:lang w:eastAsia="zh-CN"/>
        </w:rPr>
        <w:t>中标</w:t>
      </w:r>
      <w:r>
        <w:rPr>
          <w:rFonts w:hint="eastAsia" w:ascii="宋体" w:hAnsi="宋体" w:cs="仿宋_GB2312"/>
          <w:color w:val="auto"/>
          <w:sz w:val="24"/>
          <w:highlight w:val="none"/>
        </w:rPr>
        <w:t>，或者事先约定由某一特定供应商</w:t>
      </w:r>
      <w:r>
        <w:rPr>
          <w:rFonts w:hint="eastAsia" w:ascii="宋体" w:hAnsi="宋体" w:cs="仿宋_GB2312"/>
          <w:color w:val="auto"/>
          <w:sz w:val="24"/>
          <w:highlight w:val="none"/>
          <w:lang w:eastAsia="zh-CN"/>
        </w:rPr>
        <w:t>中标</w:t>
      </w:r>
      <w:r>
        <w:rPr>
          <w:rFonts w:hint="eastAsia" w:ascii="宋体" w:hAnsi="宋体" w:cs="仿宋_GB2312"/>
          <w:color w:val="auto"/>
          <w:sz w:val="24"/>
          <w:highlight w:val="none"/>
        </w:rPr>
        <w:t>，然后再参加</w:t>
      </w:r>
      <w:r>
        <w:rPr>
          <w:rFonts w:hint="eastAsia" w:ascii="宋体" w:hAnsi="宋体" w:cs="仿宋_GB2312"/>
          <w:color w:val="auto"/>
          <w:sz w:val="24"/>
          <w:highlight w:val="none"/>
          <w:lang w:eastAsia="zh-CN"/>
        </w:rPr>
        <w:t>投</w:t>
      </w:r>
      <w:r>
        <w:rPr>
          <w:rFonts w:hint="eastAsia" w:ascii="宋体" w:hAnsi="宋体" w:cs="仿宋_GB2312"/>
          <w:color w:val="auto"/>
          <w:sz w:val="24"/>
          <w:highlight w:val="none"/>
        </w:rPr>
        <w:t>标；</w:t>
      </w:r>
    </w:p>
    <w:p w14:paraId="0B2469B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w:t>
      </w:r>
      <w:r>
        <w:rPr>
          <w:rFonts w:hint="eastAsia" w:ascii="宋体" w:hAnsi="宋体" w:cs="仿宋_GB2312"/>
          <w:color w:val="auto"/>
          <w:sz w:val="24"/>
          <w:highlight w:val="none"/>
          <w:lang w:val="en-US" w:eastAsia="zh-CN"/>
        </w:rPr>
        <w:t>招标采购</w:t>
      </w:r>
      <w:r>
        <w:rPr>
          <w:rFonts w:hint="eastAsia" w:ascii="宋体" w:hAnsi="宋体" w:cs="仿宋_GB2312"/>
          <w:color w:val="auto"/>
          <w:sz w:val="24"/>
          <w:highlight w:val="none"/>
        </w:rPr>
        <w:t>活动或者放弃</w:t>
      </w:r>
      <w:r>
        <w:rPr>
          <w:rFonts w:hint="eastAsia" w:ascii="宋体" w:hAnsi="宋体" w:cs="仿宋_GB2312"/>
          <w:color w:val="auto"/>
          <w:sz w:val="24"/>
          <w:highlight w:val="none"/>
          <w:lang w:eastAsia="zh-CN"/>
        </w:rPr>
        <w:t>中标</w:t>
      </w:r>
      <w:r>
        <w:rPr>
          <w:rFonts w:hint="eastAsia" w:ascii="宋体" w:hAnsi="宋体" w:cs="仿宋_GB2312"/>
          <w:color w:val="auto"/>
          <w:sz w:val="24"/>
          <w:highlight w:val="none"/>
        </w:rPr>
        <w:t>；</w:t>
      </w:r>
    </w:p>
    <w:p w14:paraId="2F769E4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7.供应商与</w:t>
      </w:r>
      <w:r>
        <w:rPr>
          <w:rFonts w:hint="eastAsia" w:ascii="宋体" w:hAnsi="宋体" w:cs="仿宋_GB2312"/>
          <w:strike w:val="0"/>
          <w:dstrike w:val="0"/>
          <w:color w:val="auto"/>
          <w:sz w:val="24"/>
          <w:highlight w:val="none"/>
        </w:rPr>
        <w:t>采购人</w:t>
      </w:r>
      <w:r>
        <w:rPr>
          <w:rFonts w:hint="eastAsia" w:ascii="宋体" w:hAnsi="宋体" w:cs="仿宋_GB2312"/>
          <w:strike w:val="0"/>
          <w:dstrike w:val="0"/>
          <w:color w:val="auto"/>
          <w:sz w:val="24"/>
          <w:highlight w:val="none"/>
          <w:lang w:eastAsia="zh-CN"/>
        </w:rPr>
        <w:t>、</w:t>
      </w:r>
      <w:r>
        <w:rPr>
          <w:rFonts w:hint="eastAsia" w:ascii="宋体" w:hAnsi="宋体" w:cs="仿宋_GB2312"/>
          <w:color w:val="auto"/>
          <w:sz w:val="24"/>
          <w:highlight w:val="none"/>
        </w:rPr>
        <w:t>供应商相互之间，为</w:t>
      </w:r>
      <w:r>
        <w:rPr>
          <w:rFonts w:hint="eastAsia" w:ascii="宋体" w:hAnsi="宋体" w:cs="仿宋_GB2312"/>
          <w:color w:val="auto"/>
          <w:spacing w:val="-6"/>
          <w:sz w:val="24"/>
          <w:highlight w:val="none"/>
        </w:rPr>
        <w:t>谋求特定供应商</w:t>
      </w:r>
      <w:r>
        <w:rPr>
          <w:rFonts w:hint="eastAsia" w:ascii="宋体" w:hAnsi="宋体" w:cs="仿宋_GB2312"/>
          <w:color w:val="auto"/>
          <w:spacing w:val="-6"/>
          <w:sz w:val="24"/>
          <w:highlight w:val="none"/>
          <w:lang w:eastAsia="zh-CN"/>
        </w:rPr>
        <w:t>中标</w:t>
      </w:r>
      <w:r>
        <w:rPr>
          <w:rFonts w:hint="eastAsia" w:ascii="宋体" w:hAnsi="宋体" w:cs="仿宋_GB2312"/>
          <w:color w:val="auto"/>
          <w:spacing w:val="-6"/>
          <w:sz w:val="24"/>
          <w:highlight w:val="none"/>
        </w:rPr>
        <w:t>或者排斥其他供应商的其他串通行为。</w:t>
      </w:r>
    </w:p>
    <w:p w14:paraId="6F182BD8">
      <w:pPr>
        <w:spacing w:line="360" w:lineRule="auto"/>
        <w:ind w:firstLine="482" w:firstLineChars="200"/>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0245771">
      <w:pPr>
        <w:widowControl/>
        <w:spacing w:line="400" w:lineRule="exact"/>
        <w:rPr>
          <w:rFonts w:ascii="宋体" w:hAnsi="宋体" w:cs="宋体"/>
          <w:color w:val="auto"/>
          <w:kern w:val="0"/>
          <w:sz w:val="24"/>
        </w:rPr>
      </w:pPr>
      <w:r>
        <w:rPr>
          <w:rFonts w:hint="eastAsia" w:ascii="宋体" w:hAnsi="宋体" w:cs="宋体"/>
          <w:color w:val="auto"/>
          <w:kern w:val="0"/>
          <w:sz w:val="24"/>
        </w:rPr>
        <w:t xml:space="preserve">                                   </w:t>
      </w:r>
    </w:p>
    <w:p w14:paraId="4985728C">
      <w:pPr>
        <w:widowControl/>
        <w:spacing w:line="400" w:lineRule="exact"/>
        <w:jc w:val="right"/>
        <w:rPr>
          <w:rFonts w:ascii="宋体" w:hAnsi="宋体" w:cs="宋体"/>
          <w:color w:val="auto"/>
          <w:kern w:val="0"/>
          <w:sz w:val="24"/>
        </w:rPr>
      </w:pPr>
      <w:r>
        <w:rPr>
          <w:rFonts w:hint="eastAsia" w:ascii="宋体" w:hAnsi="宋体" w:cs="宋体"/>
          <w:color w:val="auto"/>
          <w:kern w:val="0"/>
          <w:sz w:val="24"/>
        </w:rPr>
        <w:t xml:space="preserve"> 供应商单位：                 （盖章）</w:t>
      </w:r>
    </w:p>
    <w:p w14:paraId="020BCD22">
      <w:pPr>
        <w:widowControl/>
        <w:spacing w:line="400" w:lineRule="exact"/>
        <w:jc w:val="center"/>
        <w:rPr>
          <w:rFonts w:ascii="宋体" w:hAnsi="宋体" w:cs="宋体"/>
          <w:color w:val="auto"/>
          <w:kern w:val="0"/>
          <w:sz w:val="24"/>
        </w:rPr>
      </w:pPr>
    </w:p>
    <w:p w14:paraId="5C5E328E">
      <w:pPr>
        <w:widowControl/>
        <w:spacing w:line="400" w:lineRule="exact"/>
        <w:jc w:val="right"/>
        <w:rPr>
          <w:rFonts w:ascii="宋体" w:hAnsi="宋体" w:cs="宋体"/>
          <w:color w:val="auto"/>
          <w:kern w:val="0"/>
          <w:sz w:val="24"/>
        </w:rPr>
      </w:pPr>
      <w:r>
        <w:rPr>
          <w:rFonts w:hint="eastAsia" w:ascii="宋体" w:hAnsi="宋体" w:cs="宋体"/>
          <w:color w:val="auto"/>
          <w:kern w:val="0"/>
          <w:sz w:val="24"/>
        </w:rPr>
        <w:t xml:space="preserve">                                     年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 xml:space="preserve"> 月  </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日</w:t>
      </w:r>
    </w:p>
    <w:p w14:paraId="06D1CC2E">
      <w:pPr>
        <w:numPr>
          <w:ilvl w:val="0"/>
          <w:numId w:val="0"/>
        </w:numPr>
        <w:ind w:left="0" w:leftChars="0" w:firstLine="0" w:firstLineChars="0"/>
        <w:rPr>
          <w:rFonts w:ascii="宋体" w:hAnsi="宋体" w:cs="宋体"/>
          <w:b/>
          <w:bCs/>
          <w:color w:val="auto"/>
          <w:sz w:val="24"/>
        </w:rPr>
      </w:pPr>
      <w:r>
        <w:rPr>
          <w:rFonts w:hint="eastAsia" w:ascii="宋体" w:hAnsi="宋体" w:cs="宋体"/>
          <w:b/>
          <w:bCs/>
          <w:color w:val="auto"/>
          <w:sz w:val="24"/>
        </w:rPr>
        <w:br w:type="page"/>
      </w:r>
    </w:p>
    <w:p w14:paraId="304144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8.《国家企业信用信息公示系统》（网址：www.gsxt.gov.cn/index.html）查询的“股东及出资信息”截图（必须提供）</w:t>
      </w:r>
    </w:p>
    <w:p w14:paraId="6924EA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注：评标小组在对投标人进行资格性审查时，将对投标人企业股东及出资等信息进行查询。审查中如发现投标人存在单位负责人为同一人或者存在控股、管理关系的不同单位参加本项目</w:t>
      </w:r>
      <w:r>
        <w:rPr>
          <w:rFonts w:hint="eastAsia" w:ascii="宋体" w:hAnsi="宋体" w:cs="宋体"/>
          <w:b w:val="0"/>
          <w:bCs w:val="0"/>
          <w:color w:val="auto"/>
          <w:sz w:val="24"/>
          <w:lang w:val="en-US" w:eastAsia="zh-CN"/>
        </w:rPr>
        <w:t>竞价</w:t>
      </w:r>
      <w:r>
        <w:rPr>
          <w:rFonts w:hint="eastAsia" w:ascii="宋体" w:hAnsi="宋体" w:eastAsia="宋体" w:cs="宋体"/>
          <w:b w:val="0"/>
          <w:bCs w:val="0"/>
          <w:color w:val="auto"/>
          <w:sz w:val="24"/>
          <w:lang w:val="en-US" w:eastAsia="zh-CN"/>
        </w:rPr>
        <w:t>的，按资格审查不通过处理。</w:t>
      </w:r>
    </w:p>
    <w:p w14:paraId="4C3DFC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sz w:val="24"/>
          <w:lang w:val="en-US" w:eastAsia="zh-CN"/>
        </w:rPr>
      </w:pPr>
    </w:p>
    <w:p w14:paraId="0ECF61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sz w:val="24"/>
          <w:lang w:val="en-US" w:eastAsia="zh-CN"/>
        </w:rPr>
      </w:pPr>
    </w:p>
    <w:p w14:paraId="647BA2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lang w:val="en-US" w:eastAsia="zh-CN"/>
        </w:rPr>
      </w:pPr>
      <w:r>
        <w:rPr>
          <w:rFonts w:hint="eastAsia" w:ascii="宋体" w:hAnsi="宋体" w:cs="宋体"/>
          <w:b/>
          <w:bCs/>
          <w:color w:val="auto"/>
          <w:sz w:val="24"/>
          <w:lang w:val="en-US" w:eastAsia="zh-CN"/>
        </w:rPr>
        <w:t>9</w:t>
      </w:r>
      <w:r>
        <w:rPr>
          <w:rFonts w:hint="eastAsia" w:ascii="宋体" w:hAnsi="宋体" w:eastAsia="宋体" w:cs="宋体"/>
          <w:b/>
          <w:bCs/>
          <w:color w:val="auto"/>
          <w:sz w:val="24"/>
          <w:lang w:val="en-US" w:eastAsia="zh-CN"/>
        </w:rPr>
        <w:t>.“项目采购需求”中要求必须提供的有效证明文件</w:t>
      </w:r>
      <w:r>
        <w:rPr>
          <w:rFonts w:hint="eastAsia" w:ascii="宋体" w:hAnsi="宋体" w:eastAsia="宋体" w:cs="宋体"/>
          <w:b/>
          <w:bCs/>
          <w:color w:val="auto"/>
          <w:spacing w:val="-1"/>
          <w:sz w:val="24"/>
          <w:szCs w:val="24"/>
          <w:lang w:val="en-US" w:eastAsia="zh-CN"/>
        </w:rPr>
        <w:t>（“项目采购需求”中有要求必须提供的，则必须提供）</w:t>
      </w:r>
    </w:p>
    <w:p w14:paraId="5E4FF2B6">
      <w:pPr>
        <w:spacing w:line="440" w:lineRule="exact"/>
        <w:jc w:val="both"/>
        <w:rPr>
          <w:rFonts w:hint="eastAsia" w:ascii="宋体" w:hAnsi="宋体" w:cs="宋体"/>
          <w:b/>
          <w:bCs/>
          <w:color w:val="auto"/>
          <w:spacing w:val="-1"/>
          <w:sz w:val="30"/>
          <w:szCs w:val="30"/>
        </w:rPr>
      </w:pPr>
    </w:p>
    <w:p w14:paraId="0A51BBE1">
      <w:pPr>
        <w:spacing w:line="440" w:lineRule="exact"/>
        <w:jc w:val="center"/>
        <w:rPr>
          <w:rFonts w:hint="eastAsia" w:ascii="宋体" w:hAnsi="宋体" w:cs="宋体"/>
          <w:b/>
          <w:bCs/>
          <w:color w:val="auto"/>
          <w:spacing w:val="-1"/>
          <w:sz w:val="30"/>
          <w:szCs w:val="30"/>
        </w:rPr>
      </w:pPr>
    </w:p>
    <w:p w14:paraId="3992C7E5">
      <w:pPr>
        <w:spacing w:line="440" w:lineRule="exact"/>
        <w:jc w:val="center"/>
        <w:rPr>
          <w:rFonts w:ascii="宋体" w:hAnsi="宋体" w:cs="宋体"/>
          <w:b/>
          <w:bCs/>
          <w:color w:val="auto"/>
          <w:spacing w:val="-1"/>
          <w:sz w:val="30"/>
          <w:szCs w:val="30"/>
        </w:rPr>
      </w:pPr>
      <w:r>
        <w:rPr>
          <w:rFonts w:hint="eastAsia" w:ascii="宋体" w:hAnsi="宋体" w:cs="宋体"/>
          <w:b/>
          <w:bCs/>
          <w:color w:val="auto"/>
          <w:spacing w:val="-1"/>
          <w:sz w:val="30"/>
          <w:szCs w:val="30"/>
        </w:rPr>
        <w:t>响应表格式</w:t>
      </w:r>
    </w:p>
    <w:p w14:paraId="4F0B6519">
      <w:pPr>
        <w:pStyle w:val="16"/>
        <w:spacing w:line="440" w:lineRule="exact"/>
        <w:rPr>
          <w:rFonts w:hAnsi="宋体" w:cs="宋体"/>
          <w:b/>
          <w:color w:val="auto"/>
          <w:sz w:val="24"/>
          <w:szCs w:val="24"/>
        </w:rPr>
      </w:pPr>
    </w:p>
    <w:p w14:paraId="03323FCF">
      <w:pPr>
        <w:pStyle w:val="16"/>
        <w:spacing w:line="440" w:lineRule="exact"/>
        <w:jc w:val="center"/>
        <w:rPr>
          <w:rFonts w:hAnsi="宋体" w:cs="宋体"/>
          <w:b/>
          <w:bCs/>
          <w:color w:val="auto"/>
          <w:sz w:val="24"/>
          <w:szCs w:val="24"/>
        </w:rPr>
      </w:pPr>
      <w:r>
        <w:rPr>
          <w:rFonts w:hint="eastAsia" w:hAnsi="宋体" w:cs="宋体"/>
          <w:b/>
          <w:color w:val="auto"/>
          <w:sz w:val="24"/>
          <w:szCs w:val="24"/>
        </w:rPr>
        <w:t>项目采购需求响应表</w:t>
      </w:r>
      <w:r>
        <w:rPr>
          <w:rFonts w:hint="eastAsia" w:hAnsi="宋体" w:cs="宋体"/>
          <w:b/>
          <w:bCs/>
          <w:color w:val="auto"/>
          <w:sz w:val="24"/>
          <w:szCs w:val="24"/>
        </w:rPr>
        <w:t>（格式）</w:t>
      </w:r>
    </w:p>
    <w:p w14:paraId="39C6A5DE">
      <w:pPr>
        <w:pStyle w:val="16"/>
        <w:spacing w:line="440" w:lineRule="exact"/>
        <w:jc w:val="left"/>
        <w:rPr>
          <w:rFonts w:hAnsi="宋体" w:cs="宋体"/>
          <w:b/>
          <w:bCs/>
          <w:color w:val="auto"/>
          <w:sz w:val="24"/>
          <w:szCs w:val="24"/>
        </w:rPr>
      </w:pPr>
      <w:r>
        <w:rPr>
          <w:rFonts w:hint="eastAsia" w:hAnsi="宋体" w:cs="宋体"/>
          <w:b/>
          <w:bCs/>
          <w:color w:val="auto"/>
          <w:sz w:val="24"/>
          <w:szCs w:val="24"/>
        </w:rPr>
        <w:t xml:space="preserve">  </w:t>
      </w:r>
    </w:p>
    <w:tbl>
      <w:tblPr>
        <w:tblStyle w:val="22"/>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3908"/>
        <w:gridCol w:w="2109"/>
        <w:gridCol w:w="1245"/>
      </w:tblGrid>
      <w:tr w14:paraId="5BFD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97" w:type="dxa"/>
            <w:vAlign w:val="center"/>
          </w:tcPr>
          <w:p w14:paraId="14D5FBF0">
            <w:pPr>
              <w:snapToGrid w:val="0"/>
              <w:spacing w:line="460" w:lineRule="exact"/>
              <w:jc w:val="center"/>
              <w:rPr>
                <w:rFonts w:ascii="宋体" w:hAnsi="宋体" w:cs="宋体"/>
                <w:color w:val="auto"/>
                <w:sz w:val="24"/>
              </w:rPr>
            </w:pPr>
            <w:r>
              <w:rPr>
                <w:rFonts w:hint="eastAsia" w:ascii="宋体" w:hAnsi="宋体" w:cs="仿宋_GB2312"/>
                <w:color w:val="auto"/>
                <w:sz w:val="24"/>
              </w:rPr>
              <w:t>项目</w:t>
            </w:r>
          </w:p>
        </w:tc>
        <w:tc>
          <w:tcPr>
            <w:tcW w:w="3908" w:type="dxa"/>
            <w:vAlign w:val="center"/>
          </w:tcPr>
          <w:p w14:paraId="702ED8D6">
            <w:pPr>
              <w:snapToGrid w:val="0"/>
              <w:spacing w:line="460" w:lineRule="exact"/>
              <w:jc w:val="center"/>
              <w:rPr>
                <w:rFonts w:ascii="宋体" w:hAnsi="宋体" w:cs="宋体"/>
                <w:color w:val="auto"/>
                <w:sz w:val="24"/>
              </w:rPr>
            </w:pPr>
            <w:r>
              <w:rPr>
                <w:rFonts w:hint="eastAsia" w:ascii="宋体" w:hAnsi="宋体" w:cs="仿宋_GB2312"/>
                <w:color w:val="auto"/>
                <w:sz w:val="24"/>
              </w:rPr>
              <w:t>反向竞价文件商务条款要求</w:t>
            </w:r>
          </w:p>
        </w:tc>
        <w:tc>
          <w:tcPr>
            <w:tcW w:w="2109" w:type="dxa"/>
            <w:vAlign w:val="center"/>
          </w:tcPr>
          <w:p w14:paraId="504181DA">
            <w:pPr>
              <w:snapToGrid w:val="0"/>
              <w:spacing w:line="460" w:lineRule="exact"/>
              <w:jc w:val="center"/>
              <w:rPr>
                <w:rFonts w:ascii="宋体" w:hAnsi="宋体" w:cs="宋体"/>
                <w:color w:val="auto"/>
                <w:sz w:val="24"/>
              </w:rPr>
            </w:pPr>
            <w:r>
              <w:rPr>
                <w:rFonts w:hint="eastAsia" w:ascii="宋体" w:hAnsi="宋体" w:cs="仿宋_GB2312"/>
                <w:color w:val="auto"/>
                <w:sz w:val="24"/>
              </w:rPr>
              <w:t>供应商的承诺</w:t>
            </w:r>
          </w:p>
        </w:tc>
        <w:tc>
          <w:tcPr>
            <w:tcW w:w="1245" w:type="dxa"/>
            <w:vAlign w:val="center"/>
          </w:tcPr>
          <w:p w14:paraId="7C1F68A0">
            <w:pPr>
              <w:snapToGrid w:val="0"/>
              <w:spacing w:line="460" w:lineRule="exact"/>
              <w:jc w:val="center"/>
              <w:rPr>
                <w:rFonts w:ascii="宋体" w:hAnsi="宋体" w:cs="仿宋_GB2312"/>
                <w:color w:val="auto"/>
                <w:sz w:val="24"/>
              </w:rPr>
            </w:pPr>
            <w:r>
              <w:rPr>
                <w:rFonts w:hint="eastAsia" w:ascii="宋体" w:hAnsi="宋体" w:cs="仿宋_GB2312"/>
                <w:color w:val="auto"/>
                <w:sz w:val="24"/>
              </w:rPr>
              <w:t>响应情况</w:t>
            </w:r>
          </w:p>
        </w:tc>
      </w:tr>
      <w:tr w14:paraId="419B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997" w:type="dxa"/>
            <w:vAlign w:val="center"/>
          </w:tcPr>
          <w:p w14:paraId="2FC49178">
            <w:pPr>
              <w:pStyle w:val="16"/>
              <w:spacing w:line="300" w:lineRule="exact"/>
              <w:jc w:val="left"/>
              <w:rPr>
                <w:rFonts w:hAnsi="宋体" w:cs="宋体"/>
                <w:color w:val="auto"/>
                <w:sz w:val="24"/>
                <w:szCs w:val="24"/>
              </w:rPr>
            </w:pPr>
          </w:p>
        </w:tc>
        <w:tc>
          <w:tcPr>
            <w:tcW w:w="3908" w:type="dxa"/>
            <w:vAlign w:val="center"/>
          </w:tcPr>
          <w:p w14:paraId="230D7F5D">
            <w:pPr>
              <w:pStyle w:val="16"/>
              <w:spacing w:line="440" w:lineRule="exact"/>
              <w:jc w:val="center"/>
              <w:rPr>
                <w:rFonts w:hAnsi="宋体" w:cs="宋体"/>
                <w:color w:val="auto"/>
                <w:sz w:val="24"/>
                <w:szCs w:val="24"/>
              </w:rPr>
            </w:pPr>
          </w:p>
        </w:tc>
        <w:tc>
          <w:tcPr>
            <w:tcW w:w="2109" w:type="dxa"/>
            <w:vAlign w:val="center"/>
          </w:tcPr>
          <w:p w14:paraId="57DBD34C">
            <w:pPr>
              <w:pStyle w:val="16"/>
              <w:spacing w:line="440" w:lineRule="exact"/>
              <w:jc w:val="center"/>
              <w:rPr>
                <w:rFonts w:hAnsi="宋体" w:cs="宋体"/>
                <w:color w:val="auto"/>
                <w:sz w:val="24"/>
                <w:szCs w:val="24"/>
              </w:rPr>
            </w:pPr>
          </w:p>
        </w:tc>
        <w:tc>
          <w:tcPr>
            <w:tcW w:w="1245" w:type="dxa"/>
            <w:vAlign w:val="center"/>
          </w:tcPr>
          <w:p w14:paraId="2745F383">
            <w:pPr>
              <w:pStyle w:val="16"/>
              <w:spacing w:line="440" w:lineRule="exact"/>
              <w:jc w:val="center"/>
              <w:rPr>
                <w:rFonts w:hAnsi="宋体" w:cs="宋体"/>
                <w:color w:val="auto"/>
                <w:sz w:val="24"/>
                <w:szCs w:val="24"/>
              </w:rPr>
            </w:pPr>
          </w:p>
        </w:tc>
      </w:tr>
      <w:tr w14:paraId="424D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997" w:type="dxa"/>
            <w:vAlign w:val="center"/>
          </w:tcPr>
          <w:p w14:paraId="0B73F632">
            <w:pPr>
              <w:pStyle w:val="16"/>
              <w:spacing w:line="300" w:lineRule="exact"/>
              <w:jc w:val="left"/>
              <w:rPr>
                <w:rFonts w:hAnsi="宋体" w:cs="宋体"/>
                <w:color w:val="auto"/>
                <w:sz w:val="24"/>
                <w:szCs w:val="24"/>
              </w:rPr>
            </w:pPr>
          </w:p>
        </w:tc>
        <w:tc>
          <w:tcPr>
            <w:tcW w:w="3908" w:type="dxa"/>
            <w:vAlign w:val="center"/>
          </w:tcPr>
          <w:p w14:paraId="7AB88299">
            <w:pPr>
              <w:pStyle w:val="16"/>
              <w:spacing w:line="440" w:lineRule="exact"/>
              <w:jc w:val="center"/>
              <w:rPr>
                <w:rFonts w:hAnsi="宋体" w:cs="宋体"/>
                <w:color w:val="auto"/>
                <w:sz w:val="24"/>
                <w:szCs w:val="24"/>
              </w:rPr>
            </w:pPr>
          </w:p>
        </w:tc>
        <w:tc>
          <w:tcPr>
            <w:tcW w:w="2109" w:type="dxa"/>
            <w:vAlign w:val="center"/>
          </w:tcPr>
          <w:p w14:paraId="13772EC1">
            <w:pPr>
              <w:pStyle w:val="16"/>
              <w:spacing w:line="440" w:lineRule="exact"/>
              <w:jc w:val="center"/>
              <w:rPr>
                <w:rFonts w:hAnsi="宋体" w:cs="宋体"/>
                <w:color w:val="auto"/>
                <w:sz w:val="24"/>
                <w:szCs w:val="24"/>
              </w:rPr>
            </w:pPr>
          </w:p>
        </w:tc>
        <w:tc>
          <w:tcPr>
            <w:tcW w:w="1245" w:type="dxa"/>
            <w:vAlign w:val="center"/>
          </w:tcPr>
          <w:p w14:paraId="5E496FAA">
            <w:pPr>
              <w:pStyle w:val="16"/>
              <w:spacing w:line="440" w:lineRule="exact"/>
              <w:jc w:val="center"/>
              <w:rPr>
                <w:rFonts w:hAnsi="宋体" w:cs="宋体"/>
                <w:color w:val="auto"/>
                <w:sz w:val="24"/>
                <w:szCs w:val="24"/>
              </w:rPr>
            </w:pPr>
          </w:p>
        </w:tc>
      </w:tr>
      <w:tr w14:paraId="122F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997" w:type="dxa"/>
            <w:vAlign w:val="center"/>
          </w:tcPr>
          <w:p w14:paraId="37FA2D62">
            <w:pPr>
              <w:pStyle w:val="16"/>
              <w:spacing w:line="300" w:lineRule="exact"/>
              <w:jc w:val="left"/>
              <w:rPr>
                <w:rFonts w:hAnsi="宋体" w:cs="宋体"/>
                <w:color w:val="auto"/>
                <w:sz w:val="24"/>
                <w:szCs w:val="24"/>
              </w:rPr>
            </w:pPr>
          </w:p>
        </w:tc>
        <w:tc>
          <w:tcPr>
            <w:tcW w:w="3908" w:type="dxa"/>
            <w:vAlign w:val="center"/>
          </w:tcPr>
          <w:p w14:paraId="13ABE61D">
            <w:pPr>
              <w:pStyle w:val="16"/>
              <w:spacing w:line="440" w:lineRule="exact"/>
              <w:jc w:val="center"/>
              <w:rPr>
                <w:rFonts w:hAnsi="宋体" w:cs="宋体"/>
                <w:color w:val="auto"/>
                <w:sz w:val="24"/>
                <w:szCs w:val="24"/>
              </w:rPr>
            </w:pPr>
          </w:p>
        </w:tc>
        <w:tc>
          <w:tcPr>
            <w:tcW w:w="2109" w:type="dxa"/>
            <w:vAlign w:val="center"/>
          </w:tcPr>
          <w:p w14:paraId="44A7B463">
            <w:pPr>
              <w:pStyle w:val="16"/>
              <w:spacing w:line="440" w:lineRule="exact"/>
              <w:jc w:val="center"/>
              <w:rPr>
                <w:rFonts w:hAnsi="宋体" w:cs="宋体"/>
                <w:color w:val="auto"/>
                <w:sz w:val="24"/>
                <w:szCs w:val="24"/>
              </w:rPr>
            </w:pPr>
          </w:p>
        </w:tc>
        <w:tc>
          <w:tcPr>
            <w:tcW w:w="1245" w:type="dxa"/>
            <w:vAlign w:val="center"/>
          </w:tcPr>
          <w:p w14:paraId="70C0093C">
            <w:pPr>
              <w:pStyle w:val="16"/>
              <w:spacing w:line="440" w:lineRule="exact"/>
              <w:jc w:val="center"/>
              <w:rPr>
                <w:rFonts w:hAnsi="宋体" w:cs="宋体"/>
                <w:color w:val="auto"/>
                <w:sz w:val="24"/>
                <w:szCs w:val="24"/>
              </w:rPr>
            </w:pPr>
          </w:p>
        </w:tc>
      </w:tr>
      <w:tr w14:paraId="6CE5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997" w:type="dxa"/>
            <w:vAlign w:val="center"/>
          </w:tcPr>
          <w:p w14:paraId="3B2CDD1C">
            <w:pPr>
              <w:pStyle w:val="16"/>
              <w:spacing w:line="300" w:lineRule="exact"/>
              <w:jc w:val="left"/>
              <w:rPr>
                <w:rFonts w:hAnsi="宋体" w:cs="宋体"/>
                <w:color w:val="auto"/>
                <w:sz w:val="24"/>
                <w:szCs w:val="24"/>
              </w:rPr>
            </w:pPr>
          </w:p>
        </w:tc>
        <w:tc>
          <w:tcPr>
            <w:tcW w:w="3908" w:type="dxa"/>
            <w:vAlign w:val="center"/>
          </w:tcPr>
          <w:p w14:paraId="432B41E8">
            <w:pPr>
              <w:pStyle w:val="16"/>
              <w:spacing w:line="440" w:lineRule="exact"/>
              <w:jc w:val="center"/>
              <w:rPr>
                <w:rFonts w:hAnsi="宋体" w:cs="宋体"/>
                <w:color w:val="auto"/>
                <w:sz w:val="24"/>
                <w:szCs w:val="24"/>
              </w:rPr>
            </w:pPr>
          </w:p>
        </w:tc>
        <w:tc>
          <w:tcPr>
            <w:tcW w:w="2109" w:type="dxa"/>
            <w:vAlign w:val="center"/>
          </w:tcPr>
          <w:p w14:paraId="6D8C26BD">
            <w:pPr>
              <w:pStyle w:val="16"/>
              <w:spacing w:line="440" w:lineRule="exact"/>
              <w:jc w:val="center"/>
              <w:rPr>
                <w:rFonts w:hAnsi="宋体" w:cs="宋体"/>
                <w:color w:val="auto"/>
                <w:sz w:val="24"/>
                <w:szCs w:val="24"/>
              </w:rPr>
            </w:pPr>
          </w:p>
        </w:tc>
        <w:tc>
          <w:tcPr>
            <w:tcW w:w="1245" w:type="dxa"/>
            <w:vAlign w:val="center"/>
          </w:tcPr>
          <w:p w14:paraId="34B7091C">
            <w:pPr>
              <w:pStyle w:val="16"/>
              <w:spacing w:line="440" w:lineRule="exact"/>
              <w:jc w:val="center"/>
              <w:rPr>
                <w:rFonts w:hAnsi="宋体" w:cs="宋体"/>
                <w:color w:val="auto"/>
                <w:sz w:val="24"/>
                <w:szCs w:val="24"/>
              </w:rPr>
            </w:pPr>
          </w:p>
        </w:tc>
      </w:tr>
    </w:tbl>
    <w:p w14:paraId="359823CC">
      <w:pPr>
        <w:spacing w:line="480" w:lineRule="exact"/>
        <w:ind w:firstLine="480" w:firstLineChars="200"/>
        <w:rPr>
          <w:rFonts w:ascii="宋体" w:hAnsi="宋体"/>
          <w:color w:val="auto"/>
          <w:kern w:val="0"/>
          <w:sz w:val="24"/>
        </w:rPr>
      </w:pPr>
      <w:r>
        <w:rPr>
          <w:rFonts w:hint="eastAsia" w:ascii="宋体" w:hAnsi="宋体"/>
          <w:color w:val="auto"/>
          <w:kern w:val="0"/>
          <w:sz w:val="24"/>
        </w:rPr>
        <w:t>注：</w:t>
      </w:r>
    </w:p>
    <w:p w14:paraId="28A20B93">
      <w:pPr>
        <w:spacing w:line="480" w:lineRule="exact"/>
        <w:ind w:firstLine="424" w:firstLineChars="177"/>
        <w:rPr>
          <w:rFonts w:ascii="宋体" w:hAnsi="宋体"/>
          <w:color w:val="auto"/>
          <w:kern w:val="0"/>
          <w:sz w:val="24"/>
        </w:rPr>
      </w:pPr>
      <w:r>
        <w:rPr>
          <w:rFonts w:hint="eastAsia" w:ascii="宋体" w:hAnsi="宋体"/>
          <w:color w:val="auto"/>
          <w:kern w:val="0"/>
          <w:sz w:val="24"/>
        </w:rPr>
        <w:t>1.应对照文件“采购需求”中的技术、商务条款逐条实质性响应，否则响应无效。</w:t>
      </w:r>
    </w:p>
    <w:p w14:paraId="293AD28A">
      <w:pPr>
        <w:spacing w:line="480" w:lineRule="exact"/>
        <w:ind w:firstLine="424" w:firstLineChars="177"/>
        <w:rPr>
          <w:rFonts w:hint="eastAsia" w:ascii="宋体" w:hAnsi="宋体"/>
          <w:color w:val="auto"/>
          <w:kern w:val="0"/>
          <w:sz w:val="24"/>
        </w:rPr>
      </w:pPr>
    </w:p>
    <w:p w14:paraId="5D6B56C7">
      <w:pPr>
        <w:pStyle w:val="19"/>
        <w:spacing w:before="0" w:line="480" w:lineRule="exact"/>
        <w:ind w:left="0" w:leftChars="0" w:firstLine="0" w:firstLineChars="0"/>
        <w:jc w:val="both"/>
        <w:rPr>
          <w:color w:val="auto"/>
        </w:rPr>
      </w:pPr>
    </w:p>
    <w:p w14:paraId="79ED0328">
      <w:pPr>
        <w:snapToGrid w:val="0"/>
        <w:spacing w:line="480" w:lineRule="exact"/>
        <w:ind w:right="-817" w:rightChars="-389"/>
        <w:jc w:val="center"/>
        <w:rPr>
          <w:rFonts w:ascii="宋体" w:hAnsi="宋体" w:cs="仿宋_GB2312"/>
          <w:color w:val="auto"/>
          <w:sz w:val="24"/>
        </w:rPr>
      </w:pPr>
      <w:r>
        <w:rPr>
          <w:rFonts w:hint="eastAsia" w:ascii="宋体" w:hAnsi="宋体" w:cs="仿宋_GB2312"/>
          <w:color w:val="auto"/>
          <w:sz w:val="24"/>
        </w:rPr>
        <w:t xml:space="preserve">                法定代表人或者其委托代理人（签字）：</w:t>
      </w:r>
    </w:p>
    <w:p w14:paraId="149F00D5">
      <w:pPr>
        <w:snapToGrid w:val="0"/>
        <w:spacing w:line="480" w:lineRule="exact"/>
        <w:ind w:right="-817" w:rightChars="-389" w:firstLine="3840" w:firstLineChars="1600"/>
        <w:rPr>
          <w:rFonts w:ascii="宋体" w:hAnsi="宋体" w:cs="仿宋_GB2312"/>
          <w:color w:val="auto"/>
          <w:sz w:val="24"/>
        </w:rPr>
      </w:pPr>
      <w:r>
        <w:rPr>
          <w:rFonts w:hint="eastAsia" w:ascii="宋体" w:hAnsi="宋体" w:cs="仿宋_GB2312"/>
          <w:color w:val="auto"/>
          <w:sz w:val="24"/>
        </w:rPr>
        <w:t xml:space="preserve">供应商（盖公章）：      </w:t>
      </w:r>
    </w:p>
    <w:p w14:paraId="2E4F01FD">
      <w:pPr>
        <w:snapToGrid w:val="0"/>
        <w:spacing w:line="480" w:lineRule="exact"/>
        <w:ind w:right="-817" w:rightChars="-389" w:firstLine="3840" w:firstLineChars="1600"/>
        <w:rPr>
          <w:color w:val="auto"/>
        </w:rPr>
      </w:pPr>
      <w:r>
        <w:rPr>
          <w:rFonts w:hint="eastAsia" w:ascii="宋体" w:hAnsi="宋体" w:cs="仿宋_GB2312"/>
          <w:color w:val="auto"/>
          <w:sz w:val="24"/>
        </w:rPr>
        <w:t>日期：     年     月     日</w:t>
      </w:r>
    </w:p>
    <w:sectPr>
      <w:footerReference r:id="rId3" w:type="default"/>
      <w:pgSz w:w="11906" w:h="16838"/>
      <w:pgMar w:top="1304" w:right="1474" w:bottom="1304"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BDD69B-1EE5-4AD4-9155-FAB92DC2406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2" w:fontKey="{AC41EE9C-E9D4-4D1A-A4FE-B85934EB8680}"/>
  </w:font>
  <w:font w:name="华文中宋">
    <w:panose1 w:val="02010600040101010101"/>
    <w:charset w:val="86"/>
    <w:family w:val="auto"/>
    <w:pitch w:val="default"/>
    <w:sig w:usb0="00000287" w:usb1="080F0000" w:usb2="00000000" w:usb3="00000000" w:csb0="0004009F" w:csb1="DFD70000"/>
    <w:embedRegular r:id="rId3" w:fontKey="{C97E24AE-721D-47EB-84DB-7FE84E513F1A}"/>
  </w:font>
  <w:font w:name="仿宋_GB2312">
    <w:panose1 w:val="02010609030101010101"/>
    <w:charset w:val="86"/>
    <w:family w:val="modern"/>
    <w:pitch w:val="default"/>
    <w:sig w:usb0="00000001" w:usb1="080E0000" w:usb2="00000000" w:usb3="00000000" w:csb0="00040000" w:csb1="00000000"/>
    <w:embedRegular r:id="rId4" w:fontKey="{D7F52F9E-FFD9-4B50-9760-21116DF87EA6}"/>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2D84">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C528A6">
                          <w:pPr>
                            <w:pStyle w:val="2"/>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03C528A6">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F49D"/>
    <w:multiLevelType w:val="singleLevel"/>
    <w:tmpl w:val="9BC8F49D"/>
    <w:lvl w:ilvl="0" w:tentative="0">
      <w:start w:val="1"/>
      <w:numFmt w:val="chineseCounting"/>
      <w:suff w:val="space"/>
      <w:lvlText w:val="第%1条"/>
      <w:lvlJc w:val="left"/>
      <w:rPr>
        <w:rFonts w:hint="eastAsia"/>
      </w:rPr>
    </w:lvl>
  </w:abstractNum>
  <w:abstractNum w:abstractNumId="1">
    <w:nsid w:val="6A1942B3"/>
    <w:multiLevelType w:val="singleLevel"/>
    <w:tmpl w:val="6A1942B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56703D"/>
    <w:rsid w:val="001002FF"/>
    <w:rsid w:val="001541F1"/>
    <w:rsid w:val="00274075"/>
    <w:rsid w:val="002B2E32"/>
    <w:rsid w:val="002F5A37"/>
    <w:rsid w:val="002F74F2"/>
    <w:rsid w:val="003E1A9C"/>
    <w:rsid w:val="00400933"/>
    <w:rsid w:val="00404CE2"/>
    <w:rsid w:val="004732D2"/>
    <w:rsid w:val="0061479A"/>
    <w:rsid w:val="006F1F21"/>
    <w:rsid w:val="008019E4"/>
    <w:rsid w:val="008E4CB8"/>
    <w:rsid w:val="00A03602"/>
    <w:rsid w:val="00A6482E"/>
    <w:rsid w:val="00B67925"/>
    <w:rsid w:val="00BE012C"/>
    <w:rsid w:val="00C25900"/>
    <w:rsid w:val="00EC4367"/>
    <w:rsid w:val="022A49B8"/>
    <w:rsid w:val="02BA3804"/>
    <w:rsid w:val="035D2013"/>
    <w:rsid w:val="042407A9"/>
    <w:rsid w:val="0549044B"/>
    <w:rsid w:val="056E524F"/>
    <w:rsid w:val="067266D3"/>
    <w:rsid w:val="074E3BF0"/>
    <w:rsid w:val="083C3D2C"/>
    <w:rsid w:val="087B482C"/>
    <w:rsid w:val="08FE3A67"/>
    <w:rsid w:val="09771E2B"/>
    <w:rsid w:val="09B04C16"/>
    <w:rsid w:val="0C486A71"/>
    <w:rsid w:val="0E88740A"/>
    <w:rsid w:val="0E9E2E58"/>
    <w:rsid w:val="0F1A2B96"/>
    <w:rsid w:val="10135B5C"/>
    <w:rsid w:val="105D4A79"/>
    <w:rsid w:val="11550431"/>
    <w:rsid w:val="11DC79CE"/>
    <w:rsid w:val="1209447B"/>
    <w:rsid w:val="125375BF"/>
    <w:rsid w:val="12736216"/>
    <w:rsid w:val="12A95458"/>
    <w:rsid w:val="12B72688"/>
    <w:rsid w:val="131629AB"/>
    <w:rsid w:val="131B089B"/>
    <w:rsid w:val="13D5460A"/>
    <w:rsid w:val="140515D2"/>
    <w:rsid w:val="142273EA"/>
    <w:rsid w:val="14D833E2"/>
    <w:rsid w:val="179E54B4"/>
    <w:rsid w:val="17AD6435"/>
    <w:rsid w:val="181E1475"/>
    <w:rsid w:val="18620D7A"/>
    <w:rsid w:val="18E7262C"/>
    <w:rsid w:val="194B0B92"/>
    <w:rsid w:val="1956703D"/>
    <w:rsid w:val="1A1742B6"/>
    <w:rsid w:val="1A7350D8"/>
    <w:rsid w:val="1BBE4118"/>
    <w:rsid w:val="1C8670CE"/>
    <w:rsid w:val="1C9E7740"/>
    <w:rsid w:val="1D3728BF"/>
    <w:rsid w:val="1D3B6D39"/>
    <w:rsid w:val="1DA87635"/>
    <w:rsid w:val="1E07245C"/>
    <w:rsid w:val="1E0D5462"/>
    <w:rsid w:val="1FBD0FEE"/>
    <w:rsid w:val="20870D19"/>
    <w:rsid w:val="22016088"/>
    <w:rsid w:val="22993218"/>
    <w:rsid w:val="22AB5981"/>
    <w:rsid w:val="233E35A4"/>
    <w:rsid w:val="242D4168"/>
    <w:rsid w:val="24886C7F"/>
    <w:rsid w:val="261230D7"/>
    <w:rsid w:val="26692C85"/>
    <w:rsid w:val="266B76F9"/>
    <w:rsid w:val="26B36639"/>
    <w:rsid w:val="2755631B"/>
    <w:rsid w:val="277303F6"/>
    <w:rsid w:val="27951921"/>
    <w:rsid w:val="27A317FA"/>
    <w:rsid w:val="27FF5E1C"/>
    <w:rsid w:val="28E3058E"/>
    <w:rsid w:val="291521F4"/>
    <w:rsid w:val="29234A0A"/>
    <w:rsid w:val="298813D2"/>
    <w:rsid w:val="29D25B2C"/>
    <w:rsid w:val="2B161A0E"/>
    <w:rsid w:val="2C222B46"/>
    <w:rsid w:val="2C4C13CF"/>
    <w:rsid w:val="2C5D258E"/>
    <w:rsid w:val="2C8D7570"/>
    <w:rsid w:val="2CB523E7"/>
    <w:rsid w:val="2F013A09"/>
    <w:rsid w:val="2F1B6BEC"/>
    <w:rsid w:val="303D4B26"/>
    <w:rsid w:val="30AC0423"/>
    <w:rsid w:val="33522AD5"/>
    <w:rsid w:val="34464325"/>
    <w:rsid w:val="35793D59"/>
    <w:rsid w:val="35E203F2"/>
    <w:rsid w:val="369849BD"/>
    <w:rsid w:val="378D146B"/>
    <w:rsid w:val="37EA6999"/>
    <w:rsid w:val="381E08E8"/>
    <w:rsid w:val="388838DD"/>
    <w:rsid w:val="3E2154A9"/>
    <w:rsid w:val="3EE71D42"/>
    <w:rsid w:val="3F4D4411"/>
    <w:rsid w:val="41411E71"/>
    <w:rsid w:val="41DD3641"/>
    <w:rsid w:val="41F4499C"/>
    <w:rsid w:val="42BD3217"/>
    <w:rsid w:val="42F41881"/>
    <w:rsid w:val="43E4263E"/>
    <w:rsid w:val="45FF33D0"/>
    <w:rsid w:val="466716C1"/>
    <w:rsid w:val="46B80D3C"/>
    <w:rsid w:val="471C535D"/>
    <w:rsid w:val="474F17A4"/>
    <w:rsid w:val="47653168"/>
    <w:rsid w:val="47CF1AF0"/>
    <w:rsid w:val="48D069A9"/>
    <w:rsid w:val="499551BB"/>
    <w:rsid w:val="4A644438"/>
    <w:rsid w:val="4A9B238B"/>
    <w:rsid w:val="4C5B43F5"/>
    <w:rsid w:val="4D781588"/>
    <w:rsid w:val="4E8A724A"/>
    <w:rsid w:val="4FC10457"/>
    <w:rsid w:val="51111E0B"/>
    <w:rsid w:val="52446438"/>
    <w:rsid w:val="5268120F"/>
    <w:rsid w:val="529F51CF"/>
    <w:rsid w:val="53AD47E7"/>
    <w:rsid w:val="543A72F3"/>
    <w:rsid w:val="54CB7363"/>
    <w:rsid w:val="55652EB2"/>
    <w:rsid w:val="55F117A9"/>
    <w:rsid w:val="56C675F5"/>
    <w:rsid w:val="573D7AE9"/>
    <w:rsid w:val="57F64296"/>
    <w:rsid w:val="58542CCC"/>
    <w:rsid w:val="5A2F4951"/>
    <w:rsid w:val="5A4E0E3F"/>
    <w:rsid w:val="5AB67087"/>
    <w:rsid w:val="5AC00605"/>
    <w:rsid w:val="5CD35655"/>
    <w:rsid w:val="5CE84AF5"/>
    <w:rsid w:val="5F094D18"/>
    <w:rsid w:val="5F296D65"/>
    <w:rsid w:val="5F475641"/>
    <w:rsid w:val="60EC092C"/>
    <w:rsid w:val="611F5809"/>
    <w:rsid w:val="61526439"/>
    <w:rsid w:val="61814DCA"/>
    <w:rsid w:val="61A570C7"/>
    <w:rsid w:val="61BF3E51"/>
    <w:rsid w:val="62B00ACD"/>
    <w:rsid w:val="632E63C8"/>
    <w:rsid w:val="63814548"/>
    <w:rsid w:val="6443785A"/>
    <w:rsid w:val="652D2D12"/>
    <w:rsid w:val="66060B8A"/>
    <w:rsid w:val="66CD7DF5"/>
    <w:rsid w:val="67D6571B"/>
    <w:rsid w:val="67E061A2"/>
    <w:rsid w:val="6C230F8C"/>
    <w:rsid w:val="6C584509"/>
    <w:rsid w:val="6C8F4053"/>
    <w:rsid w:val="6C942943"/>
    <w:rsid w:val="6F967E8F"/>
    <w:rsid w:val="70DD1C50"/>
    <w:rsid w:val="712F0439"/>
    <w:rsid w:val="713559D7"/>
    <w:rsid w:val="71814C97"/>
    <w:rsid w:val="72286462"/>
    <w:rsid w:val="723C5278"/>
    <w:rsid w:val="726427AB"/>
    <w:rsid w:val="72794720"/>
    <w:rsid w:val="73BD5027"/>
    <w:rsid w:val="73E6059D"/>
    <w:rsid w:val="74123DAE"/>
    <w:rsid w:val="75314551"/>
    <w:rsid w:val="7548217D"/>
    <w:rsid w:val="75B279F9"/>
    <w:rsid w:val="76D837C2"/>
    <w:rsid w:val="76D975E1"/>
    <w:rsid w:val="7808174F"/>
    <w:rsid w:val="78470B4A"/>
    <w:rsid w:val="785E4B71"/>
    <w:rsid w:val="7B364826"/>
    <w:rsid w:val="7C881A37"/>
    <w:rsid w:val="7CC33E15"/>
    <w:rsid w:val="7E1D338F"/>
    <w:rsid w:val="7E2E5107"/>
    <w:rsid w:val="7EC8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paragraph" w:styleId="4">
    <w:name w:val="heading 2"/>
    <w:basedOn w:val="1"/>
    <w:next w:val="5"/>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5">
    <w:name w:val="Normal Indent"/>
    <w:basedOn w:val="1"/>
    <w:qFormat/>
    <w:uiPriority w:val="0"/>
    <w:pPr>
      <w:widowControl/>
      <w:ind w:firstLine="420"/>
      <w:jc w:val="left"/>
    </w:pPr>
    <w:rPr>
      <w:kern w:val="0"/>
      <w:sz w:val="20"/>
      <w:szCs w:val="20"/>
    </w:rPr>
  </w:style>
  <w:style w:type="paragraph" w:styleId="8">
    <w:name w:val="index 8"/>
    <w:basedOn w:val="1"/>
    <w:next w:val="1"/>
    <w:unhideWhenUsed/>
    <w:qFormat/>
    <w:uiPriority w:val="0"/>
    <w:pPr>
      <w:ind w:left="2940"/>
    </w:pPr>
  </w:style>
  <w:style w:type="paragraph" w:styleId="9">
    <w:name w:val="toa heading"/>
    <w:basedOn w:val="1"/>
    <w:next w:val="1"/>
    <w:unhideWhenUsed/>
    <w:qFormat/>
    <w:uiPriority w:val="99"/>
    <w:pPr>
      <w:spacing w:before="120"/>
    </w:pPr>
    <w:rPr>
      <w:rFonts w:ascii="Arial" w:hAnsi="Arial"/>
      <w:sz w:val="24"/>
    </w:rPr>
  </w:style>
  <w:style w:type="paragraph" w:styleId="10">
    <w:name w:val="annotation text"/>
    <w:basedOn w:val="1"/>
    <w:link w:val="45"/>
    <w:qFormat/>
    <w:uiPriority w:val="0"/>
    <w:pPr>
      <w:jc w:val="left"/>
    </w:pPr>
  </w:style>
  <w:style w:type="paragraph" w:styleId="11">
    <w:name w:val="Body Text"/>
    <w:basedOn w:val="1"/>
    <w:next w:val="1"/>
    <w:qFormat/>
    <w:uiPriority w:val="0"/>
    <w:pPr>
      <w:spacing w:after="120"/>
    </w:pPr>
  </w:style>
  <w:style w:type="paragraph" w:styleId="12">
    <w:name w:val="Body Text Indent"/>
    <w:basedOn w:val="1"/>
    <w:next w:val="13"/>
    <w:qFormat/>
    <w:uiPriority w:val="0"/>
    <w:pPr>
      <w:spacing w:line="460" w:lineRule="exact"/>
      <w:ind w:firstLine="560"/>
    </w:pPr>
    <w:rPr>
      <w:sz w:val="28"/>
      <w:szCs w:val="20"/>
    </w:rPr>
  </w:style>
  <w:style w:type="paragraph" w:styleId="13">
    <w:name w:val="envelope return"/>
    <w:basedOn w:val="1"/>
    <w:qFormat/>
    <w:uiPriority w:val="0"/>
    <w:pPr>
      <w:snapToGrid w:val="0"/>
    </w:pPr>
    <w:rPr>
      <w:rFonts w:ascii="Arial" w:hAnsi="Arial"/>
    </w:rPr>
  </w:style>
  <w:style w:type="paragraph" w:styleId="14">
    <w:name w:val="index 4"/>
    <w:basedOn w:val="1"/>
    <w:next w:val="1"/>
    <w:unhideWhenUsed/>
    <w:qFormat/>
    <w:uiPriority w:val="99"/>
    <w:pPr>
      <w:ind w:left="600" w:leftChars="600"/>
    </w:pPr>
    <w:rPr>
      <w:rFonts w:ascii="Verdana" w:hAnsi="Verdana"/>
      <w:szCs w:val="20"/>
    </w:rPr>
  </w:style>
  <w:style w:type="paragraph" w:styleId="15">
    <w:name w:val="toc 3"/>
    <w:basedOn w:val="1"/>
    <w:next w:val="1"/>
    <w:unhideWhenUsed/>
    <w:qFormat/>
    <w:uiPriority w:val="39"/>
    <w:pPr>
      <w:ind w:left="840" w:leftChars="400"/>
    </w:pPr>
  </w:style>
  <w:style w:type="paragraph" w:styleId="16">
    <w:name w:val="Plain Text"/>
    <w:basedOn w:val="1"/>
    <w:next w:val="7"/>
    <w:qFormat/>
    <w:uiPriority w:val="0"/>
    <w:rPr>
      <w:rFonts w:ascii="宋体" w:hAnsi="Courier New"/>
      <w:kern w:val="0"/>
      <w:sz w:val="20"/>
      <w:szCs w:val="20"/>
    </w:rPr>
  </w:style>
  <w:style w:type="paragraph" w:styleId="17">
    <w:name w:val="Balloon Text"/>
    <w:basedOn w:val="1"/>
    <w:link w:val="47"/>
    <w:qFormat/>
    <w:uiPriority w:val="0"/>
    <w:rPr>
      <w:sz w:val="18"/>
      <w:szCs w:val="18"/>
    </w:rPr>
  </w:style>
  <w:style w:type="paragraph" w:styleId="18">
    <w:name w:val="Body Text 2"/>
    <w:basedOn w:val="1"/>
    <w:qFormat/>
    <w:uiPriority w:val="0"/>
    <w:pPr>
      <w:spacing w:after="120" w:line="480" w:lineRule="auto"/>
    </w:pPr>
    <w:rPr>
      <w:szCs w:val="20"/>
    </w:rPr>
  </w:style>
  <w:style w:type="paragraph" w:styleId="19">
    <w:name w:val="Title"/>
    <w:basedOn w:val="1"/>
    <w:next w:val="1"/>
    <w:qFormat/>
    <w:uiPriority w:val="1"/>
    <w:pPr>
      <w:spacing w:before="171"/>
      <w:ind w:left="2520" w:right="2556"/>
      <w:jc w:val="center"/>
    </w:pPr>
    <w:rPr>
      <w:rFonts w:ascii="宋体" w:hAnsi="宋体" w:cs="宋体"/>
      <w:sz w:val="44"/>
      <w:szCs w:val="44"/>
    </w:rPr>
  </w:style>
  <w:style w:type="paragraph" w:styleId="20">
    <w:name w:val="annotation subject"/>
    <w:basedOn w:val="10"/>
    <w:next w:val="10"/>
    <w:link w:val="46"/>
    <w:qFormat/>
    <w:uiPriority w:val="0"/>
    <w:rPr>
      <w:b/>
      <w:bCs/>
    </w:rPr>
  </w:style>
  <w:style w:type="paragraph" w:styleId="21">
    <w:name w:val="Body Text First Indent 2"/>
    <w:basedOn w:val="12"/>
    <w:qFormat/>
    <w:uiPriority w:val="99"/>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unhideWhenUsed/>
    <w:qFormat/>
    <w:uiPriority w:val="99"/>
    <w:rPr>
      <w:sz w:val="21"/>
      <w:szCs w:val="21"/>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列出段落1"/>
    <w:basedOn w:val="1"/>
    <w:qFormat/>
    <w:uiPriority w:val="34"/>
    <w:pPr>
      <w:ind w:firstLine="420" w:firstLineChars="200"/>
    </w:pPr>
    <w:rPr>
      <w:rFonts w:ascii="Calibri" w:hAnsi="Calibri"/>
      <w:sz w:val="24"/>
      <w:szCs w:val="22"/>
    </w:rPr>
  </w:style>
  <w:style w:type="paragraph" w:customStyle="1" w:styleId="31">
    <w:name w:val="样式 正文文本缩进 + 首行缩进:  2 字符 行距: 1.5 倍行距"/>
    <w:basedOn w:val="12"/>
    <w:qFormat/>
    <w:uiPriority w:val="0"/>
    <w:rPr>
      <w:rFonts w:cs="宋体"/>
    </w:rPr>
  </w:style>
  <w:style w:type="paragraph" w:customStyle="1" w:styleId="32">
    <w:name w:val="**正文"/>
    <w:basedOn w:val="1"/>
    <w:qFormat/>
    <w:uiPriority w:val="0"/>
    <w:pPr>
      <w:ind w:firstLine="482"/>
    </w:pPr>
    <w:rPr>
      <w:rFonts w:ascii="宋体" w:hAnsi="宋体"/>
      <w:sz w:val="24"/>
    </w:rPr>
  </w:style>
  <w:style w:type="paragraph" w:customStyle="1" w:styleId="33">
    <w:name w:val="BodyText"/>
    <w:basedOn w:val="1"/>
    <w:qFormat/>
    <w:uiPriority w:val="0"/>
    <w:pPr>
      <w:spacing w:line="380" w:lineRule="exact"/>
    </w:pPr>
    <w:rPr>
      <w:sz w:val="24"/>
    </w:rPr>
  </w:style>
  <w:style w:type="paragraph" w:customStyle="1" w:styleId="34">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5">
    <w:name w:val="Table Text"/>
    <w:basedOn w:val="1"/>
    <w:semiHidden/>
    <w:qFormat/>
    <w:uiPriority w:val="0"/>
    <w:rPr>
      <w:rFonts w:ascii="宋体" w:hAnsi="宋体" w:cs="宋体"/>
      <w:sz w:val="20"/>
      <w:szCs w:val="20"/>
      <w:lang w:eastAsia="en-US"/>
    </w:rPr>
  </w:style>
  <w:style w:type="paragraph" w:styleId="36">
    <w:name w:val="List Paragraph"/>
    <w:basedOn w:val="1"/>
    <w:qFormat/>
    <w:uiPriority w:val="1"/>
    <w:pPr>
      <w:ind w:left="218" w:firstLine="424"/>
    </w:pPr>
    <w:rPr>
      <w:rFonts w:ascii="宋体" w:hAnsi="宋体" w:cs="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p0"/>
    <w:basedOn w:val="1"/>
    <w:qFormat/>
    <w:uiPriority w:val="0"/>
    <w:pPr>
      <w:widowControl/>
    </w:pPr>
    <w:rPr>
      <w:rFonts w:ascii="Calibri" w:hAnsi="Calibri" w:cs="宋体"/>
      <w:kern w:val="0"/>
      <w:szCs w:val="21"/>
    </w:rPr>
  </w:style>
  <w:style w:type="paragraph" w:customStyle="1" w:styleId="39">
    <w:name w:val="首行缩进"/>
    <w:basedOn w:val="1"/>
    <w:qFormat/>
    <w:uiPriority w:val="0"/>
    <w:pPr>
      <w:ind w:firstLine="480" w:firstLineChars="200"/>
    </w:pPr>
  </w:style>
  <w:style w:type="paragraph" w:styleId="4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1">
    <w:name w:val="Null"/>
    <w:qFormat/>
    <w:uiPriority w:val="0"/>
    <w:pPr>
      <w:jc w:val="both"/>
    </w:pPr>
    <w:rPr>
      <w:rFonts w:ascii="Calibri" w:hAnsi="Calibri" w:eastAsia="宋体" w:cs="Times New Roman"/>
      <w:kern w:val="2"/>
      <w:sz w:val="21"/>
      <w:szCs w:val="21"/>
      <w:lang w:val="en-US" w:eastAsia="zh-CN" w:bidi="ar-SA"/>
    </w:rPr>
  </w:style>
  <w:style w:type="character" w:customStyle="1" w:styleId="42">
    <w:name w:val="NormalCharacter"/>
    <w:semiHidden/>
    <w:qFormat/>
    <w:uiPriority w:val="0"/>
  </w:style>
  <w:style w:type="paragraph" w:customStyle="1" w:styleId="43">
    <w:name w:val="Blockquote"/>
    <w:basedOn w:val="1"/>
    <w:qFormat/>
    <w:uiPriority w:val="0"/>
    <w:pPr>
      <w:ind w:left="360" w:right="360"/>
    </w:pPr>
    <w:rPr>
      <w:rFonts w:hint="eastAsia"/>
    </w:rPr>
  </w:style>
  <w:style w:type="paragraph" w:customStyle="1" w:styleId="44">
    <w:name w:val="PlainText"/>
    <w:basedOn w:val="1"/>
    <w:qFormat/>
    <w:uiPriority w:val="0"/>
    <w:rPr>
      <w:rFonts w:ascii="宋体" w:hAnsi="Courier New"/>
      <w:szCs w:val="20"/>
    </w:rPr>
  </w:style>
  <w:style w:type="character" w:customStyle="1" w:styleId="45">
    <w:name w:val="批注文字 字符"/>
    <w:basedOn w:val="24"/>
    <w:link w:val="10"/>
    <w:qFormat/>
    <w:uiPriority w:val="0"/>
    <w:rPr>
      <w:rFonts w:ascii="Times New Roman" w:hAnsi="Times New Roman" w:eastAsia="宋体" w:cs="Times New Roman"/>
      <w:kern w:val="2"/>
      <w:sz w:val="21"/>
      <w:szCs w:val="24"/>
    </w:rPr>
  </w:style>
  <w:style w:type="character" w:customStyle="1" w:styleId="46">
    <w:name w:val="批注主题 字符"/>
    <w:basedOn w:val="45"/>
    <w:link w:val="20"/>
    <w:qFormat/>
    <w:uiPriority w:val="0"/>
    <w:rPr>
      <w:rFonts w:ascii="Times New Roman" w:hAnsi="Times New Roman" w:eastAsia="宋体" w:cs="Times New Roman"/>
      <w:b/>
      <w:bCs/>
      <w:kern w:val="2"/>
      <w:sz w:val="21"/>
      <w:szCs w:val="24"/>
    </w:rPr>
  </w:style>
  <w:style w:type="character" w:customStyle="1" w:styleId="47">
    <w:name w:val="批注框文本 字符"/>
    <w:basedOn w:val="24"/>
    <w:link w:val="17"/>
    <w:qFormat/>
    <w:uiPriority w:val="0"/>
    <w:rPr>
      <w:rFonts w:ascii="Times New Roman" w:hAnsi="Times New Roman" w:eastAsia="宋体" w:cs="Times New Roman"/>
      <w:kern w:val="2"/>
      <w:sz w:val="18"/>
      <w:szCs w:val="18"/>
    </w:rPr>
  </w:style>
  <w:style w:type="table" w:customStyle="1" w:styleId="48">
    <w:name w:val="Table Normal"/>
    <w:semiHidden/>
    <w:unhideWhenUsed/>
    <w:qFormat/>
    <w:uiPriority w:val="2"/>
    <w:tblPr>
      <w:tblCellMar>
        <w:top w:w="0" w:type="dxa"/>
        <w:left w:w="0" w:type="dxa"/>
        <w:bottom w:w="0" w:type="dxa"/>
        <w:right w:w="0" w:type="dxa"/>
      </w:tblCellMar>
    </w:tblPr>
  </w:style>
  <w:style w:type="paragraph" w:customStyle="1" w:styleId="49">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50">
    <w:name w:val="Table Paragraph"/>
    <w:basedOn w:val="1"/>
    <w:qFormat/>
    <w:uiPriority w:val="1"/>
    <w:pPr>
      <w:spacing w:before="65" w:line="317" w:lineRule="exact"/>
      <w:ind w:left="135"/>
      <w:jc w:val="center"/>
    </w:pPr>
    <w:rPr>
      <w:rFonts w:ascii="等线" w:hAnsi="等线" w:eastAsia="等线" w:cs="等线"/>
    </w:rPr>
  </w:style>
  <w:style w:type="paragraph" w:customStyle="1" w:styleId="51">
    <w:name w:val="正文呀2"/>
    <w:basedOn w:val="52"/>
    <w:qFormat/>
    <w:uiPriority w:val="0"/>
    <w:rPr>
      <w:rFonts w:eastAsia="Times New Roman"/>
    </w:rPr>
  </w:style>
  <w:style w:type="paragraph" w:customStyle="1" w:styleId="52">
    <w:name w:val="正文呀"/>
    <w:basedOn w:val="1"/>
    <w:qFormat/>
    <w:uiPriority w:val="0"/>
    <w:pPr>
      <w:spacing w:line="420" w:lineRule="exact"/>
      <w:ind w:firstLine="420" w:firstLineChars="200"/>
    </w:pPr>
    <w:rPr>
      <w:rFonts w:ascii="宋体" w:hAnsi="宋体"/>
      <w:szCs w:val="21"/>
    </w:rPr>
  </w:style>
  <w:style w:type="character" w:customStyle="1" w:styleId="53">
    <w:name w:val="font3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9936</Words>
  <Characters>10688</Characters>
  <Lines>106</Lines>
  <Paragraphs>30</Paragraphs>
  <TotalTime>17</TotalTime>
  <ScaleCrop>false</ScaleCrop>
  <LinksUpToDate>false</LinksUpToDate>
  <CharactersWithSpaces>11733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2025-12-01T17:31:00Z</dcterms:created>
  <dc:creator>H.小薇</dc:creator>
  <cp:lastModifiedBy>水晶海豚</cp:lastModifiedBy>
  <cp:lastPrinted>2025-06-24T02:56:00Z</cp:lastPrinted>
  <dcterms:modified xsi:type="dcterms:W3CDTF">2026-06-23T08:19:08Z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BFB0AA2B8F1B44B5B9401C04A2CA00EF_13</vt:lpwstr>
  </property>
  <property fmtid="{D5CDD505-2E9C-101B-9397-08002B2CF9AE}" pid="4" name="KSOTemplateDocerSaveRecord">
    <vt:lpwstr>eyJoZGlkIjoiMjU4OGYyYzk4NzIyNWIxNDRlYWY3YTgyY2I2YzVmNzgiLCJ1c2VySWQiOiIyNzI4OTA3MjUifQ==</vt:lpwstr>
  </property>
</Properties>
</file>