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7BF09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sz w:val="42"/>
          <w:szCs w:val="42"/>
        </w:rPr>
      </w:pPr>
      <w:bookmarkStart w:id="5" w:name="_GoBack"/>
      <w:bookmarkEnd w:id="5"/>
      <w:r>
        <w:rPr>
          <w:rFonts w:hint="eastAsia" w:asciiTheme="majorEastAsia" w:hAnsiTheme="majorEastAsia" w:eastAsiaTheme="majorEastAsia" w:cstheme="majorEastAsia"/>
          <w:b/>
          <w:bCs/>
          <w:sz w:val="42"/>
          <w:szCs w:val="42"/>
        </w:rPr>
        <w:t>需求</w:t>
      </w:r>
      <w:r>
        <w:rPr>
          <w:rFonts w:hint="eastAsia" w:asciiTheme="majorEastAsia" w:hAnsiTheme="majorEastAsia" w:eastAsiaTheme="majorEastAsia" w:cstheme="majorEastAsia"/>
          <w:b/>
          <w:bCs/>
          <w:sz w:val="42"/>
          <w:szCs w:val="42"/>
          <w:lang w:val="en-US" w:eastAsia="zh-CN"/>
        </w:rPr>
        <w:t>参数</w:t>
      </w:r>
      <w:r>
        <w:rPr>
          <w:rFonts w:hint="eastAsia" w:asciiTheme="majorEastAsia" w:hAnsiTheme="majorEastAsia" w:eastAsiaTheme="majorEastAsia" w:cstheme="majorEastAsia"/>
          <w:b/>
          <w:bCs/>
          <w:sz w:val="42"/>
          <w:szCs w:val="42"/>
        </w:rPr>
        <w:t>表</w:t>
      </w:r>
    </w:p>
    <w:p w14:paraId="774A1C8C">
      <w:pPr>
        <w:spacing w:line="360" w:lineRule="auto"/>
        <w:outlineLvl w:val="1"/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</w:rPr>
        <w:t>一、投标人的资格要求：</w:t>
      </w:r>
    </w:p>
    <w:p w14:paraId="03F85708">
      <w:pPr>
        <w:spacing w:line="360" w:lineRule="auto"/>
        <w:outlineLvl w:val="2"/>
        <w:rPr>
          <w:rFonts w:ascii="宋体" w:hAnsi="宋体"/>
          <w:color w:val="000000"/>
          <w:szCs w:val="21"/>
        </w:rPr>
      </w:pPr>
      <w:bookmarkStart w:id="0" w:name="_Toc18966"/>
      <w:bookmarkStart w:id="1" w:name="_Toc588"/>
      <w:bookmarkStart w:id="2" w:name="_Toc20843"/>
      <w:bookmarkStart w:id="3" w:name="_Toc14728"/>
      <w:bookmarkStart w:id="4" w:name="_Toc3851"/>
      <w:r>
        <w:rPr>
          <w:rFonts w:hint="eastAsia" w:ascii="宋体" w:hAnsi="宋体"/>
          <w:color w:val="000000"/>
          <w:szCs w:val="21"/>
        </w:rPr>
        <w:t>1.满足《中华人民共和国政府采购法》第二十二条规定；</w:t>
      </w:r>
      <w:bookmarkEnd w:id="0"/>
      <w:bookmarkEnd w:id="1"/>
      <w:bookmarkEnd w:id="2"/>
      <w:bookmarkEnd w:id="3"/>
      <w:bookmarkEnd w:id="4"/>
    </w:p>
    <w:p w14:paraId="78B04F19">
      <w:pPr>
        <w:snapToGrid w:val="0"/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szCs w:val="21"/>
        </w:rPr>
        <w:t>单位负责人为同一人或者存在直接控股、管理关系的不同供应商，不得参加同一合同项下的政府采购活动。</w:t>
      </w:r>
    </w:p>
    <w:p w14:paraId="7CA88D54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.对在“信用中国”网站(www.creditchina.gov.cn) 、中国政府采购网(www.ccgp.gov.cn)被列入失信被执行人、重大税收违法案件当事人名单、政府采购严重违法失信行为记录名单及其他不符合《中华人民共和国政府采购法》第二十二条规定条件的供应商，不得参与政府采购活动。</w:t>
      </w:r>
    </w:p>
    <w:tbl>
      <w:tblPr>
        <w:tblStyle w:val="7"/>
        <w:tblW w:w="43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1337"/>
        <w:gridCol w:w="525"/>
        <w:gridCol w:w="514"/>
        <w:gridCol w:w="1393"/>
        <w:gridCol w:w="1356"/>
        <w:gridCol w:w="1808"/>
      </w:tblGrid>
      <w:tr w14:paraId="3A4E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675060AA">
            <w:pPr>
              <w:spacing w:line="32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905" w:type="pct"/>
            <w:noWrap/>
            <w:vAlign w:val="center"/>
          </w:tcPr>
          <w:p w14:paraId="54C2075E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产品类目</w:t>
            </w:r>
          </w:p>
        </w:tc>
        <w:tc>
          <w:tcPr>
            <w:tcW w:w="355" w:type="pct"/>
            <w:noWrap/>
            <w:vAlign w:val="center"/>
          </w:tcPr>
          <w:p w14:paraId="6CA1ADF1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</w:t>
            </w:r>
          </w:p>
        </w:tc>
        <w:tc>
          <w:tcPr>
            <w:tcW w:w="348" w:type="pct"/>
            <w:noWrap/>
            <w:vAlign w:val="center"/>
          </w:tcPr>
          <w:p w14:paraId="337EC515">
            <w:pPr>
              <w:spacing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943" w:type="pct"/>
            <w:noWrap/>
            <w:vAlign w:val="center"/>
          </w:tcPr>
          <w:p w14:paraId="2AB511EB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单价</w:t>
            </w:r>
          </w:p>
          <w:p w14:paraId="14C5FD1D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（元）</w:t>
            </w:r>
          </w:p>
        </w:tc>
        <w:tc>
          <w:tcPr>
            <w:tcW w:w="918" w:type="pct"/>
            <w:noWrap/>
            <w:vAlign w:val="center"/>
          </w:tcPr>
          <w:p w14:paraId="5DBFD963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金额</w:t>
            </w:r>
          </w:p>
          <w:p w14:paraId="7B898F69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（元）</w:t>
            </w:r>
          </w:p>
        </w:tc>
        <w:tc>
          <w:tcPr>
            <w:tcW w:w="1224" w:type="pct"/>
            <w:noWrap/>
            <w:vAlign w:val="center"/>
          </w:tcPr>
          <w:p w14:paraId="1A3761E8">
            <w:pPr>
              <w:spacing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参数要求</w:t>
            </w:r>
          </w:p>
        </w:tc>
      </w:tr>
      <w:tr w14:paraId="64E5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2500010F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905" w:type="pct"/>
            <w:noWrap/>
            <w:vAlign w:val="center"/>
          </w:tcPr>
          <w:p w14:paraId="29158D4E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床垫类家具</w:t>
            </w:r>
          </w:p>
        </w:tc>
        <w:tc>
          <w:tcPr>
            <w:tcW w:w="355" w:type="pct"/>
            <w:noWrap/>
            <w:vAlign w:val="center"/>
          </w:tcPr>
          <w:p w14:paraId="0CDA7382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1361B742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236C34CE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12750</w:t>
            </w:r>
          </w:p>
        </w:tc>
        <w:tc>
          <w:tcPr>
            <w:tcW w:w="918" w:type="pct"/>
            <w:noWrap/>
            <w:vAlign w:val="center"/>
          </w:tcPr>
          <w:p w14:paraId="48AEEC35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12750</w:t>
            </w:r>
          </w:p>
        </w:tc>
        <w:tc>
          <w:tcPr>
            <w:tcW w:w="1224" w:type="pct"/>
            <w:noWrap/>
            <w:vAlign w:val="center"/>
          </w:tcPr>
          <w:p w14:paraId="37E6132B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详见附件1</w:t>
            </w:r>
          </w:p>
        </w:tc>
      </w:tr>
      <w:tr w14:paraId="6924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5DE52ED3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14:paraId="0ACC6DCD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1-2--7-8-9-10楼层家具</w:t>
            </w:r>
          </w:p>
        </w:tc>
        <w:tc>
          <w:tcPr>
            <w:tcW w:w="355" w:type="pct"/>
            <w:noWrap/>
            <w:vAlign w:val="center"/>
          </w:tcPr>
          <w:p w14:paraId="571C1F4B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2E5A312A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6159AFFD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347002.3</w:t>
            </w:r>
          </w:p>
        </w:tc>
        <w:tc>
          <w:tcPr>
            <w:tcW w:w="918" w:type="pct"/>
            <w:noWrap/>
            <w:vAlign w:val="center"/>
          </w:tcPr>
          <w:p w14:paraId="7A6F4FA8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347002.3</w:t>
            </w:r>
          </w:p>
        </w:tc>
        <w:tc>
          <w:tcPr>
            <w:tcW w:w="1224" w:type="pct"/>
            <w:noWrap/>
            <w:vAlign w:val="center"/>
          </w:tcPr>
          <w:p w14:paraId="28374DF5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详见附件1</w:t>
            </w:r>
          </w:p>
        </w:tc>
      </w:tr>
      <w:tr w14:paraId="7C0C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6D06ACFF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905" w:type="pct"/>
            <w:noWrap/>
            <w:vAlign w:val="center"/>
          </w:tcPr>
          <w:p w14:paraId="5B9963F1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3楼家具</w:t>
            </w:r>
          </w:p>
        </w:tc>
        <w:tc>
          <w:tcPr>
            <w:tcW w:w="355" w:type="pct"/>
            <w:noWrap/>
            <w:vAlign w:val="center"/>
          </w:tcPr>
          <w:p w14:paraId="257BEB59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58E2C474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7392E024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83049.25</w:t>
            </w:r>
          </w:p>
        </w:tc>
        <w:tc>
          <w:tcPr>
            <w:tcW w:w="918" w:type="pct"/>
            <w:noWrap/>
            <w:vAlign w:val="center"/>
          </w:tcPr>
          <w:p w14:paraId="3E00C807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83049.25</w:t>
            </w:r>
          </w:p>
        </w:tc>
        <w:tc>
          <w:tcPr>
            <w:tcW w:w="1224" w:type="pct"/>
            <w:noWrap/>
            <w:vAlign w:val="center"/>
          </w:tcPr>
          <w:p w14:paraId="0F109A78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详见附件1</w:t>
            </w:r>
          </w:p>
        </w:tc>
      </w:tr>
      <w:tr w14:paraId="796A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5595642C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905" w:type="pct"/>
            <w:noWrap/>
            <w:vAlign w:val="center"/>
          </w:tcPr>
          <w:p w14:paraId="708872BB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4楼家具</w:t>
            </w:r>
          </w:p>
        </w:tc>
        <w:tc>
          <w:tcPr>
            <w:tcW w:w="355" w:type="pct"/>
            <w:noWrap/>
            <w:vAlign w:val="center"/>
          </w:tcPr>
          <w:p w14:paraId="3572A602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6F89BB33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4B466A79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90172.675</w:t>
            </w:r>
          </w:p>
        </w:tc>
        <w:tc>
          <w:tcPr>
            <w:tcW w:w="918" w:type="pct"/>
            <w:noWrap/>
            <w:vAlign w:val="center"/>
          </w:tcPr>
          <w:p w14:paraId="513E3654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90172.675</w:t>
            </w:r>
          </w:p>
        </w:tc>
        <w:tc>
          <w:tcPr>
            <w:tcW w:w="1224" w:type="pct"/>
            <w:noWrap/>
            <w:vAlign w:val="center"/>
          </w:tcPr>
          <w:p w14:paraId="328E9797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详见附件1</w:t>
            </w:r>
          </w:p>
        </w:tc>
      </w:tr>
      <w:tr w14:paraId="627D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0DF7E350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905" w:type="pct"/>
            <w:noWrap/>
            <w:vAlign w:val="center"/>
          </w:tcPr>
          <w:p w14:paraId="24ED0D47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5楼1区家具</w:t>
            </w:r>
          </w:p>
        </w:tc>
        <w:tc>
          <w:tcPr>
            <w:tcW w:w="355" w:type="pct"/>
            <w:noWrap/>
            <w:vAlign w:val="center"/>
          </w:tcPr>
          <w:p w14:paraId="1FB852BC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0D617193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5FB1D052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41469.375</w:t>
            </w:r>
          </w:p>
        </w:tc>
        <w:tc>
          <w:tcPr>
            <w:tcW w:w="918" w:type="pct"/>
            <w:noWrap/>
            <w:vAlign w:val="center"/>
          </w:tcPr>
          <w:p w14:paraId="7EEB8464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41469.375</w:t>
            </w:r>
          </w:p>
        </w:tc>
        <w:tc>
          <w:tcPr>
            <w:tcW w:w="1224" w:type="pct"/>
            <w:noWrap/>
            <w:vAlign w:val="center"/>
          </w:tcPr>
          <w:p w14:paraId="4E848703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详见附件1</w:t>
            </w:r>
          </w:p>
        </w:tc>
      </w:tr>
      <w:tr w14:paraId="552A7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003FF592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905" w:type="pct"/>
            <w:noWrap/>
            <w:vAlign w:val="center"/>
          </w:tcPr>
          <w:p w14:paraId="480D8E65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5楼2区家具</w:t>
            </w:r>
          </w:p>
        </w:tc>
        <w:tc>
          <w:tcPr>
            <w:tcW w:w="355" w:type="pct"/>
            <w:noWrap/>
            <w:vAlign w:val="center"/>
          </w:tcPr>
          <w:p w14:paraId="545A4629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7176EA0A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6654151C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26956.9</w:t>
            </w:r>
          </w:p>
        </w:tc>
        <w:tc>
          <w:tcPr>
            <w:tcW w:w="918" w:type="pct"/>
            <w:noWrap/>
            <w:vAlign w:val="center"/>
          </w:tcPr>
          <w:p w14:paraId="1C7F2743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26956.9</w:t>
            </w:r>
          </w:p>
        </w:tc>
        <w:tc>
          <w:tcPr>
            <w:tcW w:w="1224" w:type="pct"/>
            <w:noWrap/>
            <w:vAlign w:val="center"/>
          </w:tcPr>
          <w:p w14:paraId="19C233C1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详见附件1</w:t>
            </w:r>
          </w:p>
        </w:tc>
      </w:tr>
      <w:tr w14:paraId="022D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05" w:type="pct"/>
            <w:noWrap/>
            <w:vAlign w:val="center"/>
          </w:tcPr>
          <w:p w14:paraId="752C0B55">
            <w:pPr>
              <w:bidi w:val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7</w:t>
            </w:r>
          </w:p>
        </w:tc>
        <w:tc>
          <w:tcPr>
            <w:tcW w:w="905" w:type="pct"/>
            <w:noWrap/>
            <w:vAlign w:val="center"/>
          </w:tcPr>
          <w:p w14:paraId="1D547D3F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门诊4楼家具</w:t>
            </w:r>
          </w:p>
        </w:tc>
        <w:tc>
          <w:tcPr>
            <w:tcW w:w="355" w:type="pct"/>
            <w:noWrap/>
            <w:vAlign w:val="center"/>
          </w:tcPr>
          <w:p w14:paraId="346C17B0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48" w:type="pct"/>
            <w:noWrap/>
            <w:vAlign w:val="center"/>
          </w:tcPr>
          <w:p w14:paraId="4929DFFF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批</w:t>
            </w:r>
          </w:p>
        </w:tc>
        <w:tc>
          <w:tcPr>
            <w:tcW w:w="943" w:type="pct"/>
            <w:noWrap/>
            <w:vAlign w:val="center"/>
          </w:tcPr>
          <w:p w14:paraId="6C1CD36D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185081.07</w:t>
            </w:r>
          </w:p>
        </w:tc>
        <w:tc>
          <w:tcPr>
            <w:tcW w:w="918" w:type="pct"/>
            <w:noWrap/>
            <w:vAlign w:val="center"/>
          </w:tcPr>
          <w:p w14:paraId="22429D34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185081.07</w:t>
            </w:r>
          </w:p>
        </w:tc>
        <w:tc>
          <w:tcPr>
            <w:tcW w:w="1224" w:type="pct"/>
            <w:noWrap/>
            <w:vAlign w:val="center"/>
          </w:tcPr>
          <w:p w14:paraId="09C7F5E1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附件2</w:t>
            </w:r>
          </w:p>
        </w:tc>
      </w:tr>
      <w:tr w14:paraId="1818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05" w:type="pct"/>
            <w:noWrap/>
            <w:vAlign w:val="center"/>
          </w:tcPr>
          <w:p w14:paraId="75FAB9AC">
            <w:pPr>
              <w:bidi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合计</w:t>
            </w:r>
          </w:p>
        </w:tc>
        <w:tc>
          <w:tcPr>
            <w:tcW w:w="905" w:type="pct"/>
            <w:noWrap/>
            <w:vAlign w:val="center"/>
          </w:tcPr>
          <w:p w14:paraId="12DBF0E3">
            <w:pPr>
              <w:bidi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55" w:type="pct"/>
            <w:noWrap/>
            <w:vAlign w:val="center"/>
          </w:tcPr>
          <w:p w14:paraId="308E2E2F">
            <w:pPr>
              <w:bidi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48" w:type="pct"/>
            <w:noWrap/>
            <w:vAlign w:val="center"/>
          </w:tcPr>
          <w:p w14:paraId="5480A037">
            <w:pPr>
              <w:bidi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43" w:type="pct"/>
            <w:noWrap/>
            <w:vAlign w:val="center"/>
          </w:tcPr>
          <w:p w14:paraId="6147CBC7">
            <w:pPr>
              <w:bidi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18" w:type="pct"/>
            <w:shd w:val="clear" w:color="auto" w:fill="FFFFFF"/>
            <w:noWrap/>
            <w:vAlign w:val="center"/>
          </w:tcPr>
          <w:p w14:paraId="575A57D3">
            <w:pPr>
              <w:bidi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lang w:val="en-US" w:eastAsia="zh-CN"/>
              </w:rPr>
              <w:instrText xml:space="preserve"> = sum(G2:G8) \* MERGEFORMAT </w:instrText>
            </w:r>
            <w:r>
              <w:rPr>
                <w:rFonts w:hint="eastAsia" w:ascii="宋体" w:hAnsi="宋体" w:eastAsia="宋体" w:cs="宋体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lang w:val="en-US" w:eastAsia="zh-CN"/>
              </w:rPr>
              <w:t>786481.57</w:t>
            </w:r>
            <w:r>
              <w:rPr>
                <w:rFonts w:hint="eastAsia" w:ascii="宋体" w:hAnsi="宋体" w:eastAsia="宋体" w:cs="宋体"/>
                <w:lang w:val="en-US" w:eastAsia="zh-CN"/>
              </w:rPr>
              <w:fldChar w:fldCharType="end"/>
            </w:r>
          </w:p>
        </w:tc>
        <w:tc>
          <w:tcPr>
            <w:tcW w:w="1224" w:type="pct"/>
            <w:noWrap/>
            <w:vAlign w:val="center"/>
          </w:tcPr>
          <w:p w14:paraId="2BC9ECD8">
            <w:pPr>
              <w:bidi w:val="0"/>
              <w:rPr>
                <w:rFonts w:hint="eastAsia" w:ascii="宋体" w:hAnsi="宋体" w:eastAsia="宋体" w:cs="宋体"/>
              </w:rPr>
            </w:pPr>
          </w:p>
        </w:tc>
      </w:tr>
      <w:tr w14:paraId="0F6BD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5" w:type="pct"/>
            <w:noWrap/>
            <w:vAlign w:val="center"/>
          </w:tcPr>
          <w:p w14:paraId="46E93CB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商务条款</w:t>
            </w:r>
          </w:p>
        </w:tc>
        <w:tc>
          <w:tcPr>
            <w:tcW w:w="4694" w:type="pct"/>
            <w:gridSpan w:val="6"/>
            <w:noWrap/>
          </w:tcPr>
          <w:p w14:paraId="441AF0AE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Cs w:val="21"/>
              </w:rPr>
              <w:t>、合同签订期：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自成交通知书发出之日起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个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日内。未按规定期限内签订合同将取消订单。</w:t>
            </w:r>
          </w:p>
          <w:p w14:paraId="5CB79AAB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、交货期：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合同签订后按医院实际需要进行合同内家具配送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。</w:t>
            </w:r>
          </w:p>
          <w:p w14:paraId="54A559C8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、交货地点：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桂林市（采购人指定地点）</w:t>
            </w:r>
          </w:p>
          <w:p w14:paraId="186E3079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四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、交货方式：现场交货 。</w:t>
            </w:r>
          </w:p>
          <w:p w14:paraId="77CD349E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、验收：</w:t>
            </w:r>
          </w:p>
          <w:p w14:paraId="37CE77EF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 xml:space="preserve">货物安装调试完成后，供应商必须在现场配合采购方进行最终验收。验收结果以采购方签署的验收证明为准。如发生所供货物与合同约定不符，采购方有权退货或要求供应商进行更换、补齐 。供应商应在接到采购方要求后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个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日内予以补救，所产生的费用由供应商承担。</w:t>
            </w:r>
          </w:p>
          <w:p w14:paraId="17AAC835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、售后服务要求：</w:t>
            </w:r>
          </w:p>
          <w:p w14:paraId="2CBCA554">
            <w:pPr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jc w:val="left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提供10年以上的质保期，提供终身维护服务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。</w:t>
            </w:r>
          </w:p>
          <w:p w14:paraId="67C40F8F">
            <w:pPr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故障响应时间：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接到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故障通知在30分钟内响应，如遇与所供产品有关的问题无法远程解决的，在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接到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用户通知后，2小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时内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赶到现场提供免费服务；4小时内未解决的中标人应提供详细的应急解决方案，12小时内修复使用，若12小时内无法排除故障的，则应提供相应的备用设备以保证采购方的正常使用。</w:t>
            </w:r>
          </w:p>
          <w:p w14:paraId="569BCEED">
            <w:pPr>
              <w:widowControl/>
              <w:numPr>
                <w:ilvl w:val="0"/>
                <w:numId w:val="0"/>
              </w:numPr>
              <w:shd w:val="clear" w:color="auto" w:fill="FFFFFF"/>
              <w:spacing w:line="276" w:lineRule="auto"/>
              <w:ind w:leftChars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、付款方式：本项目无预付款，供应商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按医院实际需要进行合同内家具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配送并</w:t>
            </w:r>
            <w:r>
              <w:rPr>
                <w:rFonts w:hint="eastAsia" w:ascii="宋体" w:hAnsi="宋体" w:eastAsia="宋体" w:cs="宋体"/>
                <w:szCs w:val="21"/>
              </w:rPr>
              <w:t>验收合格后，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根据已验收的货物数量开具对应金额的增值税电子普通发票，甲方收到发票后按发票金额一次性向乙方支付。</w:t>
            </w:r>
          </w:p>
          <w:p w14:paraId="250E06AE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、其他要求：</w:t>
            </w:r>
          </w:p>
          <w:p w14:paraId="7CF5BD99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1、竞标报价为采购人指定地点的现场交货价，包括：</w:t>
            </w:r>
          </w:p>
          <w:p w14:paraId="5E54EC52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（1）货物的价格；</w:t>
            </w:r>
          </w:p>
          <w:p w14:paraId="27344E17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（2）货物的标准附件、备品备件的价格；</w:t>
            </w:r>
          </w:p>
          <w:p w14:paraId="4A8F0BD1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（3）运输、装卸、安装、售后服务等费用；</w:t>
            </w:r>
          </w:p>
          <w:p w14:paraId="6A6EEC12">
            <w:pPr>
              <w:widowControl/>
              <w:shd w:val="clear" w:color="auto" w:fill="FFFFFF"/>
              <w:spacing w:line="276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（4）必要的保险费用和各项税费及其他所有可能发生的一切费用，采购人不再支付任何费用。</w:t>
            </w:r>
          </w:p>
          <w:p w14:paraId="0EB1B616">
            <w:pPr>
              <w:spacing w:line="276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竞价要求：</w:t>
            </w:r>
          </w:p>
          <w:p w14:paraId="6A9F402D">
            <w:pPr>
              <w:spacing w:line="276" w:lineRule="auto"/>
              <w:jc w:val="left"/>
              <w:rPr>
                <w:rFonts w:hint="eastAsia"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须提供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冷轧钢板、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304不锈钢、海绵、多层实木板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、胶粘剂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带有第三方检测机构出具的检测报告复印件并加盖公章上传，检测内容需满足附件参数，使用方有权查验检测报告的真实性，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提供及不符合要求的报价无效，提供虚假的按政府采购法处理。</w:t>
            </w:r>
          </w:p>
          <w:p w14:paraId="10490F60">
            <w:pPr>
              <w:spacing w:line="276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本项目供应商不得以任何理由更改货物的配置、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款式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尺寸等</w:t>
            </w:r>
            <w:r>
              <w:rPr>
                <w:rFonts w:hint="eastAsia" w:ascii="宋体" w:hAnsi="宋体" w:eastAsia="宋体" w:cs="宋体"/>
                <w:szCs w:val="21"/>
              </w:rPr>
              <w:t>，否则报价将无效。</w:t>
            </w:r>
          </w:p>
          <w:p w14:paraId="5384D546">
            <w:pPr>
              <w:numPr>
                <w:ilvl w:val="0"/>
                <w:numId w:val="0"/>
              </w:numPr>
              <w:spacing w:line="276" w:lineRule="auto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所有商务条款须全部响应，否则，报价无效且视为虚假应标，采购人将相关情况上报政府采购监管部门并按规定处理。</w:t>
            </w:r>
          </w:p>
          <w:p w14:paraId="0B2B4D73">
            <w:pPr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根据《关于推动解决政府采购异常低价问题的通知》（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财库〔2026〕2号），政府采购评审中出现下列情形之一的，评审小组应当启动异常低</w:t>
            </w:r>
            <w:r>
              <w:rPr>
                <w:rFonts w:hint="eastAsia" w:ascii="宋体" w:hAnsi="宋体" w:eastAsia="宋体" w:cs="宋体"/>
                <w:szCs w:val="21"/>
              </w:rPr>
              <w:t>价投标（响应）审查程序：</w:t>
            </w:r>
          </w:p>
          <w:p w14:paraId="15FB9711">
            <w:pPr>
              <w:numPr>
                <w:ilvl w:val="0"/>
                <w:numId w:val="0"/>
              </w:numPr>
              <w:spacing w:line="276" w:lineRule="auto"/>
              <w:ind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1.响应报价低于全部通过符合性审查供应商响应报价平均值50%的，即响应报价&lt;全部通过符合性审查供应商响应报价平均值×50%；</w:t>
            </w:r>
          </w:p>
          <w:p w14:paraId="02D78823">
            <w:pPr>
              <w:numPr>
                <w:ilvl w:val="0"/>
                <w:numId w:val="0"/>
              </w:numPr>
              <w:spacing w:line="276" w:lineRule="auto"/>
              <w:ind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2.响应报价低于通过符合性审查的次低报价供应商响应报价50%的，即响应报价&lt;通过符合性审查的次低报价供应商响应报价×50%；</w:t>
            </w:r>
          </w:p>
          <w:p w14:paraId="32393908">
            <w:pPr>
              <w:numPr>
                <w:ilvl w:val="0"/>
                <w:numId w:val="0"/>
              </w:numPr>
              <w:spacing w:line="276" w:lineRule="auto"/>
              <w:ind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3.响应报价低于采购项目最高限价45%的，即响应报价&lt;采购项目最高限价×45%；</w:t>
            </w:r>
          </w:p>
          <w:p w14:paraId="56999DD6">
            <w:pPr>
              <w:numPr>
                <w:ilvl w:val="0"/>
                <w:numId w:val="0"/>
              </w:numPr>
              <w:spacing w:line="276" w:lineRule="auto"/>
              <w:ind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4.评审小组基于专业判断，认为供应商报价过低，有可能影响产品质量或者不能诚信履约的其他情形。</w:t>
            </w:r>
          </w:p>
          <w:p w14:paraId="425D1C4E">
            <w:pPr>
              <w:bidi w:val="0"/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九、小样要求</w:t>
            </w:r>
          </w:p>
          <w:p w14:paraId="61A4DCAB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为确保货物质量，</w:t>
            </w:r>
            <w:r>
              <w:rPr>
                <w:rFonts w:hint="eastAsia"/>
                <w:lang w:eastAsia="zh-CN"/>
              </w:rPr>
              <w:t>供货商在竞价截止前需提供以下部件小样：</w:t>
            </w:r>
          </w:p>
          <w:p w14:paraId="73F18C20">
            <w:pPr>
              <w:bidi w:val="0"/>
              <w:ind w:firstLine="210" w:firstLineChars="10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1.符合附件1：家具清单中3楼家具第25项条桌</w:t>
            </w:r>
            <w:r>
              <w:rPr>
                <w:rFonts w:hint="eastAsia"/>
                <w:color w:val="auto"/>
                <w:lang w:val="en-US" w:eastAsia="zh-CN"/>
              </w:rPr>
              <w:t>要求的“脚架”小样尺寸自定，</w:t>
            </w:r>
            <w:r>
              <w:rPr>
                <w:rFonts w:hint="eastAsia"/>
              </w:rPr>
              <w:t>小样须清楚标明名称；</w:t>
            </w:r>
          </w:p>
          <w:p w14:paraId="549B4A78">
            <w:pPr>
              <w:bidi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2.符合附件1：家具清单中4楼家具第24项沙发</w:t>
            </w:r>
            <w:r>
              <w:rPr>
                <w:rFonts w:hint="eastAsia"/>
                <w:color w:val="auto"/>
                <w:lang w:val="en-US" w:eastAsia="zh-CN"/>
              </w:rPr>
              <w:t>要求</w:t>
            </w:r>
            <w:r>
              <w:rPr>
                <w:rFonts w:hint="eastAsia"/>
                <w:lang w:eastAsia="zh-CN"/>
              </w:rPr>
              <w:t>的“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海绵”小样一块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尺寸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自定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，小样须清楚标明名称</w:t>
            </w:r>
            <w:r>
              <w:rPr>
                <w:rFonts w:hint="eastAsia"/>
              </w:rPr>
              <w:t>；</w:t>
            </w:r>
          </w:p>
          <w:p w14:paraId="1D2D11D7">
            <w:pPr>
              <w:bidi w:val="0"/>
              <w:ind w:firstLine="210" w:firstLineChars="1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3.符合附件1：家具清单中1-2-7-8-9-10楼层家具清单第12项定制高柜</w:t>
            </w:r>
            <w:r>
              <w:rPr>
                <w:rFonts w:hint="eastAsia"/>
                <w:color w:val="auto"/>
                <w:lang w:val="en-US" w:eastAsia="zh-CN"/>
              </w:rPr>
              <w:t>要求</w:t>
            </w:r>
            <w:r>
              <w:rPr>
                <w:rFonts w:hint="eastAsia"/>
                <w:lang w:eastAsia="zh-CN"/>
              </w:rPr>
              <w:t>的“多层实木板”一块，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尺寸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自定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，小样须清楚标明名称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  <w:p w14:paraId="0FB692C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2、样品标识</w:t>
            </w:r>
          </w:p>
          <w:p w14:paraId="7AD79D1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每件样品贴标签，写明单位名称、对应产品名称，标识不遮挡检测部位。</w:t>
            </w:r>
          </w:p>
          <w:p w14:paraId="71635D0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3、现场评审判定</w:t>
            </w:r>
          </w:p>
          <w:p w14:paraId="72F1EA08">
            <w:pPr>
              <w:bidi w:val="0"/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1.评审组现场测量、目视查验，出现以下任一情况判定样品不合格：</w:t>
            </w:r>
          </w:p>
          <w:p w14:paraId="149BF79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（1）尺寸、壁厚、板材厚度、重量达不到文件参数；</w:t>
            </w:r>
          </w:p>
          <w:p w14:paraId="7707175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（2）材质、结构、配件与技术要求不符；</w:t>
            </w:r>
          </w:p>
          <w:p w14:paraId="7F4A680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（3）封边、喷涂、焊接、脚轮存在明显缺陷；</w:t>
            </w:r>
          </w:p>
          <w:p w14:paraId="1FEE367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（4）无标识、标识模糊无法对应产品。</w:t>
            </w:r>
          </w:p>
          <w:p w14:paraId="0E31FC8E">
            <w:pPr>
              <w:bidi w:val="0"/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2.样品材质不满足采购质量标准的，该</w:t>
            </w:r>
            <w:r>
              <w:rPr>
                <w:rFonts w:hint="eastAsia"/>
                <w:lang w:eastAsia="zh-CN"/>
              </w:rPr>
              <w:t>供货商</w:t>
            </w:r>
            <w:r>
              <w:rPr>
                <w:rFonts w:hint="eastAsia"/>
                <w:lang w:val="en-US" w:eastAsia="zh-CN"/>
              </w:rPr>
              <w:t>不计入最佳成交候选人推荐范围。</w:t>
            </w:r>
          </w:p>
          <w:p w14:paraId="2D312A4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4、样品留存与验收</w:t>
            </w:r>
          </w:p>
          <w:p w14:paraId="04EE42D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成交单位样品签字封存，到货时对照样品验收，实物低于样品标准采购人有权拒收；未成交样品 5 日内自行取回，逾期不予保管。</w:t>
            </w:r>
          </w:p>
          <w:p w14:paraId="7F01253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5、承诺要求</w:t>
            </w:r>
          </w:p>
          <w:p w14:paraId="6799085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供应商承诺供货产品材质、工艺与样品一致，货样不符承担违约责任。</w:t>
            </w:r>
          </w:p>
          <w:p w14:paraId="566EC9DD">
            <w:pPr>
              <w:numPr>
                <w:ilvl w:val="0"/>
                <w:numId w:val="0"/>
              </w:numPr>
              <w:spacing w:line="276" w:lineRule="auto"/>
              <w:ind w:lef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6、样品接收联系人：李老师，13517831806。接收地址：桂林市临桂区沙塘路 8 号中南大学湘雅二医院桂林医院 综合楼 210</w:t>
            </w:r>
          </w:p>
        </w:tc>
      </w:tr>
    </w:tbl>
    <w:p w14:paraId="0DF00B8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D2D6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EF04A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F04A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65F1B5"/>
    <w:multiLevelType w:val="singleLevel"/>
    <w:tmpl w:val="E465F1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83FCC"/>
    <w:rsid w:val="003F6E22"/>
    <w:rsid w:val="004C5775"/>
    <w:rsid w:val="00837E65"/>
    <w:rsid w:val="013313AB"/>
    <w:rsid w:val="03426C80"/>
    <w:rsid w:val="03D8291E"/>
    <w:rsid w:val="06FD7006"/>
    <w:rsid w:val="0835467D"/>
    <w:rsid w:val="08C96CD9"/>
    <w:rsid w:val="0B93661F"/>
    <w:rsid w:val="0D1E2DAD"/>
    <w:rsid w:val="15C40670"/>
    <w:rsid w:val="16200AE9"/>
    <w:rsid w:val="16AD626A"/>
    <w:rsid w:val="1A9853AE"/>
    <w:rsid w:val="1CF02F44"/>
    <w:rsid w:val="24881584"/>
    <w:rsid w:val="286A785E"/>
    <w:rsid w:val="29F83FCC"/>
    <w:rsid w:val="2A5E4306"/>
    <w:rsid w:val="33E503EB"/>
    <w:rsid w:val="3931741D"/>
    <w:rsid w:val="40473C5B"/>
    <w:rsid w:val="42773173"/>
    <w:rsid w:val="42CA4C6A"/>
    <w:rsid w:val="42EA4B11"/>
    <w:rsid w:val="44DC1A8E"/>
    <w:rsid w:val="47F16C99"/>
    <w:rsid w:val="48C303BC"/>
    <w:rsid w:val="4ACE5F68"/>
    <w:rsid w:val="4CE0357B"/>
    <w:rsid w:val="4D805E64"/>
    <w:rsid w:val="4E30126A"/>
    <w:rsid w:val="4E380649"/>
    <w:rsid w:val="4E4039F0"/>
    <w:rsid w:val="53D8739D"/>
    <w:rsid w:val="560F7F27"/>
    <w:rsid w:val="5F1D035A"/>
    <w:rsid w:val="5FE9109C"/>
    <w:rsid w:val="6D694537"/>
    <w:rsid w:val="6DD67943"/>
    <w:rsid w:val="6F784AF0"/>
    <w:rsid w:val="6FB860A4"/>
    <w:rsid w:val="702F2F2B"/>
    <w:rsid w:val="70735B54"/>
    <w:rsid w:val="72716298"/>
    <w:rsid w:val="72A51F24"/>
    <w:rsid w:val="734A7C80"/>
    <w:rsid w:val="75823A34"/>
    <w:rsid w:val="78E815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"/>
    <w:basedOn w:val="1"/>
    <w:next w:val="1"/>
    <w:qFormat/>
    <w:uiPriority w:val="99"/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1950</Words>
  <Characters>2164</Characters>
  <Lines>36</Lines>
  <Paragraphs>10</Paragraphs>
  <TotalTime>328</TotalTime>
  <ScaleCrop>false</ScaleCrop>
  <LinksUpToDate>false</LinksUpToDate>
  <CharactersWithSpaces>2174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2026-05-14T00:27:00Z</dcterms:created>
  <dc:creator>user</dc:creator>
  <cp:lastModifiedBy>随缘~~ </cp:lastModifiedBy>
  <dcterms:modified xsi:type="dcterms:W3CDTF">2026-08-26T01:51:20Z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DEA13F0D88F949D197FC6372E2A12E96_13</vt:lpwstr>
  </property>
  <property fmtid="{D5CDD505-2E9C-101B-9397-08002B2CF9AE}" pid="4" name="KSOTemplateDocerSaveRecord">
    <vt:lpwstr>eyJoZGlkIjoiZmZiMjk2NjhkYTVmY2ZlYzk5MjhmN2Q0M2QzNmU5ZTciLCJ1c2VySWQiOiI2OTMwMDI0OTIifQ==</vt:lpwstr>
  </property>
</Properties>
</file>