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bookmarkStart w:id="0" w:name="_GoBack"/>
      <w:bookmarkEnd w:id="0"/>
      <w:r>
        <w:rPr>
          <w:rFonts w:hint="eastAsia"/>
          <w:sz w:val="36"/>
          <w:szCs w:val="36"/>
        </w:rPr>
        <w:t>货物</w:t>
      </w:r>
      <w:r>
        <w:rPr>
          <w:sz w:val="36"/>
          <w:szCs w:val="36"/>
        </w:rPr>
        <w:t>需求一览表</w:t>
      </w:r>
    </w:p>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24"/>
        <w:gridCol w:w="2949"/>
        <w:gridCol w:w="873"/>
        <w:gridCol w:w="572"/>
        <w:gridCol w:w="723"/>
        <w:gridCol w:w="859"/>
        <w:gridCol w:w="979"/>
        <w:gridCol w:w="719"/>
      </w:tblGrid>
      <w:tr>
        <w:trPr>
          <w:trHeight w:val="735" w:hRule="atLeast"/>
        </w:trPr>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序号</w:t>
            </w:r>
          </w:p>
        </w:tc>
        <w:tc>
          <w:tcPr>
            <w:tcW w:w="248"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货物名称</w:t>
            </w:r>
          </w:p>
        </w:tc>
        <w:tc>
          <w:tcPr>
            <w:tcW w:w="1730"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货物需求及性能配置</w:t>
            </w:r>
          </w:p>
        </w:tc>
        <w:tc>
          <w:tcPr>
            <w:tcW w:w="512" w:type="pct"/>
            <w:shd w:val="clear" w:color="000000" w:fill="FFFFFF"/>
            <w:vAlign w:val="center"/>
          </w:tcPr>
          <w:p>
            <w:pPr>
              <w:widowControl/>
              <w:jc w:val="center"/>
              <w:rPr>
                <w:rFonts w:hint="eastAsia"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rPr>
              <w:t>意向</w:t>
            </w:r>
            <w:r>
              <w:rPr>
                <w:rFonts w:cs="宋体" w:asciiTheme="majorEastAsia" w:hAnsiTheme="majorEastAsia" w:eastAsiaTheme="majorEastAsia"/>
                <w:kern w:val="0"/>
                <w:szCs w:val="21"/>
              </w:rPr>
              <w:t>品牌</w:t>
            </w:r>
            <w:r>
              <w:rPr>
                <w:rFonts w:hint="eastAsia" w:cs="宋体" w:asciiTheme="majorEastAsia" w:hAnsiTheme="majorEastAsia" w:eastAsiaTheme="majorEastAsia"/>
                <w:kern w:val="0"/>
                <w:szCs w:val="21"/>
                <w:lang w:eastAsia="zh-CN"/>
              </w:rPr>
              <w:t>型号</w:t>
            </w:r>
          </w:p>
        </w:tc>
        <w:tc>
          <w:tcPr>
            <w:tcW w:w="335"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单位</w:t>
            </w:r>
          </w:p>
        </w:tc>
        <w:tc>
          <w:tcPr>
            <w:tcW w:w="42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数量</w:t>
            </w:r>
          </w:p>
        </w:tc>
        <w:tc>
          <w:tcPr>
            <w:tcW w:w="503"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单价(元)</w:t>
            </w:r>
          </w:p>
        </w:tc>
        <w:tc>
          <w:tcPr>
            <w:tcW w:w="574" w:type="pct"/>
            <w:shd w:val="clear" w:color="000000" w:fill="FFFFFF"/>
            <w:vAlign w:val="center"/>
          </w:tcPr>
          <w:p>
            <w:pPr>
              <w:widowControl/>
              <w:jc w:val="center"/>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合计(元)</w:t>
            </w:r>
          </w:p>
        </w:tc>
        <w:tc>
          <w:tcPr>
            <w:tcW w:w="421"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备注</w:t>
            </w:r>
          </w:p>
        </w:tc>
      </w:tr>
      <w:tr>
        <w:trPr>
          <w:trHeight w:val="135" w:hRule="atLeast"/>
        </w:trPr>
        <w:tc>
          <w:tcPr>
            <w:tcW w:w="248"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val="en-US" w:eastAsia="zh-CN"/>
              </w:rPr>
              <w:t>1</w:t>
            </w:r>
          </w:p>
        </w:tc>
        <w:tc>
          <w:tcPr>
            <w:tcW w:w="248"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rPr>
              <w:t>学生</w:t>
            </w:r>
            <w:r>
              <w:rPr>
                <w:rFonts w:hint="eastAsia" w:cs="宋体" w:asciiTheme="majorEastAsia" w:hAnsiTheme="majorEastAsia" w:eastAsiaTheme="majorEastAsia"/>
                <w:kern w:val="0"/>
                <w:szCs w:val="21"/>
                <w:lang w:eastAsia="zh-CN"/>
              </w:rPr>
              <w:t>课桌椅</w:t>
            </w:r>
          </w:p>
        </w:tc>
        <w:tc>
          <w:tcPr>
            <w:tcW w:w="1730" w:type="pct"/>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一、单人课桌椅（每套包含课桌并配套单人椅1张）。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二、规格尺寸：（长×宽×高）600mm×400mm×760mm。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三、课桌椅的材料要求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（一）金属件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主体材料：课桌、课椅的立脚金属管件公称尺寸≥20mm×40mm的椭圆管，管壁公称厚度≥1.0mm；管材采用高频焊接而成。课桌的桌斗用公称厚度≥0.5mm的优质冷轧钢板；桌斗托杆采用公称尺寸20mm×15mm的矩形管，管壁公称厚度≥1.0mm。课桌和课椅的挂钩采用公称直径≥Φ4mm的冷拉普通钢丝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2、材料质量：金属管件外形的尺寸偏差、管壁厚度偏差和钢板厚度偏差以及金属材料的力学性能指标等质量技术参数，均应符合相应的国家标准的规定。金属件材质及缺陷应符合轻工行业标准QB/T 4071-2021《课桌椅》的规定。不允许使用出现孔洞、缺口、开裂、尖角、裂缝、叠缝、腐蚀、离层、结疤、氧化皮等影响产品结构强度、外观和安全的材料。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（二）木制件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主体材料：桌面主体桌面板板材厚不小于15mm，主体采用桉木基材的胶合板制作，双面防火板饰面，甲醛释放量达到E1级控制指标，四周采用蓝色PE注塑成型，注塑边缘与桌面圆润连接，无突兀感。课椅座面板板材厚≥10mm，主体采用桉木基材的胶合板制作，双面防火板饰面，甲醛释放量达到E1级控制指标，课椅座面板前缘及两角钝圆并向下弯曲，符合人体工程学的设计，面板四周采用蓝色PE注塑成型，注塑边缘与座面圆润连接，无突兀感，增加舒适程度。课椅靠背面板板材厚≥10mm，要求是弧形的主体采用桉木基材的胶合板制作，双面防火板饰面，，面板的曲率半径700mm（±10mm）。靠背面板四周采用蓝色PE注塑成型，注塑边缘与座面圆润连接，无突兀感，增加舒适程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2、材料质量：如采用胶合板，则胶合板的质量应符合轻工行业标准QB/T 4071-2021《课桌椅》相应的规定要求，胶合板的胶合强度指标值不小于0.70兆帕。不允许使用有边角缺陷、虫蛀、腐朽、霉变、开裂、变形等影响产品结构强度和外观的材料。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3、含水率：课桌椅加工所用木制件含水率应不高于16%。课桌椅产品出厂时木材含水率不高于16%。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▲（三）其它材料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桌脚和椅脚的脚套为内嵌式黑色脚套，采用超高分子量PE材料制作，壁厚不小于2mm,底厚不小于5mm；进深不小于20mm，加强筋不少于3圈, 加强筋厚度不小于1.2mm，底面直径不小于22mm×42mm，脚套与桌脚和椅脚应结合紧密，牢靠，不脱落。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三、课桌椅的加工要求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（一）金属件加工要求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1、金属件外观、加工要求等按照轻工行业标准QB/T 4071-2021《课桌椅》的规定执行。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2、管材应无裂缝、叠缝。外露管口端面应封闭。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金属零、部件的连接方式采取焊接连接，不允许采用铆钉连接（铆接）和螺钉连接（结构需要时除外）。桌斗钢板焊接后金属件间接触面的分缝应不大于1mm，桌斗钢板与桌斗托杆的焊点间距不大于100mm。此外其他焊接件之间的连接部分均应全部焊接（结构不需要时除外），不允许漏焊。焊接件焊接时采用二氧化碳保护焊接。焊接件焊接处应无脱焊、虚焊、焊穿、错位；焊接处应无夹渣、气孔、焊瘤、焊丝头、咬边、飞溅；焊疤表面波纹应均匀、高低之差应不大于1mm。焊接后须经打磨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4、冲压件应无脱层、裂缝。桌斗端口作折边压贴，桌斗前端靠托杆处冲压出不少于两条下凹的加强筋以增强桌斗刚性。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（二）木制件加工要求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1、课桌椅木制件的外观要求等按照轻工行业标准QB/T 4071-2021《课桌椅》的规定执行。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2、木制件端面应进行精加工以便于涂饰处理。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（三）木制件与金属件的连接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1、木制件与金属件的连接方式采用抽心铆钉进行铆接，不允许螺钉连接。铆接前木制件与金属件的接触面应完整接触；铆接后木制件与金属件的接触面的分缝应不大于2mm。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2、抽芯铆钉钉体直径d不小于5mm，钉体材料为铝合金、钉芯材料为钢（表面镀锌），铆钉表面应无毛刺和有害缺陷，并有完整的头、杆形状。铆接加工时应按照国家标准GB/T 12619《抽芯铆钉技术条件》的要求进行，桌面、椅座面和靠背面与金属管件铆接的铆钉数量均不能少于4颗，铆接后铆钉应无开裂痕迹，保证桌面、椅座面和靠背面长期使用（正常使用情况下）不脱落。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▲（四）钢管符合GB/T 3094-2012《冷拔异型钢管》的标准要求：化学成分(%)（C≤0.20、Si≤0.35、Mn≤1.40、P≤0.045、S≤0.045），力学性能（下屈服强度≥235N/m㎡、抗拉强度为370-500 N/m㎡、断后伸长率≥26%）。钢管耐腐蚀盐雾性能应符合QB/T3826-1999《轻工产品金属镀层和化学处理层的耐腐蚀试验方法 中性盐雾试验(NSS)法》、QB/T 3832-1999《轻工产品金属镀层腐蚀试验结果的评价》的要求：经过不少于120h试验，达到9级。报价时必须提供由具有合法检测资格的检测机构出具的符合上述要求的检测报告复印件。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▲（五）金属部件表面涂层的可迁移元素含量符合HJ 2547-2016《环境标志产品技术要求 家具》的标准要求：锑(Sb)≤60mg/kg、砷(As)≤25mg/kg、钡(Ba)≤1000mg/kg、镉(Cd)≤75mg/kg、铬(Cr)≤60mg/kg、铅(Pb)≤90mg/kg、汞(Hg)≤60mg/kg、硒(Se)≤500mg/kg。报价时必须提供由具有合法检测资格的检测机构出具的符合上述要求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▲（六）塑粉符合HG/T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报价时必须提供由具有合法检测资格的检测机构出具的符合上述要求的检测报告复印件。</w:t>
            </w:r>
          </w:p>
        </w:tc>
        <w:tc>
          <w:tcPr>
            <w:tcW w:w="512"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鸿芙轩KZY1043</w:t>
            </w:r>
          </w:p>
        </w:tc>
        <w:tc>
          <w:tcPr>
            <w:tcW w:w="335" w:type="pct"/>
            <w:shd w:val="clear" w:color="000000" w:fill="FFFFFF"/>
            <w:vAlign w:val="center"/>
          </w:tcPr>
          <w:p>
            <w:pPr>
              <w:widowControl/>
              <w:jc w:val="center"/>
              <w:rPr>
                <w:rFonts w:hint="eastAsia" w:cs="宋体" w:asciiTheme="majorEastAsia" w:hAnsiTheme="majorEastAsia" w:eastAsiaTheme="majorEastAsia"/>
                <w:kern w:val="0"/>
                <w:szCs w:val="21"/>
                <w:lang w:eastAsia="zh-CN"/>
              </w:rPr>
            </w:pPr>
            <w:r>
              <w:rPr>
                <w:rFonts w:hint="eastAsia" w:cs="宋体" w:asciiTheme="majorEastAsia" w:hAnsiTheme="majorEastAsia" w:eastAsiaTheme="majorEastAsia"/>
                <w:kern w:val="0"/>
                <w:szCs w:val="21"/>
                <w:lang w:eastAsia="zh-CN"/>
              </w:rPr>
              <w:t>套</w:t>
            </w:r>
          </w:p>
        </w:tc>
        <w:tc>
          <w:tcPr>
            <w:tcW w:w="42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1200</w:t>
            </w:r>
          </w:p>
        </w:tc>
        <w:tc>
          <w:tcPr>
            <w:tcW w:w="503"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275</w:t>
            </w:r>
          </w:p>
        </w:tc>
        <w:tc>
          <w:tcPr>
            <w:tcW w:w="574" w:type="pct"/>
            <w:shd w:val="clear" w:color="000000" w:fill="FFFFFF"/>
            <w:vAlign w:val="center"/>
          </w:tcPr>
          <w:p>
            <w:pPr>
              <w:widowControl/>
              <w:jc w:val="center"/>
              <w:rPr>
                <w:rFonts w:hint="default" w:cs="宋体" w:asciiTheme="majorEastAsia" w:hAnsiTheme="majorEastAsia" w:eastAsiaTheme="majorEastAsia"/>
                <w:kern w:val="0"/>
                <w:szCs w:val="21"/>
                <w:lang w:val="en-US" w:eastAsia="zh-CN"/>
              </w:rPr>
            </w:pPr>
            <w:r>
              <w:rPr>
                <w:rFonts w:hint="eastAsia" w:cs="宋体" w:asciiTheme="majorEastAsia" w:hAnsiTheme="majorEastAsia" w:eastAsiaTheme="majorEastAsia"/>
                <w:kern w:val="0"/>
                <w:szCs w:val="21"/>
                <w:lang w:val="en-US" w:eastAsia="zh-CN"/>
              </w:rPr>
              <w:t>330000</w:t>
            </w:r>
          </w:p>
        </w:tc>
        <w:tc>
          <w:tcPr>
            <w:tcW w:w="421" w:type="pct"/>
            <w:shd w:val="clear" w:color="000000" w:fill="FFFFFF"/>
            <w:vAlign w:val="center"/>
          </w:tcPr>
          <w:p>
            <w:pPr>
              <w:widowControl/>
              <w:jc w:val="center"/>
              <w:rPr>
                <w:rFonts w:cs="宋体" w:asciiTheme="majorEastAsia" w:hAnsiTheme="majorEastAsia" w:eastAsiaTheme="majorEastAsia"/>
                <w:kern w:val="0"/>
                <w:szCs w:val="21"/>
              </w:rPr>
            </w:pPr>
          </w:p>
        </w:tc>
      </w:tr>
      <w:tr>
        <w:trPr>
          <w:trHeight w:val="735" w:hRule="atLeast"/>
        </w:trPr>
        <w:tc>
          <w:tcPr>
            <w:tcW w:w="248" w:type="pct"/>
            <w:shd w:val="clear" w:color="000000" w:fill="FFFFFF"/>
          </w:tcPr>
          <w:p>
            <w:pPr>
              <w:widowControl/>
              <w:rPr>
                <w:rFonts w:cs="宋体" w:asciiTheme="majorEastAsia" w:hAnsiTheme="majorEastAsia" w:eastAsiaTheme="majorEastAsia"/>
                <w:kern w:val="0"/>
                <w:szCs w:val="21"/>
              </w:rPr>
            </w:pPr>
          </w:p>
        </w:tc>
        <w:tc>
          <w:tcPr>
            <w:tcW w:w="4751" w:type="pct"/>
            <w:gridSpan w:val="8"/>
            <w:shd w:val="clear" w:color="000000" w:fill="FFFFFF"/>
            <w:vAlign w:val="center"/>
          </w:tcPr>
          <w:p>
            <w:pPr>
              <w:widowControl/>
              <w:rPr>
                <w:rFonts w:cs="宋体" w:asciiTheme="majorEastAsia" w:hAnsiTheme="majorEastAsia" w:eastAsiaTheme="majorEastAsia"/>
                <w:kern w:val="0"/>
                <w:szCs w:val="21"/>
              </w:rPr>
            </w:pPr>
            <w:r>
              <w:rPr>
                <w:rFonts w:hint="eastAsia" w:cs="宋体" w:asciiTheme="majorEastAsia" w:hAnsiTheme="majorEastAsia" w:eastAsiaTheme="majorEastAsia"/>
                <w:kern w:val="0"/>
                <w:szCs w:val="21"/>
              </w:rPr>
              <w:t>　总合计：</w:t>
            </w:r>
            <w:r>
              <w:rPr>
                <w:rFonts w:cs="宋体" w:asciiTheme="majorEastAsia" w:hAnsiTheme="majorEastAsia" w:eastAsiaTheme="majorEastAsia"/>
                <w:kern w:val="0"/>
                <w:szCs w:val="21"/>
              </w:rPr>
              <w:fldChar w:fldCharType="begin"/>
            </w:r>
            <w:r>
              <w:rPr>
                <w:rFonts w:cs="宋体" w:asciiTheme="majorEastAsia" w:hAnsiTheme="majorEastAsia" w:eastAsiaTheme="majorEastAsia"/>
                <w:kern w:val="0"/>
                <w:szCs w:val="21"/>
              </w:rPr>
              <w:instrText xml:space="preserve"> = 144000 \* CHINESENUM4 \* MERGEFORMAT </w:instrText>
            </w:r>
            <w:r>
              <w:rPr>
                <w:rFonts w:cs="宋体" w:asciiTheme="majorEastAsia" w:hAnsiTheme="majorEastAsia" w:eastAsiaTheme="majorEastAsia"/>
                <w:kern w:val="0"/>
                <w:szCs w:val="21"/>
              </w:rPr>
              <w:fldChar w:fldCharType="separate"/>
            </w:r>
            <w:r>
              <w:fldChar w:fldCharType="begin"/>
            </w:r>
            <w:r>
              <w:instrText xml:space="preserve"> = 360000 \* CHINESENUM4 \* MERGEFORMAT </w:instrText>
            </w:r>
            <w:r>
              <w:fldChar w:fldCharType="separate"/>
            </w:r>
            <w:r>
              <w:t>叁拾陆万元整</w:t>
            </w:r>
            <w:r>
              <w:fldChar w:fldCharType="end"/>
            </w:r>
            <w:r>
              <w:rPr>
                <w:rFonts w:cs="宋体" w:asciiTheme="majorEastAsia" w:hAnsiTheme="majorEastAsia" w:eastAsiaTheme="majorEastAsia"/>
                <w:kern w:val="0"/>
                <w:szCs w:val="21"/>
              </w:rPr>
              <w:fldChar w:fldCharType="end"/>
            </w:r>
            <w:r>
              <w:rPr>
                <w:rFonts w:hint="eastAsia" w:cs="宋体" w:asciiTheme="majorEastAsia" w:hAnsiTheme="majorEastAsia" w:eastAsiaTheme="majorEastAsia"/>
                <w:kern w:val="0"/>
                <w:szCs w:val="21"/>
              </w:rPr>
              <w:t>（¥：</w:t>
            </w:r>
            <w:r>
              <w:rPr>
                <w:rFonts w:hint="eastAsia" w:cs="宋体" w:asciiTheme="majorEastAsia" w:hAnsiTheme="majorEastAsia" w:eastAsiaTheme="majorEastAsia"/>
                <w:kern w:val="0"/>
                <w:szCs w:val="21"/>
                <w:lang w:val="en-US" w:eastAsia="zh-CN"/>
              </w:rPr>
              <w:t>3</w:t>
            </w:r>
            <w:r>
              <w:rPr>
                <w:rFonts w:hint="default" w:cs="宋体" w:asciiTheme="majorEastAsia" w:hAnsiTheme="majorEastAsia" w:eastAsiaTheme="majorEastAsia"/>
                <w:kern w:val="0"/>
                <w:szCs w:val="21"/>
                <w:lang w:eastAsia="zh-CN"/>
              </w:rPr>
              <w:t>3</w:t>
            </w:r>
            <w:r>
              <w:rPr>
                <w:rFonts w:hint="eastAsia" w:cs="宋体" w:asciiTheme="majorEastAsia" w:hAnsiTheme="majorEastAsia" w:eastAsiaTheme="majorEastAsia"/>
                <w:kern w:val="0"/>
                <w:szCs w:val="21"/>
                <w:lang w:val="en-US" w:eastAsia="zh-CN"/>
              </w:rPr>
              <w:t>0000</w:t>
            </w:r>
            <w:r>
              <w:rPr>
                <w:rFonts w:hint="eastAsia" w:cs="宋体" w:asciiTheme="majorEastAsia" w:hAnsiTheme="majorEastAsia" w:eastAsiaTheme="majorEastAsia"/>
                <w:kern w:val="0"/>
                <w:szCs w:val="21"/>
              </w:rPr>
              <w:t>.00）</w:t>
            </w:r>
          </w:p>
        </w:tc>
      </w:tr>
      <w:tr>
        <w:trPr>
          <w:trHeight w:val="735" w:hRule="atLeast"/>
        </w:trPr>
        <w:tc>
          <w:tcPr>
            <w:tcW w:w="5000" w:type="pct"/>
            <w:gridSpan w:val="9"/>
            <w:shd w:val="clear" w:color="000000" w:fill="FFFFFF"/>
          </w:tcPr>
          <w:p>
            <w:pPr>
              <w:rPr>
                <w:b/>
              </w:rPr>
            </w:pPr>
            <w:r>
              <w:rPr>
                <w:rFonts w:hint="eastAsia"/>
                <w:b/>
              </w:rPr>
              <w:t>商务条款：</w:t>
            </w:r>
          </w:p>
          <w:p>
            <w:r>
              <w:rPr>
                <w:rFonts w:hint="eastAsia"/>
              </w:rPr>
              <w:t>▲1.签订合同之日起</w:t>
            </w:r>
            <w:r>
              <w:t>7</w:t>
            </w:r>
            <w:r>
              <w:rPr>
                <w:rFonts w:hint="eastAsia"/>
                <w:lang w:val="en-US" w:eastAsia="zh-Hans"/>
              </w:rPr>
              <w:t>日</w:t>
            </w:r>
            <w:r>
              <w:rPr>
                <w:rFonts w:hint="eastAsia"/>
              </w:rPr>
              <w:t>内交付使用，投标人需提前了解货源，逾期不交付的采购人有权取消合同，所造成的损失由成交供应商负责，并追究其法律责任。</w:t>
            </w:r>
          </w:p>
          <w:p>
            <w:r>
              <w:rPr>
                <w:rFonts w:hint="eastAsia"/>
              </w:rPr>
              <w:t>2.交货地点：采购人指定地点。</w:t>
            </w:r>
          </w:p>
          <w:p>
            <w:r>
              <w:rPr>
                <w:rFonts w:hint="eastAsia"/>
              </w:rPr>
              <w:t>3.交货方式：现场现货。</w:t>
            </w:r>
          </w:p>
          <w:p>
            <w:r>
              <w:rPr>
                <w:rFonts w:hint="eastAsia"/>
              </w:rPr>
              <w:t>▲4、报价要求：投标报价为采购人指定地点的现场交货价，包括（但不限于）：招标采购范围内货物价款（包括配套设施设备价款、货物随配标准附件、包装、运输、装卸、保险、税金、货到位以及安装、安装所需辅材、调试、检验、售后服务、培训、保修）、运杂费、增值税及其它全部费用的总和（采购人不再支付除中标价以外的任何费用）。</w:t>
            </w:r>
          </w:p>
          <w:p>
            <w:r>
              <w:rPr>
                <w:rFonts w:hint="eastAsia"/>
              </w:rPr>
              <w:t>5.付款方式：本项目无预付款，待供应商交货完毕并验收合格后，中标人开具全额增值税发票给采购人，采购人一次性支付完合同款。</w:t>
            </w:r>
          </w:p>
          <w:p>
            <w:r>
              <w:rPr>
                <w:rFonts w:hint="eastAsia"/>
              </w:rPr>
              <w:t>▲6.中标供应商在采购人确认成交之日起24小时内签订合同，同时必须提供生产厂家针对本项目的供货证明原件</w:t>
            </w:r>
            <w:r>
              <w:rPr>
                <w:rFonts w:hint="eastAsia"/>
                <w:lang w:eastAsia="zh-CN"/>
              </w:rPr>
              <w:t>、</w:t>
            </w:r>
            <w:r>
              <w:rPr>
                <w:rFonts w:hint="eastAsia"/>
              </w:rPr>
              <w:t>售后服务承诺书原件</w:t>
            </w:r>
            <w:r>
              <w:rPr>
                <w:rFonts w:hint="eastAsia"/>
                <w:lang w:eastAsia="zh-CN"/>
              </w:rPr>
              <w:t>及商标注册证复印件</w:t>
            </w:r>
            <w:r>
              <w:rPr>
                <w:rFonts w:hint="eastAsia"/>
              </w:rPr>
              <w:t>，并加盖厂家公章；并提供技术参数中要求的检测报告或证明材料原件</w:t>
            </w:r>
            <w:r>
              <w:t>核查</w:t>
            </w:r>
            <w:r>
              <w:rPr>
                <w:rFonts w:hint="eastAsia"/>
              </w:rPr>
              <w:t>，如出现所提供材料不符招标要求或无法提供所要求的材料，则视为虚假竞标，采购人有权依法追求法律责任，并将依法向政采云平台举报，上报政府采购监管部门，予以禁止报价、扣除诚信分等处罚，政采云全平台各区划联动生效。</w:t>
            </w:r>
          </w:p>
          <w:p>
            <w:r>
              <w:rPr>
                <w:rFonts w:hint="eastAsia"/>
              </w:rPr>
              <w:t>7.本次采购货物在完成所有安装调试并经采购人验收前，商品的丢失、损害或毁坏等风险由中标供应商承担。中标供应商组织安装调试期间应做到安全安装调试，不损坏采购人的设备设施，否则，应承担由于自身安全措施不力所造成的事故责任和造成的损失。</w:t>
            </w:r>
          </w:p>
          <w:p>
            <w:r>
              <w:rPr>
                <w:rFonts w:hint="eastAsia"/>
              </w:rPr>
              <w:t>8.售后技术服务及其要求：</w:t>
            </w:r>
          </w:p>
          <w:p>
            <w:r>
              <w:rPr>
                <w:rFonts w:hint="eastAsia"/>
              </w:rPr>
              <w:t>8.1.免费送货上门；</w:t>
            </w:r>
          </w:p>
          <w:p>
            <w:r>
              <w:rPr>
                <w:rFonts w:hint="eastAsia"/>
              </w:rPr>
              <w:t>8.2.提供免费培训服务（要求中标公司必须给项目学校提供现场技术培训，项目学校的供货及设备安装调试工作都完成后还要进行一次集中培训）；</w:t>
            </w:r>
          </w:p>
          <w:p>
            <w:r>
              <w:rPr>
                <w:rFonts w:hint="eastAsia"/>
              </w:rPr>
              <w:t>8.3.售后服务保障或维修响应时间要求：接到用户通知后 24 个小时内到达现场提供售后服务。</w:t>
            </w:r>
          </w:p>
          <w:p>
            <w:r>
              <w:rPr>
                <w:rFonts w:hint="eastAsia"/>
              </w:rPr>
              <w:t>▲</w:t>
            </w:r>
            <w:r>
              <w:t>9.</w:t>
            </w:r>
            <w:r>
              <w:rPr>
                <w:rFonts w:hint="eastAsia"/>
              </w:rPr>
              <w:t>正品保障：本项目中标人必须按货物需求表指定的意向品牌供货，不接受推荐品牌外的产品，供应商不得以任何理由更改设备的品牌、配置，配置必须是原厂出厂配置，不接受出厂后加装，中标人需提供品牌合法代理证，产品保持原厂包装不开封，不接受注册为其他单位的商品，验收时查询产品及原厂保修信息，并提供原厂供货证明</w:t>
            </w:r>
            <w:r>
              <w:rPr>
                <w:rFonts w:hint="eastAsia"/>
                <w:lang w:eastAsia="zh-CN"/>
              </w:rPr>
              <w:t>，商标注册证复印件</w:t>
            </w:r>
            <w:r>
              <w:rPr>
                <w:rFonts w:hint="eastAsia"/>
              </w:rPr>
              <w:t>，否则不予验收。</w:t>
            </w:r>
          </w:p>
          <w:p>
            <w:r>
              <w:rPr>
                <w:rFonts w:hint="eastAsia"/>
              </w:rPr>
              <w:t>▲</w:t>
            </w:r>
            <w:r>
              <w:t>10.</w:t>
            </w:r>
            <w:r>
              <w:rPr>
                <w:rFonts w:hint="eastAsia"/>
              </w:rPr>
              <w:t>打“▲”号条款为重要技术参数，投标人必须满足否则报价无效。在确认合同前、成交供应商必须提供与技术参数要求及功能符合的全部样品一套至采购人处进行整体性能演示作为合同确认的标准依据，如出现所提供样品不符技术参数要求或无法提供所有样品，均视为虚假响应货物要求处理并追究法律责任。违约责任：如提供的实物样品未满足技术参数要求，将依法向政采云平台举报，并上报政府采购监管部门，予以禁止报价、扣除诚信分等处罚，政采云全平台各区划联动生效。</w:t>
            </w:r>
          </w:p>
          <w:p>
            <w:pPr>
              <w:rPr>
                <w:rFonts w:hint="eastAsia"/>
              </w:rPr>
            </w:pPr>
          </w:p>
          <w:p>
            <w:pPr>
              <w:rPr>
                <w:b/>
              </w:rPr>
            </w:pPr>
            <w:r>
              <w:rPr>
                <w:rFonts w:hint="eastAsia"/>
                <w:b/>
              </w:rPr>
              <w:t>注意事项：</w:t>
            </w:r>
          </w:p>
          <w:p>
            <w:pPr>
              <w:widowControl/>
              <w:rPr>
                <w:rFonts w:hint="eastAsia" w:cs="宋体" w:asciiTheme="majorEastAsia" w:hAnsiTheme="majorEastAsia" w:eastAsiaTheme="majorEastAsia"/>
                <w:kern w:val="0"/>
                <w:szCs w:val="21"/>
              </w:rPr>
            </w:pPr>
            <w:r>
              <w:rPr>
                <w:rFonts w:hint="eastAsia"/>
              </w:rPr>
              <w:t>请各潜在投标人熟悉政采云平台细化在线询价、反向竞价管理规则，保障业务有序开展。如供应商存在不按要求报价、中标后无故放弃、不按合同履行等违约行为的，采购人有权向政采云平台举报，并上报政府采购监管部门，予以禁止报价、扣除诚信分等处罚，政采云全平台各区划联动生效。</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5F"/>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1"/>
        <w:szCs w:val="21"/>
      </w:rPr>
      <w:id w:val="0"/>
    </w:sdtPr>
    <w:sdtEndPr>
      <w:rPr>
        <w:rFonts w:asciiTheme="majorEastAsia" w:hAnsiTheme="majorEastAsia" w:eastAsiaTheme="majorEastAsia"/>
        <w:sz w:val="21"/>
        <w:szCs w:val="21"/>
      </w:rPr>
    </w:sdtEndPr>
    <w:sdtContent>
      <w:p>
        <w:pPr>
          <w:pStyle w:val="2"/>
          <w:jc w:val="center"/>
          <w:rPr>
            <w:rFonts w:asciiTheme="majorEastAsia" w:hAnsiTheme="majorEastAsia" w:eastAsiaTheme="majorEastAsia"/>
            <w:sz w:val="21"/>
            <w:szCs w:val="21"/>
          </w:rPr>
        </w:pPr>
        <w:r>
          <w:rPr>
            <w:rFonts w:asciiTheme="majorEastAsia" w:hAnsiTheme="majorEastAsia" w:eastAsiaTheme="majorEastAsia"/>
            <w:sz w:val="21"/>
            <w:szCs w:val="21"/>
          </w:rPr>
          <w:fldChar w:fldCharType="begin"/>
        </w:r>
        <w:r>
          <w:rPr>
            <w:rFonts w:asciiTheme="majorEastAsia" w:hAnsiTheme="majorEastAsia" w:eastAsiaTheme="majorEastAsia"/>
            <w:sz w:val="21"/>
            <w:szCs w:val="21"/>
          </w:rPr>
          <w:instrText xml:space="preserve">PAGE   \* MERGEFORMAT</w:instrText>
        </w:r>
        <w:r>
          <w:rPr>
            <w:rFonts w:asciiTheme="majorEastAsia" w:hAnsiTheme="majorEastAsia" w:eastAsiaTheme="majorEastAsia"/>
            <w:sz w:val="21"/>
            <w:szCs w:val="21"/>
          </w:rPr>
          <w:fldChar w:fldCharType="separate"/>
        </w:r>
        <w:r>
          <w:rPr>
            <w:rFonts w:asciiTheme="majorEastAsia" w:hAnsiTheme="majorEastAsia" w:eastAsiaTheme="majorEastAsia"/>
            <w:sz w:val="21"/>
            <w:szCs w:val="21"/>
            <w:lang w:val="zh-CN"/>
          </w:rPr>
          <w:t>14</w:t>
        </w:r>
        <w:r>
          <w:rPr>
            <w:rFonts w:asciiTheme="majorEastAsia" w:hAnsiTheme="majorEastAsia" w:eastAsiaTheme="majorEastAsia"/>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YjBlMmU0OWRlNjU2NzVjMzNhZmFhNTkxN2U1ZDcifQ=="/>
  </w:docVars>
  <w:rsids>
    <w:rsidRoot w:val="000B78AD"/>
    <w:rsid w:val="0000422B"/>
    <w:rsid w:val="00046C5F"/>
    <w:rsid w:val="0005618D"/>
    <w:rsid w:val="0007764E"/>
    <w:rsid w:val="00086986"/>
    <w:rsid w:val="00090868"/>
    <w:rsid w:val="00093483"/>
    <w:rsid w:val="0009451B"/>
    <w:rsid w:val="00094A0A"/>
    <w:rsid w:val="000A12BF"/>
    <w:rsid w:val="000B78AD"/>
    <w:rsid w:val="000E0E6E"/>
    <w:rsid w:val="000F5935"/>
    <w:rsid w:val="00134636"/>
    <w:rsid w:val="00152DBA"/>
    <w:rsid w:val="0017372B"/>
    <w:rsid w:val="00175500"/>
    <w:rsid w:val="00180368"/>
    <w:rsid w:val="001A414D"/>
    <w:rsid w:val="001B0A3C"/>
    <w:rsid w:val="001B6BA9"/>
    <w:rsid w:val="001D5BD1"/>
    <w:rsid w:val="001E10D2"/>
    <w:rsid w:val="001E4DD0"/>
    <w:rsid w:val="001F294E"/>
    <w:rsid w:val="002037E9"/>
    <w:rsid w:val="00211C77"/>
    <w:rsid w:val="00222B86"/>
    <w:rsid w:val="0024324C"/>
    <w:rsid w:val="002900A1"/>
    <w:rsid w:val="002915F3"/>
    <w:rsid w:val="002B5F18"/>
    <w:rsid w:val="002C53E9"/>
    <w:rsid w:val="002C7507"/>
    <w:rsid w:val="002D3BE2"/>
    <w:rsid w:val="002D471C"/>
    <w:rsid w:val="003073B7"/>
    <w:rsid w:val="003136E7"/>
    <w:rsid w:val="003248A1"/>
    <w:rsid w:val="003625AD"/>
    <w:rsid w:val="00375CC9"/>
    <w:rsid w:val="00380D67"/>
    <w:rsid w:val="003833F9"/>
    <w:rsid w:val="003C111C"/>
    <w:rsid w:val="003F4DAD"/>
    <w:rsid w:val="00417D71"/>
    <w:rsid w:val="004317DF"/>
    <w:rsid w:val="00450251"/>
    <w:rsid w:val="0048510D"/>
    <w:rsid w:val="004865D8"/>
    <w:rsid w:val="00487825"/>
    <w:rsid w:val="004A6582"/>
    <w:rsid w:val="004D0C51"/>
    <w:rsid w:val="004F2FF2"/>
    <w:rsid w:val="004F5A1B"/>
    <w:rsid w:val="004F5D72"/>
    <w:rsid w:val="00544EFC"/>
    <w:rsid w:val="00552890"/>
    <w:rsid w:val="005540F7"/>
    <w:rsid w:val="005579CD"/>
    <w:rsid w:val="00587530"/>
    <w:rsid w:val="005B5F68"/>
    <w:rsid w:val="005C6B40"/>
    <w:rsid w:val="005E0BD0"/>
    <w:rsid w:val="006222B5"/>
    <w:rsid w:val="00623039"/>
    <w:rsid w:val="00631EFF"/>
    <w:rsid w:val="00641C9C"/>
    <w:rsid w:val="00683CBF"/>
    <w:rsid w:val="006A030A"/>
    <w:rsid w:val="006A638F"/>
    <w:rsid w:val="006B0BB1"/>
    <w:rsid w:val="006B544D"/>
    <w:rsid w:val="006E0ECA"/>
    <w:rsid w:val="00706103"/>
    <w:rsid w:val="00711E6C"/>
    <w:rsid w:val="00762229"/>
    <w:rsid w:val="00776529"/>
    <w:rsid w:val="00777541"/>
    <w:rsid w:val="007D2A8F"/>
    <w:rsid w:val="007D6B44"/>
    <w:rsid w:val="007F1CD9"/>
    <w:rsid w:val="008308E4"/>
    <w:rsid w:val="00836739"/>
    <w:rsid w:val="00852D68"/>
    <w:rsid w:val="00864621"/>
    <w:rsid w:val="00866AD1"/>
    <w:rsid w:val="0088221E"/>
    <w:rsid w:val="0089301A"/>
    <w:rsid w:val="00895370"/>
    <w:rsid w:val="008A1E54"/>
    <w:rsid w:val="008E7446"/>
    <w:rsid w:val="0090737C"/>
    <w:rsid w:val="00961489"/>
    <w:rsid w:val="00967A75"/>
    <w:rsid w:val="00984254"/>
    <w:rsid w:val="009B7CE2"/>
    <w:rsid w:val="009D0B1F"/>
    <w:rsid w:val="009D0D28"/>
    <w:rsid w:val="00A24B22"/>
    <w:rsid w:val="00A4117A"/>
    <w:rsid w:val="00A53740"/>
    <w:rsid w:val="00A640C6"/>
    <w:rsid w:val="00A65F52"/>
    <w:rsid w:val="00A90FED"/>
    <w:rsid w:val="00AA2328"/>
    <w:rsid w:val="00AD5454"/>
    <w:rsid w:val="00AE19DA"/>
    <w:rsid w:val="00AF3A5D"/>
    <w:rsid w:val="00AF648C"/>
    <w:rsid w:val="00B24FB1"/>
    <w:rsid w:val="00B43E0D"/>
    <w:rsid w:val="00B56AC1"/>
    <w:rsid w:val="00B72B98"/>
    <w:rsid w:val="00B7696F"/>
    <w:rsid w:val="00B83480"/>
    <w:rsid w:val="00B935F0"/>
    <w:rsid w:val="00B93741"/>
    <w:rsid w:val="00BC51B7"/>
    <w:rsid w:val="00BD74A1"/>
    <w:rsid w:val="00C663AC"/>
    <w:rsid w:val="00C910EB"/>
    <w:rsid w:val="00C91A82"/>
    <w:rsid w:val="00CA3D74"/>
    <w:rsid w:val="00CD1D3D"/>
    <w:rsid w:val="00D2332F"/>
    <w:rsid w:val="00D57A95"/>
    <w:rsid w:val="00D839E9"/>
    <w:rsid w:val="00D83E8E"/>
    <w:rsid w:val="00D87D73"/>
    <w:rsid w:val="00DB782A"/>
    <w:rsid w:val="00DE6B28"/>
    <w:rsid w:val="00DF58AE"/>
    <w:rsid w:val="00E27D03"/>
    <w:rsid w:val="00E330C4"/>
    <w:rsid w:val="00E33243"/>
    <w:rsid w:val="00E4089D"/>
    <w:rsid w:val="00E53AE3"/>
    <w:rsid w:val="00E552E1"/>
    <w:rsid w:val="00E60E9E"/>
    <w:rsid w:val="00E7290D"/>
    <w:rsid w:val="00E77A8F"/>
    <w:rsid w:val="00E82223"/>
    <w:rsid w:val="00EB5A3A"/>
    <w:rsid w:val="00EC40F2"/>
    <w:rsid w:val="00EF4049"/>
    <w:rsid w:val="00F342FA"/>
    <w:rsid w:val="00F46623"/>
    <w:rsid w:val="00F5366B"/>
    <w:rsid w:val="00F66824"/>
    <w:rsid w:val="00F67F01"/>
    <w:rsid w:val="00F731B3"/>
    <w:rsid w:val="00F77A38"/>
    <w:rsid w:val="00F82029"/>
    <w:rsid w:val="00F851DF"/>
    <w:rsid w:val="00FA089F"/>
    <w:rsid w:val="00FA611E"/>
    <w:rsid w:val="07A86AAB"/>
    <w:rsid w:val="09423021"/>
    <w:rsid w:val="0E041CEE"/>
    <w:rsid w:val="0F0312ED"/>
    <w:rsid w:val="14981F8C"/>
    <w:rsid w:val="1BC33A5C"/>
    <w:rsid w:val="1CC568A1"/>
    <w:rsid w:val="25027659"/>
    <w:rsid w:val="25351310"/>
    <w:rsid w:val="2A8F4F86"/>
    <w:rsid w:val="32EE0F67"/>
    <w:rsid w:val="370276FA"/>
    <w:rsid w:val="39D904EA"/>
    <w:rsid w:val="458430F2"/>
    <w:rsid w:val="539C3490"/>
    <w:rsid w:val="5428662F"/>
    <w:rsid w:val="59674AFC"/>
    <w:rsid w:val="5B6321F4"/>
    <w:rsid w:val="5DA91083"/>
    <w:rsid w:val="65F70AC7"/>
    <w:rsid w:val="69C706F9"/>
    <w:rsid w:val="74B47CDA"/>
    <w:rsid w:val="751761ED"/>
    <w:rsid w:val="75AA4FC9"/>
    <w:rsid w:val="7DFD4D75"/>
    <w:rsid w:val="D7F0D32B"/>
    <w:rsid w:val="D7FF179F"/>
    <w:rsid w:val="FF3E4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3839</Words>
  <Characters>4322</Characters>
  <Lines>61</Lines>
  <Paragraphs>17</Paragraphs>
  <ScaleCrop>false</ScaleCrop>
  <LinksUpToDate>false</LinksUpToDate>
  <CharactersWithSpaces>4340</CharactersWithSpaces>
  <Application>WPS Office_4.0.1.6533_F1E327BC-269C-435d-A152-05C5408002CA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2022-02-28T16:39:00Z</dcterms:created>
  <dc:creator>Windows</dc:creator>
  <cp:lastModifiedBy>lwh</cp:lastModifiedBy>
  <dcterms:modified xsi:type="dcterms:W3CDTF">2026-08-18T15:25:55Z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2052-4.0.1.6533</vt:lpwstr>
  </property>
  <property fmtid="{D5CDD505-2E9C-101B-9397-08002B2CF9AE}" pid="3" name="ICV">
    <vt:lpwstr>CF9F635C449344CDA2C81DA6D4D3843D_13</vt:lpwstr>
  </property>
  <property fmtid="{D5CDD505-2E9C-101B-9397-08002B2CF9AE}" pid="4" name="KSOTemplateDocerSaveRecord">
    <vt:lpwstr>eyJoZGlkIjoiNmI0YTUzMWQ4MzNlOWIwZGZjNTY1MjUxZjUyYTAwNTYiLCJ1c2VySWQiOiI5ODIyNDUxMTYifQ==</vt:lpwstr>
  </property>
</Properties>
</file>