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04AE7">
      <w:pPr>
        <w:spacing w:line="240" w:lineRule="auto"/>
        <w:jc w:val="both"/>
        <w:rPr>
          <w:rFonts w:hint="default" w:ascii="Times New Roman" w:hAnsi="Times New Roman" w:eastAsia="仿宋_GB2312" w:cs="Times New Roman"/>
          <w:b/>
          <w:color w:val="000000" w:themeColor="text1"/>
          <w:sz w:val="72"/>
          <w:szCs w:val="72"/>
          <w:highlight w:val="none"/>
          <w14:textFill>
            <w14:solidFill>
              <w14:schemeClr w14:val="tx1"/>
            </w14:solidFill>
          </w14:textFill>
        </w:rPr>
      </w:pPr>
    </w:p>
    <w:p w14:paraId="2D4E67A4">
      <w:pPr>
        <w:spacing w:line="240" w:lineRule="auto"/>
        <w:jc w:val="center"/>
        <w:rPr>
          <w:rFonts w:hint="default" w:ascii="Times New Roman" w:hAnsi="Times New Roman" w:eastAsia="仿宋_GB2312" w:cs="Times New Roman"/>
          <w:b/>
          <w:color w:val="000000" w:themeColor="text1"/>
          <w:sz w:val="72"/>
          <w:szCs w:val="72"/>
          <w:highlight w:val="none"/>
          <w14:textFill>
            <w14:solidFill>
              <w14:schemeClr w14:val="tx1"/>
            </w14:solidFill>
          </w14:textFill>
        </w:rPr>
      </w:pPr>
    </w:p>
    <w:p w14:paraId="426E1E7C">
      <w:pPr>
        <w:pStyle w:val="19"/>
        <w:rPr>
          <w:rFonts w:hint="default" w:ascii="Times New Roman" w:hAnsi="Times New Roman" w:eastAsia="仿宋_GB2312" w:cs="Times New Roman"/>
        </w:rPr>
      </w:pPr>
    </w:p>
    <w:p w14:paraId="409074EB">
      <w:pPr>
        <w:pStyle w:val="19"/>
        <w:rPr>
          <w:rFonts w:hint="default" w:ascii="Times New Roman" w:hAnsi="Times New Roman" w:eastAsia="仿宋_GB2312" w:cs="Times New Roman"/>
        </w:rPr>
      </w:pPr>
    </w:p>
    <w:p w14:paraId="0B198034">
      <w:pPr>
        <w:spacing w:line="240" w:lineRule="auto"/>
        <w:jc w:val="center"/>
        <w:rPr>
          <w:rFonts w:hint="eastAsia" w:ascii="Times New Roman" w:hAnsi="Times New Roman" w:eastAsia="仿宋_GB2312" w:cs="Times New Roman"/>
          <w:b/>
          <w:color w:val="auto"/>
          <w:sz w:val="60"/>
          <w:szCs w:val="60"/>
          <w:highlight w:val="none"/>
          <w:lang w:val="en-US" w:eastAsia="zh-CN"/>
        </w:rPr>
      </w:pPr>
      <w:r>
        <w:rPr>
          <w:rFonts w:hint="eastAsia" w:ascii="Times New Roman" w:hAnsi="Times New Roman" w:eastAsia="仿宋_GB2312" w:cs="Times New Roman"/>
          <w:b/>
          <w:color w:val="auto"/>
          <w:sz w:val="60"/>
          <w:szCs w:val="60"/>
          <w:highlight w:val="none"/>
          <w:lang w:val="en-US" w:eastAsia="zh-CN"/>
        </w:rPr>
        <w:t>学生宿舍家具采购项目</w:t>
      </w:r>
    </w:p>
    <w:p w14:paraId="0E8D6841">
      <w:pPr>
        <w:spacing w:line="240" w:lineRule="auto"/>
        <w:jc w:val="center"/>
        <w:rPr>
          <w:rFonts w:hint="default" w:ascii="Times New Roman" w:hAnsi="Times New Roman" w:eastAsia="仿宋_GB2312" w:cs="Times New Roman"/>
          <w:b/>
          <w:color w:val="auto"/>
          <w:sz w:val="60"/>
          <w:szCs w:val="60"/>
          <w:highlight w:val="none"/>
        </w:rPr>
      </w:pPr>
      <w:r>
        <w:rPr>
          <w:rFonts w:hint="default" w:ascii="Times New Roman" w:hAnsi="Times New Roman" w:eastAsia="仿宋_GB2312" w:cs="Times New Roman"/>
          <w:b/>
          <w:color w:val="auto"/>
          <w:sz w:val="60"/>
          <w:szCs w:val="60"/>
          <w:highlight w:val="none"/>
          <w:lang w:val="en-US" w:eastAsia="zh-CN"/>
        </w:rPr>
        <w:t>线上竞价</w:t>
      </w:r>
      <w:r>
        <w:rPr>
          <w:rFonts w:hint="default" w:ascii="Times New Roman" w:hAnsi="Times New Roman" w:eastAsia="仿宋_GB2312" w:cs="Times New Roman"/>
          <w:b/>
          <w:color w:val="auto"/>
          <w:sz w:val="60"/>
          <w:szCs w:val="60"/>
          <w:highlight w:val="none"/>
        </w:rPr>
        <w:t>文件</w:t>
      </w:r>
    </w:p>
    <w:p w14:paraId="1983D77A">
      <w:pPr>
        <w:pStyle w:val="19"/>
        <w:spacing w:line="240" w:lineRule="auto"/>
        <w:ind w:firstLine="723"/>
        <w:rPr>
          <w:rFonts w:hint="default" w:ascii="Times New Roman" w:hAnsi="Times New Roman" w:eastAsia="仿宋_GB2312" w:cs="Times New Roman"/>
          <w:b/>
          <w:color w:val="000000" w:themeColor="text1"/>
          <w:sz w:val="72"/>
          <w:szCs w:val="72"/>
          <w:highlight w:val="none"/>
          <w14:textFill>
            <w14:solidFill>
              <w14:schemeClr w14:val="tx1"/>
            </w14:solidFill>
          </w14:textFill>
        </w:rPr>
      </w:pPr>
    </w:p>
    <w:p w14:paraId="5A2675B7">
      <w:pPr>
        <w:spacing w:line="240" w:lineRule="auto"/>
        <w:rPr>
          <w:rFonts w:hint="default" w:ascii="Times New Roman" w:hAnsi="Times New Roman" w:eastAsia="仿宋_GB2312" w:cs="Times New Roman"/>
          <w:b/>
          <w:color w:val="000000" w:themeColor="text1"/>
          <w:sz w:val="72"/>
          <w:szCs w:val="72"/>
          <w:highlight w:val="none"/>
          <w14:textFill>
            <w14:solidFill>
              <w14:schemeClr w14:val="tx1"/>
            </w14:solidFill>
          </w14:textFill>
        </w:rPr>
      </w:pPr>
    </w:p>
    <w:p w14:paraId="4C77FFC6">
      <w:pPr>
        <w:spacing w:line="240" w:lineRule="auto"/>
        <w:ind w:left="2249" w:leftChars="306" w:hanging="1606" w:hangingChars="500"/>
        <w:jc w:val="center"/>
        <w:rPr>
          <w:rFonts w:hint="default" w:ascii="Times New Roman" w:hAnsi="Times New Roman" w:eastAsia="仿宋_GB2312" w:cs="Times New Roman"/>
          <w:b/>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项目名称：</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学生宿舍家具采购项目</w:t>
      </w:r>
    </w:p>
    <w:p w14:paraId="5CEC0CC0">
      <w:pPr>
        <w:pStyle w:val="11"/>
        <w:spacing w:line="240" w:lineRule="auto"/>
        <w:ind w:firstLine="643" w:firstLineChars="200"/>
        <w:jc w:val="center"/>
        <w:rPr>
          <w:rFonts w:hint="eastAsia" w:ascii="Times New Roman" w:hAnsi="Times New Roman" w:eastAsia="仿宋_GB2312" w:cs="Times New Roman"/>
          <w:b/>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采购单位：</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北海职业学院</w:t>
      </w:r>
    </w:p>
    <w:p w14:paraId="6E6AD29D">
      <w:pPr>
        <w:spacing w:line="240" w:lineRule="auto"/>
        <w:rPr>
          <w:rFonts w:hint="default" w:ascii="Times New Roman" w:hAnsi="Times New Roman" w:eastAsia="仿宋_GB2312" w:cs="Times New Roman"/>
          <w:b/>
          <w:color w:val="000000" w:themeColor="text1"/>
          <w:sz w:val="32"/>
          <w:szCs w:val="32"/>
          <w:highlight w:val="none"/>
          <w14:textFill>
            <w14:solidFill>
              <w14:schemeClr w14:val="tx1"/>
            </w14:solidFill>
          </w14:textFill>
        </w:rPr>
      </w:pPr>
    </w:p>
    <w:p w14:paraId="053EC6D6">
      <w:pPr>
        <w:spacing w:line="240" w:lineRule="auto"/>
        <w:jc w:val="both"/>
        <w:rPr>
          <w:rFonts w:hint="default" w:ascii="Times New Roman" w:hAnsi="Times New Roman" w:eastAsia="仿宋_GB2312" w:cs="Times New Roman"/>
          <w:b/>
          <w:color w:val="000000" w:themeColor="text1"/>
          <w:sz w:val="32"/>
          <w:szCs w:val="32"/>
          <w:highlight w:val="none"/>
          <w14:textFill>
            <w14:solidFill>
              <w14:schemeClr w14:val="tx1"/>
            </w14:solidFill>
          </w14:textFill>
        </w:rPr>
      </w:pPr>
    </w:p>
    <w:p w14:paraId="298D7A24">
      <w:pPr>
        <w:spacing w:line="240" w:lineRule="auto"/>
        <w:jc w:val="center"/>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年</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月</w:t>
      </w:r>
    </w:p>
    <w:p w14:paraId="4CE51E39">
      <w:pPr>
        <w:spacing w:line="240" w:lineRule="auto"/>
        <w:jc w:val="left"/>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br w:type="page"/>
      </w:r>
    </w:p>
    <w:sdt>
      <w:sdtPr>
        <w:rPr>
          <w:rFonts w:hint="default" w:ascii="Times New Roman" w:hAnsi="Times New Roman" w:eastAsia="宋体" w:cs="Times New Roman"/>
          <w:b/>
          <w:bCs/>
          <w:kern w:val="2"/>
          <w:sz w:val="44"/>
          <w:szCs w:val="44"/>
          <w:lang w:val="en-US" w:eastAsia="zh-CN" w:bidi="ar-SA"/>
        </w:rPr>
        <w:id w:val="147475105"/>
        <w15:color w:val="DBDBDB"/>
        <w:docPartObj>
          <w:docPartGallery w:val="Table of Contents"/>
          <w:docPartUnique/>
        </w:docPartObj>
      </w:sdtPr>
      <w:sdtEndPr>
        <w:rPr>
          <w:rFonts w:hint="default" w:ascii="Times New Roman" w:hAnsi="Times New Roman" w:eastAsia="仿宋_GB2312" w:cs="Times New Roman"/>
          <w:b/>
          <w:bCs/>
          <w:color w:val="000000" w:themeColor="text1"/>
          <w:kern w:val="2"/>
          <w:sz w:val="21"/>
          <w:szCs w:val="36"/>
          <w:highlight w:val="none"/>
          <w:lang w:val="en-US" w:eastAsia="zh-CN" w:bidi="ar-SA"/>
          <w14:textFill>
            <w14:solidFill>
              <w14:schemeClr w14:val="tx1"/>
            </w14:solidFill>
          </w14:textFill>
        </w:rPr>
      </w:sdtEndPr>
      <w:sdtContent>
        <w:p w14:paraId="631589DE">
          <w:pPr>
            <w:keepNext w:val="0"/>
            <w:keepLines w:val="0"/>
            <w:pageBreakBefore w:val="0"/>
            <w:widowControl w:val="0"/>
            <w:kinsoku/>
            <w:wordWrap/>
            <w:overflowPunct/>
            <w:topLinePunct w:val="0"/>
            <w:autoSpaceDE/>
            <w:autoSpaceDN/>
            <w:bidi w:val="0"/>
            <w:adjustRightInd/>
            <w:snapToGrid/>
            <w:spacing w:before="0" w:beforeLines="0" w:after="313" w:afterLines="100" w:line="360" w:lineRule="auto"/>
            <w:ind w:left="0" w:leftChars="0" w:right="0" w:rightChars="0" w:firstLine="0" w:firstLineChars="0"/>
            <w:jc w:val="center"/>
            <w:textAlignment w:val="auto"/>
            <w:rPr>
              <w:rFonts w:hint="default" w:ascii="Times New Roman" w:hAnsi="Times New Roman" w:eastAsia="宋体" w:cs="Times New Roman"/>
              <w:b/>
              <w:bCs/>
              <w:sz w:val="44"/>
              <w:szCs w:val="44"/>
            </w:rPr>
          </w:pPr>
          <w:r>
            <w:rPr>
              <w:rFonts w:hint="eastAsia" w:ascii="仿宋_GB2312" w:hAnsi="仿宋_GB2312" w:eastAsia="仿宋_GB2312" w:cs="仿宋_GB2312"/>
              <w:b/>
              <w:bCs/>
              <w:sz w:val="44"/>
              <w:szCs w:val="44"/>
            </w:rPr>
            <w:t>目</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录</w:t>
          </w:r>
        </w:p>
        <w:p w14:paraId="47130E72">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b/>
              <w:bCs w:val="0"/>
              <w:color w:val="000000" w:themeColor="text1"/>
              <w:kern w:val="2"/>
              <w:sz w:val="32"/>
              <w:szCs w:val="32"/>
              <w:highlight w:val="none"/>
              <w:lang w:val="en-US" w:eastAsia="zh-CN" w:bidi="ar-SA"/>
              <w14:textFill>
                <w14:solidFill>
                  <w14:schemeClr w14:val="tx1"/>
                </w14:solidFill>
              </w14:textFill>
            </w:rPr>
            <w:t>一、</w:t>
          </w:r>
          <w:r>
            <w:rPr>
              <w:rFonts w:hint="eastAsia" w:ascii="宋体" w:hAnsi="宋体" w:eastAsia="宋体" w:cs="宋体"/>
              <w:b/>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
              <w:bCs w:val="0"/>
              <w:color w:val="000000" w:themeColor="text1"/>
              <w:kern w:val="2"/>
              <w:sz w:val="32"/>
              <w:szCs w:val="32"/>
              <w:highlight w:val="none"/>
              <w:lang w:val="en-US" w:eastAsia="zh-CN" w:bidi="ar-SA"/>
              <w14:textFill>
                <w14:solidFill>
                  <w14:schemeClr w14:val="tx1"/>
                </w14:solidFill>
              </w14:textFill>
            </w:rPr>
            <w:instrText xml:space="preserve">TOC \o "1-2" \h \u </w:instrText>
          </w:r>
          <w:r>
            <w:rPr>
              <w:rFonts w:hint="eastAsia" w:ascii="宋体" w:hAnsi="宋体" w:eastAsia="宋体" w:cs="宋体"/>
              <w:b/>
              <w:bCs w:val="0"/>
              <w:color w:val="000000" w:themeColor="text1"/>
              <w:kern w:val="2"/>
              <w:sz w:val="32"/>
              <w:szCs w:val="32"/>
              <w:highlight w:val="none"/>
              <w:lang w:val="en-US" w:eastAsia="zh-CN" w:bidi="ar-SA"/>
              <w14:textFill>
                <w14:solidFill>
                  <w14:schemeClr w14:val="tx1"/>
                </w14:solidFill>
              </w14:textFill>
            </w:rPr>
            <w:fldChar w:fldCharType="separate"/>
          </w: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Cs w:val="0"/>
              <w:kern w:val="2"/>
              <w:sz w:val="32"/>
              <w:szCs w:val="32"/>
              <w:highlight w:val="none"/>
              <w:lang w:val="en-US" w:eastAsia="zh-CN" w:bidi="ar-SA"/>
            </w:rPr>
            <w:instrText xml:space="preserve"> HYPERLINK \l _Toc21515 </w:instrText>
          </w:r>
          <w:r>
            <w:rPr>
              <w:rFonts w:hint="eastAsia" w:ascii="宋体" w:hAnsi="宋体" w:eastAsia="宋体" w:cs="宋体"/>
              <w:bCs w:val="0"/>
              <w:kern w:val="2"/>
              <w:sz w:val="32"/>
              <w:szCs w:val="32"/>
              <w:highlight w:val="none"/>
              <w:lang w:val="en-US" w:eastAsia="zh-CN" w:bidi="ar-SA"/>
            </w:rPr>
            <w:fldChar w:fldCharType="separate"/>
          </w:r>
          <w:r>
            <w:rPr>
              <w:rFonts w:hint="eastAsia" w:ascii="宋体" w:hAnsi="宋体" w:eastAsia="宋体" w:cs="宋体"/>
              <w:bCs/>
              <w:sz w:val="32"/>
              <w:szCs w:val="32"/>
              <w:highlight w:val="none"/>
              <w:lang w:val="en-US" w:eastAsia="zh-CN"/>
            </w:rPr>
            <w:t>学生宿舍家具采购项目竞价公告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_Toc21515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end"/>
          </w:r>
        </w:p>
        <w:p w14:paraId="405BC617">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Cs w:val="0"/>
              <w:kern w:val="2"/>
              <w:sz w:val="32"/>
              <w:szCs w:val="32"/>
              <w:highlight w:val="none"/>
              <w:lang w:val="en-US" w:eastAsia="zh-CN" w:bidi="ar-SA"/>
            </w:rPr>
            <w:instrText xml:space="preserve"> HYPERLINK \l _Toc20735 </w:instrText>
          </w:r>
          <w:r>
            <w:rPr>
              <w:rFonts w:hint="eastAsia" w:ascii="宋体" w:hAnsi="宋体" w:eastAsia="宋体" w:cs="宋体"/>
              <w:bCs w:val="0"/>
              <w:kern w:val="2"/>
              <w:sz w:val="32"/>
              <w:szCs w:val="32"/>
              <w:highlight w:val="none"/>
              <w:lang w:val="en-US" w:eastAsia="zh-CN" w:bidi="ar-SA"/>
            </w:rPr>
            <w:fldChar w:fldCharType="separate"/>
          </w:r>
          <w:r>
            <w:rPr>
              <w:rFonts w:hint="eastAsia" w:ascii="宋体" w:hAnsi="宋体" w:eastAsia="宋体" w:cs="宋体"/>
              <w:bCs/>
              <w:sz w:val="32"/>
              <w:szCs w:val="32"/>
              <w:highlight w:val="none"/>
              <w:lang w:val="en-US" w:eastAsia="zh-CN"/>
            </w:rPr>
            <w:t>二、采购项目需求一览表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_Toc20735 \h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end"/>
          </w:r>
        </w:p>
        <w:p w14:paraId="76AB2386">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Cs w:val="0"/>
              <w:kern w:val="2"/>
              <w:sz w:val="32"/>
              <w:szCs w:val="32"/>
              <w:highlight w:val="none"/>
              <w:lang w:val="en-US" w:eastAsia="zh-CN" w:bidi="ar-SA"/>
            </w:rPr>
            <w:instrText xml:space="preserve"> HYPERLINK \l _Toc27529 </w:instrText>
          </w:r>
          <w:r>
            <w:rPr>
              <w:rFonts w:hint="eastAsia" w:ascii="宋体" w:hAnsi="宋体" w:eastAsia="宋体" w:cs="宋体"/>
              <w:bCs w:val="0"/>
              <w:kern w:val="2"/>
              <w:sz w:val="32"/>
              <w:szCs w:val="32"/>
              <w:highlight w:val="none"/>
              <w:lang w:val="en-US" w:eastAsia="zh-CN" w:bidi="ar-SA"/>
            </w:rPr>
            <w:fldChar w:fldCharType="separate"/>
          </w:r>
          <w:r>
            <w:rPr>
              <w:rFonts w:hint="eastAsia" w:ascii="宋体" w:hAnsi="宋体" w:eastAsia="宋体" w:cs="宋体"/>
              <w:bCs w:val="0"/>
              <w:kern w:val="0"/>
              <w:sz w:val="32"/>
              <w:szCs w:val="32"/>
              <w:lang w:val="en-US" w:eastAsia="zh-CN"/>
            </w:rPr>
            <w:t>三、</w:t>
          </w:r>
          <w:r>
            <w:rPr>
              <w:rFonts w:hint="eastAsia" w:ascii="宋体" w:hAnsi="宋体" w:eastAsia="宋体" w:cs="宋体"/>
              <w:bCs w:val="0"/>
              <w:sz w:val="32"/>
              <w:szCs w:val="32"/>
              <w:highlight w:val="none"/>
              <w:lang w:val="en-US" w:eastAsia="zh-CN"/>
            </w:rPr>
            <w:t>评审标准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_Toc27529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end"/>
          </w:r>
        </w:p>
        <w:p w14:paraId="332BA62B">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Cs w:val="0"/>
              <w:kern w:val="2"/>
              <w:sz w:val="32"/>
              <w:szCs w:val="32"/>
              <w:highlight w:val="none"/>
              <w:lang w:val="en-US" w:eastAsia="zh-CN" w:bidi="ar-SA"/>
            </w:rPr>
            <w:instrText xml:space="preserve"> HYPERLINK \l _Toc13935 </w:instrText>
          </w:r>
          <w:r>
            <w:rPr>
              <w:rFonts w:hint="eastAsia" w:ascii="宋体" w:hAnsi="宋体" w:eastAsia="宋体" w:cs="宋体"/>
              <w:bCs w:val="0"/>
              <w:kern w:val="2"/>
              <w:sz w:val="32"/>
              <w:szCs w:val="32"/>
              <w:highlight w:val="none"/>
              <w:lang w:val="en-US" w:eastAsia="zh-CN" w:bidi="ar-SA"/>
            </w:rPr>
            <w:fldChar w:fldCharType="separate"/>
          </w:r>
          <w:r>
            <w:rPr>
              <w:rFonts w:hint="eastAsia" w:ascii="宋体" w:hAnsi="宋体" w:eastAsia="宋体" w:cs="宋体"/>
              <w:bCs/>
              <w:sz w:val="32"/>
              <w:szCs w:val="32"/>
              <w:lang w:val="en-US" w:eastAsia="zh-CN"/>
            </w:rPr>
            <w:t>四、响应文件格式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_Toc13935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end"/>
          </w:r>
        </w:p>
        <w:p w14:paraId="0E4817F4">
          <w:pPr>
            <w:pStyle w:val="1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Cs w:val="0"/>
              <w:kern w:val="2"/>
              <w:sz w:val="32"/>
              <w:szCs w:val="32"/>
              <w:highlight w:val="none"/>
              <w:lang w:val="en-US" w:eastAsia="zh-CN" w:bidi="ar-SA"/>
            </w:rPr>
            <w:instrText xml:space="preserve"> HYPERLINK \l _Toc23071 </w:instrText>
          </w:r>
          <w:r>
            <w:rPr>
              <w:rFonts w:hint="eastAsia" w:ascii="宋体" w:hAnsi="宋体" w:eastAsia="宋体" w:cs="宋体"/>
              <w:bCs w:val="0"/>
              <w:kern w:val="2"/>
              <w:sz w:val="32"/>
              <w:szCs w:val="32"/>
              <w:highlight w:val="none"/>
              <w:lang w:val="en-US" w:eastAsia="zh-CN" w:bidi="ar-SA"/>
            </w:rPr>
            <w:fldChar w:fldCharType="separate"/>
          </w:r>
          <w:r>
            <w:rPr>
              <w:rFonts w:hint="eastAsia" w:ascii="宋体" w:hAnsi="宋体" w:eastAsia="宋体" w:cs="宋体"/>
              <w:sz w:val="32"/>
              <w:szCs w:val="32"/>
              <w:lang w:val="en-US" w:eastAsia="zh-CN"/>
            </w:rPr>
            <w:t>附件1：报价表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_Toc23071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end"/>
          </w:r>
        </w:p>
        <w:p w14:paraId="1A8E9366">
          <w:pPr>
            <w:pStyle w:val="1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Cs w:val="0"/>
              <w:kern w:val="2"/>
              <w:sz w:val="32"/>
              <w:szCs w:val="32"/>
              <w:highlight w:val="none"/>
              <w:lang w:val="en-US" w:eastAsia="zh-CN" w:bidi="ar-SA"/>
            </w:rPr>
            <w:instrText xml:space="preserve"> HYPERLINK \l _Toc9748 </w:instrText>
          </w:r>
          <w:r>
            <w:rPr>
              <w:rFonts w:hint="eastAsia" w:ascii="宋体" w:hAnsi="宋体" w:eastAsia="宋体" w:cs="宋体"/>
              <w:bCs w:val="0"/>
              <w:kern w:val="2"/>
              <w:sz w:val="32"/>
              <w:szCs w:val="32"/>
              <w:highlight w:val="none"/>
              <w:lang w:val="en-US" w:eastAsia="zh-CN" w:bidi="ar-SA"/>
            </w:rPr>
            <w:fldChar w:fldCharType="separate"/>
          </w:r>
          <w:r>
            <w:rPr>
              <w:rFonts w:hint="eastAsia" w:ascii="宋体" w:hAnsi="宋体" w:eastAsia="宋体" w:cs="宋体"/>
              <w:sz w:val="32"/>
              <w:szCs w:val="32"/>
              <w:lang w:val="en-US" w:eastAsia="zh-CN"/>
            </w:rPr>
            <w:t>附件2：采购需求响应偏离表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_Toc9748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end"/>
          </w:r>
        </w:p>
        <w:p w14:paraId="0443E388">
          <w:pPr>
            <w:pStyle w:val="16"/>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begin"/>
          </w:r>
          <w:r>
            <w:rPr>
              <w:rFonts w:hint="eastAsia" w:ascii="宋体" w:hAnsi="宋体" w:eastAsia="宋体" w:cs="宋体"/>
              <w:bCs w:val="0"/>
              <w:kern w:val="2"/>
              <w:sz w:val="32"/>
              <w:szCs w:val="32"/>
              <w:highlight w:val="none"/>
              <w:lang w:val="en-US" w:eastAsia="zh-CN" w:bidi="ar-SA"/>
            </w:rPr>
            <w:instrText xml:space="preserve"> HYPERLINK \l _Toc4244 </w:instrText>
          </w:r>
          <w:r>
            <w:rPr>
              <w:rFonts w:hint="eastAsia" w:ascii="宋体" w:hAnsi="宋体" w:eastAsia="宋体" w:cs="宋体"/>
              <w:bCs w:val="0"/>
              <w:kern w:val="2"/>
              <w:sz w:val="32"/>
              <w:szCs w:val="32"/>
              <w:highlight w:val="none"/>
              <w:lang w:val="en-US" w:eastAsia="zh-CN" w:bidi="ar-SA"/>
            </w:rPr>
            <w:fldChar w:fldCharType="separate"/>
          </w:r>
          <w:r>
            <w:rPr>
              <w:rFonts w:hint="eastAsia" w:ascii="宋体" w:hAnsi="宋体" w:eastAsia="宋体" w:cs="宋体"/>
              <w:sz w:val="32"/>
              <w:szCs w:val="32"/>
              <w:lang w:val="en-US" w:eastAsia="zh-CN"/>
            </w:rPr>
            <w:t>附件3：无围标串标行为承诺函</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_Toc4244 \h </w:instrText>
          </w:r>
          <w:r>
            <w:rPr>
              <w:rFonts w:hint="eastAsia" w:ascii="宋体" w:hAnsi="宋体" w:eastAsia="宋体" w:cs="宋体"/>
              <w:sz w:val="32"/>
              <w:szCs w:val="32"/>
            </w:rPr>
            <w:fldChar w:fldCharType="separate"/>
          </w:r>
          <w:r>
            <w:rPr>
              <w:rFonts w:hint="eastAsia" w:ascii="宋体" w:hAnsi="宋体" w:eastAsia="宋体" w:cs="宋体"/>
              <w:sz w:val="32"/>
              <w:szCs w:val="32"/>
            </w:rPr>
            <w:t>12</w:t>
          </w:r>
          <w:r>
            <w:rPr>
              <w:rFonts w:hint="eastAsia" w:ascii="宋体" w:hAnsi="宋体" w:eastAsia="宋体" w:cs="宋体"/>
              <w:sz w:val="32"/>
              <w:szCs w:val="32"/>
            </w:rPr>
            <w:fldChar w:fldCharType="end"/>
          </w: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end"/>
          </w:r>
        </w:p>
        <w:p w14:paraId="72DFFB31">
          <w:pPr>
            <w:pStyle w:val="1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color w:val="000000" w:themeColor="text1"/>
              <w:kern w:val="2"/>
              <w:sz w:val="21"/>
              <w:szCs w:val="36"/>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32"/>
              <w:szCs w:val="32"/>
              <w:highlight w:val="none"/>
              <w:lang w:val="en-US" w:eastAsia="zh-CN" w:bidi="ar-SA"/>
              <w14:textFill>
                <w14:solidFill>
                  <w14:schemeClr w14:val="tx1"/>
                </w14:solidFill>
              </w14:textFill>
            </w:rPr>
            <w:fldChar w:fldCharType="end"/>
          </w:r>
        </w:p>
      </w:sdtContent>
    </w:sdt>
    <w:p w14:paraId="1D3CCCCE">
      <w:pPr>
        <w:rPr>
          <w:rFonts w:hint="default" w:ascii="Times New Roman" w:hAnsi="Times New Roman" w:eastAsia="仿宋_GB2312" w:cs="Times New Roman"/>
          <w:bCs/>
          <w:color w:val="000000" w:themeColor="text1"/>
          <w:kern w:val="2"/>
          <w:sz w:val="21"/>
          <w:szCs w:val="36"/>
          <w:highlight w:val="none"/>
          <w:lang w:val="en-US" w:eastAsia="zh-CN" w:bidi="ar-SA"/>
          <w14:textFill>
            <w14:solidFill>
              <w14:schemeClr w14:val="tx1"/>
            </w14:solidFill>
          </w14:textFill>
        </w:rPr>
      </w:pPr>
    </w:p>
    <w:p w14:paraId="41483874">
      <w:pP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sectPr>
          <w:footerReference r:id="rId5" w:type="default"/>
          <w:pgSz w:w="11906" w:h="16838"/>
          <w:pgMar w:top="2098" w:right="1474" w:bottom="1984" w:left="1588" w:header="851" w:footer="992" w:gutter="0"/>
          <w:pgNumType w:fmt="decimal"/>
          <w:cols w:space="425" w:num="1"/>
          <w:docGrid w:type="lines" w:linePitch="312" w:charSpace="0"/>
        </w:sectPr>
      </w:pPr>
      <w:bookmarkStart w:id="16" w:name="_GoBack"/>
      <w:bookmarkEnd w:id="16"/>
      <w:r>
        <w:rPr>
          <w:rFonts w:hint="default"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br w:type="page"/>
      </w:r>
    </w:p>
    <w:p w14:paraId="4F91AD4E">
      <w:pPr>
        <w:keepNext w:val="0"/>
        <w:keepLines w:val="0"/>
        <w:pageBreakBefore w:val="0"/>
        <w:widowControl w:val="0"/>
        <w:kinsoku/>
        <w:wordWrap/>
        <w:overflowPunct/>
        <w:topLinePunct w:val="0"/>
        <w:bidi w:val="0"/>
        <w:snapToGrid/>
        <w:spacing w:after="157" w:afterLines="50" w:line="240" w:lineRule="auto"/>
        <w:ind w:firstLine="0" w:firstLineChars="0"/>
        <w:jc w:val="center"/>
        <w:textAlignment w:val="auto"/>
        <w:outlineLvl w:val="0"/>
        <w:rPr>
          <w:rFonts w:hint="eastAsia" w:ascii="微软雅黑" w:hAnsi="微软雅黑" w:eastAsia="微软雅黑" w:cs="微软雅黑"/>
          <w:b w:val="0"/>
          <w:bCs/>
          <w:color w:val="000000" w:themeColor="text1"/>
          <w:sz w:val="36"/>
          <w:szCs w:val="36"/>
          <w:highlight w:val="none"/>
          <w:lang w:val="en-US" w:eastAsia="zh-CN"/>
          <w14:textFill>
            <w14:solidFill>
              <w14:schemeClr w14:val="tx1"/>
            </w14:solidFill>
          </w14:textFill>
        </w:rPr>
      </w:pPr>
      <w:bookmarkStart w:id="0" w:name="_Toc26089"/>
      <w:bookmarkStart w:id="1" w:name="_Toc21515"/>
      <w:r>
        <w:rPr>
          <w:rFonts w:hint="eastAsia" w:ascii="微软雅黑" w:hAnsi="微软雅黑" w:eastAsia="微软雅黑" w:cs="微软雅黑"/>
          <w:b w:val="0"/>
          <w:bCs/>
          <w:color w:val="000000" w:themeColor="text1"/>
          <w:sz w:val="36"/>
          <w:szCs w:val="36"/>
          <w:highlight w:val="none"/>
          <w:lang w:val="en-US" w:eastAsia="zh-CN"/>
          <w14:textFill>
            <w14:solidFill>
              <w14:schemeClr w14:val="tx1"/>
            </w14:solidFill>
          </w14:textFill>
        </w:rPr>
        <w:t>学生宿舍家具采购项目竞价公告</w:t>
      </w:r>
      <w:bookmarkEnd w:id="0"/>
      <w:bookmarkEnd w:id="1"/>
    </w:p>
    <w:p w14:paraId="31CCC4F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pPr>
      <w:r>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t>一、项目信息：</w:t>
      </w:r>
    </w:p>
    <w:p w14:paraId="7E53D6C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项目名称：</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学生宿舍家具采购项目</w:t>
      </w:r>
    </w:p>
    <w:p w14:paraId="5F99DB19">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采购方式：</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线上竞价（广西</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政</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采云平台）</w:t>
      </w:r>
    </w:p>
    <w:p w14:paraId="4DBDF3F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竞价开始时间：</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以竞价信息发布时间为开始时间</w:t>
      </w:r>
    </w:p>
    <w:p w14:paraId="13F82B9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竞价截止时间：</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竞价开始后 3 个工作日 1</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:00:00</w:t>
      </w:r>
    </w:p>
    <w:p w14:paraId="57B27240">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供应商规模要求：</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微型企业</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,小型企业,中型企业,大型企业</w:t>
      </w:r>
    </w:p>
    <w:p w14:paraId="6733A83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供应商资格要求：</w:t>
      </w:r>
    </w:p>
    <w:p w14:paraId="1E75980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1.满足《中华人民共和国政府采购法》第二十二条规定；</w:t>
      </w:r>
    </w:p>
    <w:p w14:paraId="1AFF93C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2.落实政府采购政策需满足的资格要求：非专门面向中小企业采购的项目；</w:t>
      </w:r>
    </w:p>
    <w:p w14:paraId="3212ACA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3.本项目的特定资格要求：无；</w:t>
      </w:r>
    </w:p>
    <w:p w14:paraId="317B6AE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本项目是否接受联合体</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竞价</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：否。</w:t>
      </w:r>
    </w:p>
    <w:p w14:paraId="7C0329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2652911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黑体" w:hAnsi="黑体" w:eastAsia="黑体" w:cs="黑体"/>
          <w:b w:val="0"/>
          <w:bCs w:val="0"/>
          <w:color w:val="000000" w:themeColor="text1"/>
          <w:sz w:val="28"/>
          <w:szCs w:val="28"/>
          <w:highlight w:val="none"/>
          <w:lang w:val="en-US" w:eastAsia="zh-CN"/>
          <w14:textFill>
            <w14:solidFill>
              <w14:schemeClr w14:val="tx1"/>
            </w14:solidFill>
          </w14:textFill>
        </w:rPr>
      </w:pPr>
      <w:r>
        <w:rPr>
          <w:rFonts w:hint="default" w:ascii="黑体" w:hAnsi="黑体" w:eastAsia="黑体" w:cs="黑体"/>
          <w:b w:val="0"/>
          <w:bCs w:val="0"/>
          <w:color w:val="000000" w:themeColor="text1"/>
          <w:sz w:val="28"/>
          <w:szCs w:val="28"/>
          <w:highlight w:val="none"/>
          <w:lang w:val="en-US" w:eastAsia="zh-CN"/>
          <w14:textFill>
            <w14:solidFill>
              <w14:schemeClr w14:val="tx1"/>
            </w14:solidFill>
          </w14:textFill>
        </w:rPr>
        <w:t>二、采购需求清单：</w:t>
      </w:r>
    </w:p>
    <w:p w14:paraId="53E5ECF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控制</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金额</w:t>
      </w: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（人民币）：</w:t>
      </w:r>
      <w:r>
        <w:rPr>
          <w:rFonts w:hint="eastAsia"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万元</w:t>
      </w:r>
    </w:p>
    <w:p w14:paraId="04ACEE8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参数要求：</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详见采购项目需求一览表</w:t>
      </w:r>
    </w:p>
    <w:p w14:paraId="5172B765">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响应附件要求：</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详见《</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线上竞价文件</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响应文件格式</w:t>
      </w:r>
      <w:r>
        <w:rPr>
          <w:rFonts w:hint="eastAsia" w:ascii="Times New Roman" w:hAnsi="Times New Roman" w:eastAsia="仿宋_GB2312"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所有</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材料均</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须</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加盖单位公章，其它格式文档须转换成PDF格式上传到竞价平台，如材料不完善或未盖</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单位</w:t>
      </w:r>
      <w:r>
        <w:rPr>
          <w:rFonts w:hint="eastAsia" w:ascii="Times New Roman" w:hAnsi="Times New Roman" w:eastAsia="仿宋_GB2312" w:cs="Times New Roman"/>
          <w:color w:val="000000" w:themeColor="text1"/>
          <w:sz w:val="28"/>
          <w:szCs w:val="28"/>
          <w:highlight w:val="none"/>
          <w14:textFill>
            <w14:solidFill>
              <w14:schemeClr w14:val="tx1"/>
            </w14:solidFill>
          </w14:textFill>
        </w:rPr>
        <w:t>公章作无效响应处理。</w:t>
      </w:r>
    </w:p>
    <w:p w14:paraId="3744822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黑体" w:hAnsi="黑体" w:eastAsia="黑体" w:cs="黑体"/>
          <w:b w:val="0"/>
          <w:bCs w:val="0"/>
          <w:color w:val="000000" w:themeColor="text1"/>
          <w:sz w:val="28"/>
          <w:szCs w:val="28"/>
          <w:highlight w:val="none"/>
          <w:lang w:val="en-US" w:eastAsia="zh-CN"/>
          <w14:textFill>
            <w14:solidFill>
              <w14:schemeClr w14:val="tx1"/>
            </w14:solidFill>
          </w14:textFill>
        </w:rPr>
        <w:t>三、收货信息：</w:t>
      </w:r>
    </w:p>
    <w:p w14:paraId="3E59A820">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送货方式：</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送货上门</w:t>
      </w:r>
    </w:p>
    <w:p w14:paraId="326E1E9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送货时间：</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工作日0</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:00-1</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:00</w:t>
      </w:r>
    </w:p>
    <w:p w14:paraId="547A2670">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送货期限：</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自签订合同之日起，30天内安装调试完毕并交付使用。</w:t>
      </w:r>
    </w:p>
    <w:p w14:paraId="7A16C86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送货地址：</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广西北海市西藏路48号北海职业学院</w:t>
      </w:r>
    </w:p>
    <w:p w14:paraId="201A2C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p w14:paraId="6A3F288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黑体" w:hAnsi="黑体" w:eastAsia="黑体" w:cs="黑体"/>
          <w:b w:val="0"/>
          <w:bCs w:val="0"/>
          <w:color w:val="000000" w:themeColor="text1"/>
          <w:sz w:val="28"/>
          <w:szCs w:val="28"/>
          <w:highlight w:val="none"/>
          <w:lang w:val="en-US" w:eastAsia="zh-CN"/>
          <w14:textFill>
            <w14:solidFill>
              <w14:schemeClr w14:val="tx1"/>
            </w14:solidFill>
          </w14:textFill>
        </w:rPr>
        <w:t>四、商务要求：</w:t>
      </w:r>
    </w:p>
    <w:p w14:paraId="100BF3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详见采购项目需求一览表。</w:t>
      </w:r>
    </w:p>
    <w:p w14:paraId="6C099829">
      <w:pPr>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br w:type="page"/>
      </w:r>
    </w:p>
    <w:p w14:paraId="601C52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bookmarkStart w:id="2" w:name="_Toc32369"/>
      <w:bookmarkStart w:id="3" w:name="_Toc20735"/>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二、采购项目需求一览表</w:t>
      </w:r>
      <w:bookmarkEnd w:id="2"/>
      <w:bookmarkEnd w:id="3"/>
    </w:p>
    <w:p w14:paraId="653D4B76">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说明：</w:t>
      </w:r>
    </w:p>
    <w:p w14:paraId="0DFE009F">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rPr>
      </w:pPr>
      <w:r>
        <w:rPr>
          <w:rFonts w:hint="eastAsia" w:eastAsia="仿宋_GB2312" w:cs="Times New Roman"/>
          <w:sz w:val="21"/>
          <w:szCs w:val="21"/>
          <w:lang w:val="en-US" w:eastAsia="zh-CN"/>
        </w:rPr>
        <w:t>1</w:t>
      </w:r>
      <w:r>
        <w:rPr>
          <w:rFonts w:hint="default" w:ascii="Times New Roman" w:hAnsi="Times New Roman" w:eastAsia="仿宋_GB2312" w:cs="Times New Roman"/>
          <w:sz w:val="21"/>
          <w:szCs w:val="21"/>
        </w:rPr>
        <w:t>.“实质性要求”是指</w:t>
      </w:r>
      <w:r>
        <w:rPr>
          <w:rFonts w:hint="eastAsia" w:eastAsia="仿宋_GB2312" w:cs="Times New Roman"/>
          <w:sz w:val="21"/>
          <w:szCs w:val="21"/>
          <w:lang w:eastAsia="zh-CN"/>
        </w:rPr>
        <w:t>线上竞价文件</w:t>
      </w:r>
      <w:r>
        <w:rPr>
          <w:rFonts w:hint="default" w:ascii="Times New Roman" w:hAnsi="Times New Roman" w:eastAsia="仿宋_GB2312" w:cs="Times New Roman"/>
          <w:sz w:val="21"/>
          <w:szCs w:val="21"/>
        </w:rPr>
        <w:t>中已经指明不满足则响应无效的条款，或者不能负偏离的条款，或者采购需求中标注“▲”号的条款。</w:t>
      </w:r>
    </w:p>
    <w:p w14:paraId="6A59768B">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rPr>
      </w:pPr>
      <w:r>
        <w:rPr>
          <w:rFonts w:hint="eastAsia" w:eastAsia="仿宋_GB2312" w:cs="Times New Roman"/>
          <w:sz w:val="21"/>
          <w:szCs w:val="21"/>
          <w:lang w:val="en-US" w:eastAsia="zh-CN"/>
        </w:rPr>
        <w:t>2</w:t>
      </w:r>
      <w:r>
        <w:rPr>
          <w:rFonts w:hint="default" w:ascii="Times New Roman" w:hAnsi="Times New Roman" w:eastAsia="仿宋_GB2312" w:cs="Times New Roman"/>
          <w:sz w:val="21"/>
          <w:szCs w:val="21"/>
        </w:rPr>
        <w:t>.本项目技术要求评审中允许负偏离的条款数</w:t>
      </w:r>
      <w:r>
        <w:rPr>
          <w:rFonts w:hint="default" w:ascii="Times New Roman" w:hAnsi="Times New Roman" w:eastAsia="仿宋_GB2312" w:cs="Times New Roman"/>
          <w:sz w:val="21"/>
          <w:szCs w:val="21"/>
          <w:highlight w:val="none"/>
        </w:rPr>
        <w:t>（未标注“▲”号的条款）为</w:t>
      </w:r>
      <w:r>
        <w:rPr>
          <w:rFonts w:hint="eastAsia" w:eastAsia="仿宋_GB2312" w:cs="Times New Roman"/>
          <w:sz w:val="21"/>
          <w:szCs w:val="21"/>
          <w:highlight w:val="none"/>
          <w:lang w:val="en-US" w:eastAsia="zh-CN"/>
        </w:rPr>
        <w:t>0</w:t>
      </w:r>
      <w:r>
        <w:rPr>
          <w:rFonts w:hint="default" w:ascii="Times New Roman" w:hAnsi="Times New Roman" w:eastAsia="仿宋_GB2312" w:cs="Times New Roman"/>
          <w:sz w:val="21"/>
          <w:szCs w:val="21"/>
          <w:highlight w:val="none"/>
        </w:rPr>
        <w:t>项</w:t>
      </w:r>
      <w:r>
        <w:rPr>
          <w:rFonts w:hint="default" w:ascii="Times New Roman" w:hAnsi="Times New Roman" w:eastAsia="仿宋_GB2312" w:cs="Times New Roman"/>
          <w:sz w:val="21"/>
          <w:szCs w:val="21"/>
        </w:rPr>
        <w:t>，商务要求评审中允许负偏离的条款数为0项。</w:t>
      </w:r>
    </w:p>
    <w:p w14:paraId="4830A4B6">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rPr>
      </w:pPr>
      <w:r>
        <w:rPr>
          <w:rFonts w:hint="eastAsia" w:eastAsia="仿宋_GB2312" w:cs="Times New Roman"/>
          <w:sz w:val="21"/>
          <w:szCs w:val="21"/>
          <w:lang w:val="en-US" w:eastAsia="zh-CN"/>
        </w:rPr>
        <w:t>3</w:t>
      </w:r>
      <w:r>
        <w:rPr>
          <w:rFonts w:hint="default" w:ascii="Times New Roman" w:hAnsi="Times New Roman" w:eastAsia="仿宋_GB2312" w:cs="Times New Roman"/>
          <w:sz w:val="21"/>
          <w:szCs w:val="21"/>
        </w:rPr>
        <w:t>.供应商应根据自身实际情况如实响应</w:t>
      </w:r>
      <w:r>
        <w:rPr>
          <w:rFonts w:hint="eastAsia" w:eastAsia="仿宋_GB2312" w:cs="Times New Roman"/>
          <w:sz w:val="21"/>
          <w:szCs w:val="21"/>
          <w:lang w:eastAsia="zh-CN"/>
        </w:rPr>
        <w:t>线上竞价文件</w:t>
      </w:r>
      <w:r>
        <w:rPr>
          <w:rFonts w:hint="default" w:ascii="Times New Roman" w:hAnsi="Times New Roman" w:eastAsia="仿宋_GB2312" w:cs="Times New Roman"/>
          <w:sz w:val="21"/>
          <w:szCs w:val="21"/>
        </w:rPr>
        <w:t>，对</w:t>
      </w:r>
      <w:r>
        <w:rPr>
          <w:rFonts w:hint="eastAsia" w:eastAsia="仿宋_GB2312" w:cs="Times New Roman"/>
          <w:sz w:val="21"/>
          <w:szCs w:val="21"/>
          <w:lang w:eastAsia="zh-CN"/>
        </w:rPr>
        <w:t>线上竞价文件</w:t>
      </w:r>
      <w:r>
        <w:rPr>
          <w:rFonts w:hint="default" w:ascii="Times New Roman" w:hAnsi="Times New Roman" w:eastAsia="仿宋_GB2312" w:cs="Times New Roman"/>
          <w:sz w:val="21"/>
          <w:szCs w:val="21"/>
        </w:rPr>
        <w:t>提出的要求和条件作出明确响应，否则将作无效响应处理。对于重要技术条款或技术参数应当在响应文件中提供技术支持资料，技术支持资料以</w:t>
      </w:r>
      <w:r>
        <w:rPr>
          <w:rFonts w:hint="eastAsia" w:eastAsia="仿宋_GB2312" w:cs="Times New Roman"/>
          <w:sz w:val="21"/>
          <w:szCs w:val="21"/>
          <w:lang w:eastAsia="zh-CN"/>
        </w:rPr>
        <w:t>线上竞价文件</w:t>
      </w:r>
      <w:r>
        <w:rPr>
          <w:rFonts w:hint="default" w:ascii="Times New Roman" w:hAnsi="Times New Roman" w:eastAsia="仿宋_GB2312" w:cs="Times New Roman"/>
          <w:sz w:val="21"/>
          <w:szCs w:val="21"/>
        </w:rPr>
        <w:t>中规定的形式为准，否则将视为无效技术支持资料。</w:t>
      </w:r>
    </w:p>
    <w:p w14:paraId="37A41214">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rPr>
      </w:pPr>
      <w:r>
        <w:rPr>
          <w:rFonts w:hint="eastAsia" w:eastAsia="仿宋_GB2312" w:cs="Times New Roman"/>
          <w:sz w:val="21"/>
          <w:szCs w:val="21"/>
          <w:lang w:val="en-US" w:eastAsia="zh-CN"/>
        </w:rPr>
        <w:t>4</w:t>
      </w:r>
      <w:r>
        <w:rPr>
          <w:rFonts w:hint="default" w:ascii="Times New Roman" w:hAnsi="Times New Roman" w:eastAsia="仿宋_GB2312" w:cs="Times New Roman"/>
          <w:sz w:val="21"/>
          <w:szCs w:val="21"/>
        </w:rPr>
        <w:t>.供应商必须自行为其投标产品侵犯他人的知识产权或者专利成果的行为承担相应法律责任。</w:t>
      </w:r>
    </w:p>
    <w:p w14:paraId="1F9BB5F0">
      <w:pPr>
        <w:pStyle w:val="4"/>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eastAsia="仿宋_GB2312" w:cs="Times New Roman"/>
          <w:sz w:val="21"/>
          <w:szCs w:val="21"/>
          <w:highlight w:val="none"/>
          <w:lang w:eastAsia="zh-CN"/>
        </w:rPr>
      </w:pPr>
      <w:r>
        <w:rPr>
          <w:rFonts w:hint="eastAsia" w:eastAsia="仿宋_GB2312" w:cs="Times New Roman"/>
          <w:sz w:val="21"/>
          <w:szCs w:val="21"/>
          <w:highlight w:val="none"/>
          <w:lang w:val="en-US" w:eastAsia="zh-CN"/>
        </w:rPr>
        <w:t>5</w:t>
      </w:r>
      <w:r>
        <w:rPr>
          <w:rFonts w:hint="default" w:ascii="Times New Roman" w:hAnsi="Times New Roman" w:eastAsia="仿宋_GB2312" w:cs="Times New Roman"/>
          <w:sz w:val="21"/>
          <w:szCs w:val="21"/>
          <w:highlight w:val="none"/>
        </w:rPr>
        <w:t>.本项目采购标的对应的中小企业划分标准所属行业为：制造业。</w:t>
      </w:r>
    </w:p>
    <w:tbl>
      <w:tblPr>
        <w:tblStyle w:val="20"/>
        <w:tblW w:w="518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
        <w:gridCol w:w="1013"/>
        <w:gridCol w:w="634"/>
        <w:gridCol w:w="727"/>
        <w:gridCol w:w="6564"/>
      </w:tblGrid>
      <w:tr w14:paraId="66CF4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5000" w:type="pct"/>
            <w:gridSpan w:val="5"/>
            <w:shd w:val="clear" w:color="auto" w:fill="D9D9D9"/>
            <w:vAlign w:val="center"/>
          </w:tcPr>
          <w:p w14:paraId="00C58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b/>
                <w:color w:val="000000"/>
                <w:kern w:val="0"/>
                <w:sz w:val="24"/>
                <w:szCs w:val="24"/>
              </w:rPr>
            </w:pPr>
            <w:r>
              <w:rPr>
                <w:rFonts w:hint="default" w:ascii="Times New Roman" w:hAnsi="Times New Roman" w:eastAsia="仿宋_GB2312" w:cs="Times New Roman"/>
                <w:b/>
                <w:color w:val="000000"/>
                <w:kern w:val="0"/>
                <w:sz w:val="24"/>
                <w:szCs w:val="24"/>
              </w:rPr>
              <w:t>一、本项目技术要求</w:t>
            </w:r>
          </w:p>
        </w:tc>
      </w:tr>
      <w:tr w14:paraId="3EE5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241" w:type="pct"/>
            <w:vAlign w:val="center"/>
          </w:tcPr>
          <w:p w14:paraId="02EE56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Cs/>
                <w:color w:val="000000"/>
                <w:kern w:val="0"/>
                <w:sz w:val="24"/>
                <w:szCs w:val="24"/>
              </w:rPr>
              <w:t>序号</w:t>
            </w:r>
          </w:p>
        </w:tc>
        <w:tc>
          <w:tcPr>
            <w:tcW w:w="539" w:type="pct"/>
            <w:vAlign w:val="center"/>
          </w:tcPr>
          <w:p w14:paraId="288AD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lang w:eastAsia="zh-CN"/>
              </w:rPr>
            </w:pPr>
            <w:r>
              <w:rPr>
                <w:rFonts w:hint="eastAsia" w:ascii="Times New Roman" w:hAnsi="Times New Roman" w:eastAsia="仿宋_GB2312" w:cs="Times New Roman"/>
                <w:bCs/>
                <w:color w:val="000000"/>
                <w:kern w:val="0"/>
                <w:sz w:val="24"/>
                <w:szCs w:val="24"/>
                <w:lang w:val="en-US" w:eastAsia="zh-CN"/>
              </w:rPr>
              <w:t>设备</w:t>
            </w:r>
            <w:r>
              <w:rPr>
                <w:rFonts w:hint="default" w:ascii="Times New Roman" w:hAnsi="Times New Roman" w:eastAsia="仿宋_GB2312" w:cs="Times New Roman"/>
                <w:bCs/>
                <w:color w:val="000000"/>
                <w:kern w:val="0"/>
                <w:sz w:val="24"/>
                <w:szCs w:val="24"/>
                <w:lang w:val="en-US" w:eastAsia="zh-CN"/>
              </w:rPr>
              <w:t>名称</w:t>
            </w:r>
          </w:p>
        </w:tc>
        <w:tc>
          <w:tcPr>
            <w:tcW w:w="337" w:type="pct"/>
            <w:vAlign w:val="center"/>
          </w:tcPr>
          <w:p w14:paraId="5B31B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Cs/>
                <w:color w:val="000000"/>
                <w:kern w:val="0"/>
                <w:sz w:val="24"/>
                <w:szCs w:val="24"/>
              </w:rPr>
              <w:t>数量</w:t>
            </w:r>
          </w:p>
        </w:tc>
        <w:tc>
          <w:tcPr>
            <w:tcW w:w="387" w:type="pct"/>
            <w:vAlign w:val="center"/>
          </w:tcPr>
          <w:p w14:paraId="065AEB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单位</w:t>
            </w:r>
          </w:p>
        </w:tc>
        <w:tc>
          <w:tcPr>
            <w:tcW w:w="3494" w:type="pct"/>
            <w:vAlign w:val="center"/>
          </w:tcPr>
          <w:p w14:paraId="66FCFA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rPr>
            </w:pPr>
            <w:r>
              <w:rPr>
                <w:rFonts w:hint="default" w:ascii="Times New Roman" w:hAnsi="Times New Roman" w:eastAsia="仿宋_GB2312" w:cs="Times New Roman"/>
                <w:bCs/>
                <w:color w:val="000000"/>
                <w:kern w:val="0"/>
                <w:sz w:val="24"/>
                <w:szCs w:val="24"/>
              </w:rPr>
              <w:t>技术</w:t>
            </w:r>
            <w:r>
              <w:rPr>
                <w:rFonts w:hint="default" w:ascii="Times New Roman" w:hAnsi="Times New Roman" w:eastAsia="仿宋_GB2312" w:cs="Times New Roman"/>
                <w:bCs/>
                <w:color w:val="000000"/>
                <w:kern w:val="0"/>
                <w:sz w:val="24"/>
                <w:szCs w:val="24"/>
                <w:lang w:val="en-US" w:eastAsia="zh-CN"/>
              </w:rPr>
              <w:t>参数要求</w:t>
            </w:r>
          </w:p>
        </w:tc>
      </w:tr>
      <w:tr w14:paraId="28CAE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241" w:type="pct"/>
            <w:vAlign w:val="center"/>
          </w:tcPr>
          <w:p w14:paraId="460D15D7">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1</w:t>
            </w:r>
          </w:p>
        </w:tc>
        <w:tc>
          <w:tcPr>
            <w:tcW w:w="539" w:type="pct"/>
            <w:vAlign w:val="center"/>
          </w:tcPr>
          <w:p w14:paraId="2DB90306">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lang w:val="en-US" w:eastAsia="zh-CN"/>
              </w:rPr>
            </w:pPr>
            <w:r>
              <w:rPr>
                <w:rFonts w:hint="eastAsia" w:cs="仿宋" w:asciiTheme="minorEastAsia" w:hAnsiTheme="minorEastAsia"/>
                <w:spacing w:val="7"/>
                <w:sz w:val="24"/>
                <w:szCs w:val="24"/>
                <w:lang w:val="en-US" w:eastAsia="zh-CN"/>
              </w:rPr>
              <w:t>双人位书桌</w:t>
            </w:r>
          </w:p>
        </w:tc>
        <w:tc>
          <w:tcPr>
            <w:tcW w:w="337" w:type="pct"/>
            <w:vAlign w:val="center"/>
          </w:tcPr>
          <w:p w14:paraId="52A180DE">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cs="仿宋" w:asciiTheme="minorEastAsia" w:hAnsiTheme="minorEastAsia"/>
                <w:spacing w:val="7"/>
                <w:sz w:val="24"/>
                <w:szCs w:val="24"/>
                <w:lang w:val="en-US" w:eastAsia="zh-CN"/>
              </w:rPr>
            </w:pPr>
            <w:r>
              <w:rPr>
                <w:rFonts w:hint="eastAsia" w:cs="仿宋" w:asciiTheme="minorEastAsia" w:hAnsiTheme="minorEastAsia"/>
                <w:spacing w:val="7"/>
                <w:sz w:val="24"/>
                <w:szCs w:val="24"/>
                <w:lang w:val="en-US" w:eastAsia="zh-CN"/>
              </w:rPr>
              <w:t>216</w:t>
            </w:r>
          </w:p>
        </w:tc>
        <w:tc>
          <w:tcPr>
            <w:tcW w:w="387" w:type="pct"/>
            <w:tcBorders>
              <w:top w:val="single" w:color="auto" w:sz="4" w:space="0"/>
              <w:left w:val="single" w:color="auto" w:sz="4" w:space="0"/>
              <w:bottom w:val="single" w:color="auto" w:sz="4" w:space="0"/>
              <w:right w:val="single" w:color="auto" w:sz="4" w:space="0"/>
            </w:tcBorders>
            <w:vAlign w:val="center"/>
          </w:tcPr>
          <w:p w14:paraId="059A130F">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cs="仿宋" w:asciiTheme="minorEastAsia" w:hAnsiTheme="minorEastAsia"/>
                <w:spacing w:val="7"/>
                <w:sz w:val="24"/>
                <w:szCs w:val="24"/>
                <w:lang w:val="en-US" w:eastAsia="zh-CN"/>
              </w:rPr>
            </w:pPr>
            <w:r>
              <w:rPr>
                <w:rFonts w:hint="eastAsia" w:cs="仿宋" w:asciiTheme="minorEastAsia" w:hAnsiTheme="minorEastAsia"/>
                <w:spacing w:val="7"/>
                <w:sz w:val="24"/>
                <w:szCs w:val="24"/>
                <w:lang w:val="en-US" w:eastAsia="zh-CN"/>
              </w:rPr>
              <w:t>张</w:t>
            </w:r>
          </w:p>
        </w:tc>
        <w:tc>
          <w:tcPr>
            <w:tcW w:w="3494" w:type="pct"/>
            <w:tcBorders>
              <w:top w:val="single" w:color="auto" w:sz="4" w:space="0"/>
              <w:left w:val="single" w:color="auto" w:sz="4" w:space="0"/>
              <w:bottom w:val="single" w:color="auto" w:sz="4" w:space="0"/>
              <w:right w:val="single" w:color="auto" w:sz="4" w:space="0"/>
            </w:tcBorders>
            <w:vAlign w:val="center"/>
          </w:tcPr>
          <w:p w14:paraId="35EFCEDC">
            <w:pPr>
              <w:keepNext w:val="0"/>
              <w:keepLines w:val="0"/>
              <w:widowControl/>
              <w:numPr>
                <w:ilvl w:val="0"/>
                <w:numId w:val="0"/>
              </w:numPr>
              <w:suppressLineNumbers w:val="0"/>
              <w:spacing w:before="0" w:beforeAutospacing="0" w:after="0" w:afterAutospacing="0" w:line="240" w:lineRule="auto"/>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1、规格尺寸：1860*600*1650mm，分为上中下三个部份连接。上半部分书柜尺寸高330mm，深度250mm，每个对开门宽尺寸为930mm，为两个对开门配置。中间部分高为500mm。下半部分为4个抽屉，两边各一个抽屉带锁，中间为二个共用无抽，高度为220mm。桌脚高度600mm。</w:t>
            </w:r>
          </w:p>
          <w:p w14:paraId="7A22CFF3">
            <w:pPr>
              <w:keepNext w:val="0"/>
              <w:keepLines w:val="0"/>
              <w:widowControl/>
              <w:numPr>
                <w:ilvl w:val="0"/>
                <w:numId w:val="0"/>
              </w:numPr>
              <w:suppressLineNumbers w:val="0"/>
              <w:spacing w:before="0" w:beforeAutospacing="0" w:after="0" w:afterAutospacing="0" w:line="240" w:lineRule="auto"/>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2、采用钢木结构制成；甲醛排放达到家具标准E1级(含)以上。</w:t>
            </w:r>
          </w:p>
          <w:p w14:paraId="73FC5744">
            <w:pPr>
              <w:keepNext w:val="0"/>
              <w:keepLines w:val="0"/>
              <w:widowControl/>
              <w:numPr>
                <w:ilvl w:val="0"/>
                <w:numId w:val="0"/>
              </w:numPr>
              <w:suppressLineNumbers w:val="0"/>
              <w:spacing w:before="0" w:beforeAutospacing="0" w:after="0" w:afterAutospacing="0" w:line="240" w:lineRule="auto"/>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3、基材：采用中密度纤维板（符合环保要求，达到国家检测标准E1级（含）以上，木材含水率控制在8%-12%，主体采用优质40*40碳钢管，管材壁厚≥1.2mm，底部装有防滑胶套。</w:t>
            </w:r>
          </w:p>
          <w:p w14:paraId="283EEB75">
            <w:pPr>
              <w:keepNext w:val="0"/>
              <w:keepLines w:val="0"/>
              <w:widowControl/>
              <w:numPr>
                <w:ilvl w:val="0"/>
                <w:numId w:val="0"/>
              </w:numPr>
              <w:suppressLineNumbers w:val="0"/>
              <w:spacing w:before="0" w:beforeAutospacing="0" w:after="0" w:afterAutospacing="0" w:line="240" w:lineRule="auto"/>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4、材料及厚度采用≥1.0MM厚一级电解钢板；表面处理采用防腐抗菌喷涂粉末喷涂，涂层膜厚度均匀，内外一致，抗菌、防霉、耐酸碱、耐磨、耐撞击，抗腐蚀力强。</w:t>
            </w:r>
          </w:p>
          <w:p w14:paraId="2BBF1DC0">
            <w:pPr>
              <w:keepNext w:val="0"/>
              <w:keepLines w:val="0"/>
              <w:widowControl/>
              <w:numPr>
                <w:ilvl w:val="0"/>
                <w:numId w:val="0"/>
              </w:numPr>
              <w:suppressLineNumbers w:val="0"/>
              <w:spacing w:before="0" w:beforeAutospacing="0" w:after="0" w:afterAutospacing="0" w:line="240" w:lineRule="auto"/>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5、封边条要求（1）符合QB/T 4463-2013《家具用封边条技术要求》标准</w:t>
            </w:r>
          </w:p>
          <w:p w14:paraId="73BC88E0">
            <w:pPr>
              <w:keepNext w:val="0"/>
              <w:keepLines w:val="0"/>
              <w:widowControl/>
              <w:numPr>
                <w:ilvl w:val="0"/>
                <w:numId w:val="0"/>
              </w:numPr>
              <w:suppressLineNumbers w:val="0"/>
              <w:spacing w:before="0" w:beforeAutospacing="0" w:after="0" w:afterAutospacing="0" w:line="240" w:lineRule="auto"/>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w:t>
            </w:r>
            <w:r>
              <w:rPr>
                <w:rFonts w:hint="eastAsia" w:cs="仿宋" w:asciiTheme="minorEastAsia" w:hAnsiTheme="minorEastAsia"/>
                <w:spacing w:val="7"/>
                <w:sz w:val="24"/>
                <w:szCs w:val="24"/>
                <w:lang w:val="en-US" w:eastAsia="zh-CN"/>
              </w:rPr>
              <w:t>1</w:t>
            </w:r>
            <w:r>
              <w:rPr>
                <w:rFonts w:hint="default" w:cs="仿宋" w:asciiTheme="minorEastAsia" w:hAnsiTheme="minorEastAsia"/>
                <w:spacing w:val="7"/>
                <w:sz w:val="24"/>
                <w:szCs w:val="24"/>
              </w:rPr>
              <w:t>）外观：塑料封边条：表面应无皱纹、裂纹、折痕、暗条痕、染色线、刀线、油渍、污点、黑斑、粘胶和杂质，无明显的气泡、针孔、划痕、波纹等瑕疵，表面应光滑，花纹应清晰、均匀，无漏印，压纹(压花)表面应有统一的花式，且压纹应清晰、均匀，颜色可由供需双方协商确定，但色泽应均匀，无明显色差。背胶处理应均匀，边缘应光滑平直，无缺损。</w:t>
            </w:r>
          </w:p>
          <w:p w14:paraId="1B89FA54">
            <w:pPr>
              <w:keepNext w:val="0"/>
              <w:keepLines w:val="0"/>
              <w:widowControl/>
              <w:numPr>
                <w:ilvl w:val="0"/>
                <w:numId w:val="0"/>
              </w:numPr>
              <w:suppressLineNumbers w:val="0"/>
              <w:spacing w:before="0" w:beforeAutospacing="0" w:after="0" w:afterAutospacing="0" w:line="240" w:lineRule="auto"/>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w:t>
            </w:r>
            <w:r>
              <w:rPr>
                <w:rFonts w:hint="eastAsia" w:cs="仿宋" w:asciiTheme="minorEastAsia" w:hAnsiTheme="minorEastAsia"/>
                <w:spacing w:val="7"/>
                <w:sz w:val="24"/>
                <w:szCs w:val="24"/>
                <w:lang w:val="en-US" w:eastAsia="zh-CN"/>
              </w:rPr>
              <w:t>2</w:t>
            </w:r>
            <w:r>
              <w:rPr>
                <w:rFonts w:hint="default" w:cs="仿宋" w:asciiTheme="minorEastAsia" w:hAnsiTheme="minorEastAsia"/>
                <w:spacing w:val="7"/>
                <w:sz w:val="24"/>
                <w:szCs w:val="24"/>
              </w:rPr>
              <w:t>）规格尺寸及其偏差和形状公差；厚度(2.0mm&lt;H≤3.0mm)的偏差检测合格；</w:t>
            </w:r>
          </w:p>
          <w:p w14:paraId="43D41B5F">
            <w:pPr>
              <w:keepNext w:val="0"/>
              <w:keepLines w:val="0"/>
              <w:widowControl/>
              <w:numPr>
                <w:ilvl w:val="0"/>
                <w:numId w:val="0"/>
              </w:numPr>
              <w:suppressLineNumbers w:val="0"/>
              <w:spacing w:before="0" w:beforeAutospacing="0" w:after="0" w:afterAutospacing="0" w:line="240" w:lineRule="auto"/>
              <w:ind w:left="0" w:right="0" w:rightChars="0"/>
              <w:jc w:val="left"/>
              <w:textAlignment w:val="center"/>
              <w:rPr>
                <w:rFonts w:hint="default" w:cs="仿宋" w:asciiTheme="minorEastAsia" w:hAnsiTheme="minorEastAsia"/>
                <w:spacing w:val="7"/>
                <w:sz w:val="24"/>
                <w:szCs w:val="24"/>
              </w:rPr>
            </w:pPr>
            <w:r>
              <w:rPr>
                <w:rFonts w:hint="default" w:cs="仿宋" w:asciiTheme="minorEastAsia" w:hAnsiTheme="minorEastAsia"/>
                <w:spacing w:val="7"/>
                <w:sz w:val="24"/>
                <w:szCs w:val="24"/>
              </w:rPr>
              <w:t>（</w:t>
            </w:r>
            <w:r>
              <w:rPr>
                <w:rFonts w:hint="eastAsia" w:cs="仿宋" w:asciiTheme="minorEastAsia" w:hAnsiTheme="minorEastAsia"/>
                <w:spacing w:val="7"/>
                <w:sz w:val="24"/>
                <w:szCs w:val="24"/>
                <w:lang w:val="en-US" w:eastAsia="zh-CN"/>
              </w:rPr>
              <w:t>3</w:t>
            </w:r>
            <w:r>
              <w:rPr>
                <w:rFonts w:hint="default" w:cs="仿宋" w:asciiTheme="minorEastAsia" w:hAnsiTheme="minorEastAsia"/>
                <w:spacing w:val="7"/>
                <w:sz w:val="24"/>
                <w:szCs w:val="24"/>
              </w:rPr>
              <w:t>）理化性能：塑料封边条-耐干热；应无龟裂、无鼓泡；塑料封边条-耐磨性；磨30r后应无露底现象；塑料封边条-耐开裂(耐龟裂性)≥2级(有不规则横向细微开裂；塑料封边条-耐冷热循环性：应无龟裂、无鼓泡、无变色、无起皱；塑料封边条-耐光色牢度(灰色样卡)≥4级。</w:t>
            </w:r>
          </w:p>
          <w:p w14:paraId="1D23EF4B">
            <w:pPr>
              <w:keepNext w:val="0"/>
              <w:keepLines w:val="0"/>
              <w:widowControl/>
              <w:numPr>
                <w:ilvl w:val="0"/>
                <w:numId w:val="0"/>
              </w:numPr>
              <w:suppressLineNumbers w:val="0"/>
              <w:spacing w:before="0" w:beforeAutospacing="0" w:after="0" w:afterAutospacing="0" w:line="240" w:lineRule="auto"/>
              <w:ind w:left="0" w:right="0" w:rightChars="0"/>
              <w:jc w:val="left"/>
              <w:textAlignment w:val="center"/>
              <w:rPr>
                <w:rFonts w:hint="eastAsia" w:ascii="Times New Roman" w:hAnsi="Times New Roman" w:cs="Times New Roman" w:eastAsiaTheme="minorEastAsia"/>
                <w:color w:val="000000"/>
                <w:kern w:val="0"/>
                <w:sz w:val="24"/>
                <w:szCs w:val="24"/>
                <w:u w:val="none"/>
                <w:shd w:val="clear" w:color="auto" w:fill="auto"/>
                <w:lang w:val="en-US" w:eastAsia="zh-CN" w:bidi="ar"/>
              </w:rPr>
            </w:pPr>
            <w:r>
              <w:rPr>
                <w:rFonts w:hint="default" w:cs="仿宋" w:asciiTheme="minorEastAsia" w:hAnsiTheme="minorEastAsia"/>
                <w:spacing w:val="7"/>
                <w:sz w:val="24"/>
                <w:szCs w:val="24"/>
              </w:rPr>
              <w:t>（</w:t>
            </w:r>
            <w:r>
              <w:rPr>
                <w:rFonts w:hint="eastAsia" w:cs="仿宋" w:asciiTheme="minorEastAsia" w:hAnsiTheme="minorEastAsia"/>
                <w:spacing w:val="7"/>
                <w:sz w:val="24"/>
                <w:szCs w:val="24"/>
                <w:lang w:val="en-US" w:eastAsia="zh-CN"/>
              </w:rPr>
              <w:t>4</w:t>
            </w:r>
            <w:r>
              <w:rPr>
                <w:rFonts w:hint="default" w:cs="仿宋" w:asciiTheme="minorEastAsia" w:hAnsiTheme="minorEastAsia"/>
                <w:spacing w:val="7"/>
                <w:sz w:val="24"/>
                <w:szCs w:val="24"/>
              </w:rPr>
              <w:t>）有害物质限量：塑料封边条-甲醛释放量E1≤0.1mg/L</w:t>
            </w:r>
            <w:r>
              <w:rPr>
                <w:rFonts w:hint="eastAsia" w:ascii="Times New Roman" w:hAnsi="Times New Roman" w:cs="Times New Roman" w:eastAsiaTheme="minorEastAsia"/>
                <w:color w:val="000000"/>
                <w:kern w:val="0"/>
                <w:sz w:val="24"/>
                <w:szCs w:val="24"/>
                <w:u w:val="none"/>
                <w:shd w:val="clear" w:color="auto" w:fill="auto"/>
                <w:lang w:val="en-US" w:eastAsia="zh-CN" w:bidi="ar"/>
              </w:rPr>
              <w:drawing>
                <wp:anchor distT="0" distB="0" distL="114300" distR="114300" simplePos="0" relativeHeight="251659264" behindDoc="1" locked="0" layoutInCell="1" allowOverlap="1">
                  <wp:simplePos x="0" y="0"/>
                  <wp:positionH relativeFrom="column">
                    <wp:posOffset>0</wp:posOffset>
                  </wp:positionH>
                  <wp:positionV relativeFrom="paragraph">
                    <wp:posOffset>600075</wp:posOffset>
                  </wp:positionV>
                  <wp:extent cx="3329305" cy="1768475"/>
                  <wp:effectExtent l="0" t="0" r="4445" b="3175"/>
                  <wp:wrapTight wrapText="bothSides">
                    <wp:wrapPolygon>
                      <wp:start x="0" y="0"/>
                      <wp:lineTo x="0" y="21406"/>
                      <wp:lineTo x="21505" y="21406"/>
                      <wp:lineTo x="21505" y="0"/>
                      <wp:lineTo x="0" y="0"/>
                    </wp:wrapPolygon>
                  </wp:wrapTight>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8"/>
                          <a:stretch>
                            <a:fillRect/>
                          </a:stretch>
                        </pic:blipFill>
                        <pic:spPr>
                          <a:xfrm>
                            <a:off x="0" y="0"/>
                            <a:ext cx="3329305" cy="1768475"/>
                          </a:xfrm>
                          <a:prstGeom prst="rect">
                            <a:avLst/>
                          </a:prstGeom>
                        </pic:spPr>
                      </pic:pic>
                    </a:graphicData>
                  </a:graphic>
                </wp:anchor>
              </w:drawing>
            </w:r>
          </w:p>
        </w:tc>
      </w:tr>
      <w:tr w14:paraId="5CFDF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0" w:hRule="atLeast"/>
          <w:jc w:val="center"/>
        </w:trPr>
        <w:tc>
          <w:tcPr>
            <w:tcW w:w="241" w:type="pct"/>
            <w:vAlign w:val="center"/>
          </w:tcPr>
          <w:p w14:paraId="34860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2</w:t>
            </w:r>
          </w:p>
        </w:tc>
        <w:tc>
          <w:tcPr>
            <w:tcW w:w="539" w:type="pct"/>
            <w:vAlign w:val="center"/>
          </w:tcPr>
          <w:p w14:paraId="62313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仿宋_GB2312" w:cs="Times New Roman"/>
                <w:bCs/>
                <w:color w:val="000000"/>
                <w:kern w:val="0"/>
                <w:sz w:val="24"/>
                <w:szCs w:val="24"/>
                <w:lang w:val="en-US" w:eastAsia="zh-CN"/>
              </w:rPr>
            </w:pPr>
            <w:r>
              <w:rPr>
                <w:rFonts w:hint="eastAsia" w:eastAsia="仿宋_GB2312" w:asciiTheme="minorEastAsia" w:hAnsiTheme="minorEastAsia"/>
                <w:sz w:val="24"/>
                <w:szCs w:val="24"/>
                <w:lang w:val="en-US" w:eastAsia="zh-CN"/>
              </w:rPr>
              <w:t>方凳</w:t>
            </w:r>
          </w:p>
        </w:tc>
        <w:tc>
          <w:tcPr>
            <w:tcW w:w="337" w:type="pct"/>
            <w:vAlign w:val="center"/>
          </w:tcPr>
          <w:p w14:paraId="6F015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Cs/>
                <w:color w:val="000000"/>
                <w:kern w:val="0"/>
                <w:sz w:val="24"/>
                <w:szCs w:val="24"/>
                <w:lang w:val="en-US" w:eastAsia="zh-CN"/>
              </w:rPr>
            </w:pPr>
            <w:r>
              <w:rPr>
                <w:rFonts w:hint="eastAsia" w:ascii="Times New Roman" w:hAnsi="Times New Roman" w:eastAsia="仿宋_GB2312" w:cs="Times New Roman"/>
                <w:bCs/>
                <w:color w:val="000000"/>
                <w:kern w:val="0"/>
                <w:sz w:val="24"/>
                <w:szCs w:val="24"/>
                <w:lang w:val="en-US" w:eastAsia="zh-CN"/>
              </w:rPr>
              <w:t>140</w:t>
            </w:r>
          </w:p>
        </w:tc>
        <w:tc>
          <w:tcPr>
            <w:tcW w:w="387" w:type="pct"/>
            <w:tcBorders>
              <w:top w:val="single" w:color="auto" w:sz="4" w:space="0"/>
              <w:left w:val="single" w:color="auto" w:sz="4" w:space="0"/>
              <w:bottom w:val="single" w:color="auto" w:sz="4" w:space="0"/>
              <w:right w:val="single" w:color="auto" w:sz="4" w:space="0"/>
            </w:tcBorders>
            <w:vAlign w:val="center"/>
          </w:tcPr>
          <w:p w14:paraId="5B6AA57E">
            <w:pPr>
              <w:keepNext w:val="0"/>
              <w:keepLines w:val="0"/>
              <w:widowControl/>
              <w:numPr>
                <w:ilvl w:val="0"/>
                <w:numId w:val="0"/>
              </w:numPr>
              <w:suppressLineNumbers w:val="0"/>
              <w:spacing w:before="0" w:beforeAutospacing="0" w:after="0" w:afterAutospacing="0"/>
              <w:ind w:left="0" w:leftChars="0" w:right="0" w:rightChars="0" w:firstLine="0" w:firstLineChars="0"/>
              <w:jc w:val="center"/>
              <w:textAlignment w:val="center"/>
              <w:rPr>
                <w:rFonts w:hint="default" w:cs="仿宋" w:asciiTheme="minorEastAsia" w:hAnsiTheme="minorEastAsia" w:eastAsiaTheme="minorEastAsia"/>
                <w:color w:val="000000" w:themeColor="text1"/>
                <w:spacing w:val="7"/>
                <w:sz w:val="24"/>
                <w:szCs w:val="24"/>
                <w:lang w:val="en-US" w:eastAsia="zh-CN"/>
                <w14:textFill>
                  <w14:solidFill>
                    <w14:schemeClr w14:val="tx1"/>
                  </w14:solidFill>
                </w14:textFill>
              </w:rPr>
            </w:pPr>
            <w:r>
              <w:rPr>
                <w:rFonts w:hint="eastAsia" w:cs="仿宋" w:asciiTheme="minorEastAsia" w:hAnsiTheme="minorEastAsia"/>
                <w:color w:val="000000" w:themeColor="text1"/>
                <w:spacing w:val="7"/>
                <w:sz w:val="24"/>
                <w:szCs w:val="24"/>
                <w:lang w:val="en-US" w:eastAsia="zh-CN"/>
                <w14:textFill>
                  <w14:solidFill>
                    <w14:schemeClr w14:val="tx1"/>
                  </w14:solidFill>
                </w14:textFill>
              </w:rPr>
              <w:t>张</w:t>
            </w:r>
          </w:p>
        </w:tc>
        <w:tc>
          <w:tcPr>
            <w:tcW w:w="3494" w:type="pct"/>
            <w:tcBorders>
              <w:top w:val="single" w:color="auto" w:sz="4" w:space="0"/>
              <w:left w:val="single" w:color="auto" w:sz="4" w:space="0"/>
              <w:bottom w:val="single" w:color="auto" w:sz="4" w:space="0"/>
              <w:right w:val="single" w:color="auto" w:sz="4" w:space="0"/>
            </w:tcBorders>
            <w:vAlign w:val="center"/>
          </w:tcPr>
          <w:p w14:paraId="38844C3B">
            <w:pPr>
              <w:keepNext w:val="0"/>
              <w:keepLines w:val="0"/>
              <w:widowControl/>
              <w:numPr>
                <w:ilvl w:val="0"/>
                <w:numId w:val="0"/>
              </w:numPr>
              <w:suppressLineNumbers w:val="0"/>
              <w:spacing w:before="0" w:beforeAutospacing="0" w:after="0" w:afterAutospacing="0" w:line="240" w:lineRule="auto"/>
              <w:ind w:left="0" w:right="0" w:rightChars="0"/>
              <w:jc w:val="left"/>
              <w:textAlignment w:val="center"/>
              <w:rPr>
                <w:rFonts w:hint="default" w:cs="仿宋" w:asciiTheme="minorEastAsia" w:hAnsiTheme="minorEastAsia"/>
                <w:spacing w:val="7"/>
                <w:sz w:val="24"/>
                <w:szCs w:val="24"/>
                <w:lang w:val="en-US" w:eastAsia="zh-CN"/>
              </w:rPr>
            </w:pPr>
            <w:r>
              <w:rPr>
                <w:rFonts w:hint="default" w:cs="仿宋" w:asciiTheme="minorEastAsia" w:hAnsiTheme="minorEastAsia"/>
                <w:spacing w:val="7"/>
                <w:sz w:val="24"/>
                <w:szCs w:val="24"/>
                <w:lang w:val="en-US" w:eastAsia="zh-CN"/>
              </w:rPr>
              <w:t>1、规格：330×250×450mm高</w:t>
            </w:r>
          </w:p>
          <w:p w14:paraId="025BAB45">
            <w:pPr>
              <w:keepNext w:val="0"/>
              <w:keepLines w:val="0"/>
              <w:widowControl/>
              <w:numPr>
                <w:ilvl w:val="0"/>
                <w:numId w:val="0"/>
              </w:numPr>
              <w:suppressLineNumbers w:val="0"/>
              <w:spacing w:before="0" w:beforeAutospacing="0" w:after="0" w:afterAutospacing="0" w:line="240" w:lineRule="auto"/>
              <w:ind w:left="0" w:right="0" w:rightChars="0"/>
              <w:jc w:val="left"/>
              <w:textAlignment w:val="center"/>
              <w:rPr>
                <w:rFonts w:hint="default" w:cs="仿宋" w:asciiTheme="minorEastAsia" w:hAnsiTheme="minorEastAsia"/>
                <w:spacing w:val="7"/>
                <w:sz w:val="24"/>
                <w:szCs w:val="24"/>
                <w:lang w:val="en-US" w:eastAsia="zh-CN"/>
              </w:rPr>
            </w:pPr>
            <w:r>
              <w:rPr>
                <w:rFonts w:hint="default" w:cs="仿宋" w:asciiTheme="minorEastAsia" w:hAnsiTheme="minorEastAsia"/>
                <w:spacing w:val="7"/>
                <w:sz w:val="24"/>
                <w:szCs w:val="24"/>
                <w:lang w:val="en-US" w:eastAsia="zh-CN"/>
              </w:rPr>
              <w:t>2、材质：橡木</w:t>
            </w:r>
          </w:p>
          <w:p w14:paraId="7AA7D08B">
            <w:pPr>
              <w:keepNext w:val="0"/>
              <w:keepLines w:val="0"/>
              <w:widowControl/>
              <w:numPr>
                <w:ilvl w:val="0"/>
                <w:numId w:val="0"/>
              </w:numPr>
              <w:suppressLineNumbers w:val="0"/>
              <w:spacing w:before="0" w:beforeAutospacing="0" w:after="0" w:afterAutospacing="0" w:line="240" w:lineRule="auto"/>
              <w:ind w:left="0" w:right="0" w:rightChars="0"/>
              <w:jc w:val="left"/>
              <w:textAlignment w:val="center"/>
              <w:rPr>
                <w:rFonts w:hint="default" w:ascii="Times New Roman" w:hAnsi="Times New Roman" w:eastAsia="仿宋_GB2312" w:cs="Times New Roman"/>
                <w:color w:val="000000"/>
                <w:kern w:val="0"/>
                <w:sz w:val="24"/>
                <w:szCs w:val="24"/>
                <w:u w:val="none"/>
                <w:shd w:val="clear" w:color="auto" w:fill="auto"/>
                <w:lang w:val="en-US" w:eastAsia="zh-CN" w:bidi="ar"/>
              </w:rPr>
            </w:pPr>
            <w:r>
              <w:rPr>
                <w:rFonts w:hint="default" w:cs="仿宋" w:asciiTheme="minorEastAsia" w:hAnsiTheme="minorEastAsia"/>
                <w:spacing w:val="7"/>
                <w:sz w:val="24"/>
                <w:szCs w:val="24"/>
                <w:lang w:val="en-US" w:eastAsia="zh-CN"/>
              </w:rPr>
              <w:t>3、环保清漆，无毒无害、漆膜坚硬、耐湿、耐擦洗，甲醛符合安全标准。</w:t>
            </w:r>
            <w:r>
              <w:rPr>
                <w:rFonts w:hint="default" w:ascii="Times New Roman" w:hAnsi="Times New Roman" w:eastAsia="仿宋_GB2312" w:cs="Times New Roman"/>
                <w:color w:val="000000"/>
                <w:kern w:val="0"/>
                <w:sz w:val="24"/>
                <w:szCs w:val="24"/>
                <w:u w:val="none"/>
                <w:shd w:val="clear" w:color="auto" w:fill="auto"/>
                <w:lang w:val="en-US" w:eastAsia="zh-CN" w:bidi="ar"/>
              </w:rPr>
              <w:drawing>
                <wp:inline distT="0" distB="0" distL="114300" distR="114300">
                  <wp:extent cx="2105025" cy="1165860"/>
                  <wp:effectExtent l="0" t="0" r="9525" b="15240"/>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9"/>
                          <a:stretch>
                            <a:fillRect/>
                          </a:stretch>
                        </pic:blipFill>
                        <pic:spPr>
                          <a:xfrm>
                            <a:off x="0" y="0"/>
                            <a:ext cx="2105025" cy="1165860"/>
                          </a:xfrm>
                          <a:prstGeom prst="rect">
                            <a:avLst/>
                          </a:prstGeom>
                        </pic:spPr>
                      </pic:pic>
                    </a:graphicData>
                  </a:graphic>
                </wp:inline>
              </w:drawing>
            </w:r>
          </w:p>
        </w:tc>
      </w:tr>
      <w:tr w14:paraId="218FAD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08"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3B0FF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241" w:firstLineChars="10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b/>
                <w:color w:val="000000"/>
                <w:kern w:val="0"/>
                <w:sz w:val="24"/>
                <w:szCs w:val="24"/>
                <w:lang w:eastAsia="zh-CN"/>
              </w:rPr>
              <w:t>二</w:t>
            </w:r>
            <w:r>
              <w:rPr>
                <w:rFonts w:hint="default" w:ascii="Times New Roman" w:hAnsi="Times New Roman" w:eastAsia="仿宋_GB2312" w:cs="Times New Roman"/>
                <w:b/>
                <w:color w:val="000000"/>
                <w:kern w:val="0"/>
                <w:sz w:val="24"/>
                <w:szCs w:val="24"/>
              </w:rPr>
              <w:t>、本项目商务要求</w:t>
            </w:r>
          </w:p>
        </w:tc>
      </w:tr>
      <w:tr w14:paraId="23E08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14:paraId="7945B3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color w:val="000000"/>
                <w:sz w:val="24"/>
                <w:szCs w:val="24"/>
                <w:highlight w:val="none"/>
                <w:lang w:eastAsia="zh-CN"/>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项目最高限价</w:t>
            </w:r>
          </w:p>
        </w:tc>
        <w:tc>
          <w:tcPr>
            <w:tcW w:w="4219" w:type="pct"/>
            <w:gridSpan w:val="3"/>
            <w:tcBorders>
              <w:top w:val="single" w:color="auto" w:sz="4" w:space="0"/>
              <w:left w:val="single" w:color="auto" w:sz="4" w:space="0"/>
              <w:bottom w:val="single" w:color="auto" w:sz="4" w:space="0"/>
              <w:right w:val="single" w:color="auto" w:sz="4" w:space="0"/>
            </w:tcBorders>
            <w:vAlign w:val="center"/>
          </w:tcPr>
          <w:p w14:paraId="659B9E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本项目最高限价为</w:t>
            </w:r>
            <w:r>
              <w:rPr>
                <w:rFonts w:hint="eastAsia" w:ascii="Times New Roman" w:hAnsi="Times New Roman" w:eastAsia="仿宋_GB2312" w:cs="Times New Roman"/>
                <w:i w:val="0"/>
                <w:iCs w:val="0"/>
                <w:color w:val="000000"/>
                <w:kern w:val="0"/>
                <w:sz w:val="24"/>
                <w:szCs w:val="24"/>
                <w:highlight w:val="none"/>
                <w:u w:val="none"/>
                <w:lang w:val="en-US" w:eastAsia="zh-CN" w:bidi="ar"/>
              </w:rPr>
              <w:t>300000元（大写：叁拾万元整）。</w:t>
            </w:r>
          </w:p>
        </w:tc>
      </w:tr>
      <w:tr w14:paraId="4D664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8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359E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仿宋_GB2312" w:cs="Times New Roman"/>
                <w:b/>
                <w:bCs/>
                <w:color w:val="000000"/>
                <w:kern w:val="2"/>
                <w:sz w:val="24"/>
                <w:szCs w:val="24"/>
                <w:lang w:val="en-US" w:eastAsia="zh-CN" w:bidi="ar-SA"/>
              </w:rPr>
            </w:pPr>
            <w:r>
              <w:rPr>
                <w:rFonts w:hint="default"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t>质量保修期</w:t>
            </w:r>
          </w:p>
        </w:tc>
        <w:tc>
          <w:tcPr>
            <w:tcW w:w="421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B60B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质量保修期≥1年，质量保修期自项目验收合格并交付正常使用之日算起。</w:t>
            </w:r>
          </w:p>
        </w:tc>
      </w:tr>
      <w:tr w14:paraId="16FBD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14:paraId="6FC470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服务</w:t>
            </w:r>
            <w:r>
              <w:rPr>
                <w:rFonts w:hint="default" w:ascii="Times New Roman" w:hAnsi="Times New Roman" w:eastAsia="仿宋_GB2312" w:cs="Times New Roman"/>
                <w:b/>
                <w:bCs/>
                <w:i w:val="0"/>
                <w:iCs w:val="0"/>
                <w:color w:val="000000"/>
                <w:kern w:val="0"/>
                <w:sz w:val="24"/>
                <w:szCs w:val="24"/>
                <w:u w:val="none"/>
                <w:lang w:val="en-US" w:eastAsia="zh-CN" w:bidi="ar"/>
              </w:rPr>
              <w:t>要求</w:t>
            </w:r>
          </w:p>
        </w:tc>
        <w:tc>
          <w:tcPr>
            <w:tcW w:w="4219" w:type="pct"/>
            <w:gridSpan w:val="3"/>
            <w:tcBorders>
              <w:top w:val="single" w:color="auto" w:sz="4" w:space="0"/>
              <w:left w:val="single" w:color="auto" w:sz="4" w:space="0"/>
              <w:bottom w:val="single" w:color="auto" w:sz="4" w:space="0"/>
              <w:right w:val="single" w:color="auto" w:sz="4" w:space="0"/>
            </w:tcBorders>
            <w:vAlign w:val="center"/>
          </w:tcPr>
          <w:p w14:paraId="2AD095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供应商须为在中华人民共和国境内注册的独立法人或其他组织，具有有效的营业执照。</w:t>
            </w:r>
          </w:p>
          <w:p w14:paraId="321BD7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2、成交</w:t>
            </w:r>
            <w:r>
              <w:rPr>
                <w:rFonts w:hint="default" w:ascii="Times New Roman" w:hAnsi="Times New Roman" w:eastAsia="仿宋_GB2312" w:cs="Times New Roman"/>
                <w:i w:val="0"/>
                <w:iCs w:val="0"/>
                <w:color w:val="000000"/>
                <w:kern w:val="0"/>
                <w:sz w:val="24"/>
                <w:szCs w:val="24"/>
                <w:u w:val="none"/>
                <w:lang w:val="en-US" w:eastAsia="zh-CN" w:bidi="ar"/>
              </w:rPr>
              <w:t>供应商需具备完善的售后服务体系，能够提供7</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24小时的技术支持服务。</w:t>
            </w:r>
          </w:p>
          <w:p w14:paraId="48071B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3、成交</w:t>
            </w:r>
            <w:r>
              <w:rPr>
                <w:rFonts w:hint="default" w:ascii="Times New Roman" w:hAnsi="Times New Roman" w:eastAsia="仿宋_GB2312" w:cs="Times New Roman"/>
                <w:i w:val="0"/>
                <w:iCs w:val="0"/>
                <w:color w:val="000000"/>
                <w:kern w:val="0"/>
                <w:sz w:val="24"/>
                <w:szCs w:val="24"/>
                <w:u w:val="none"/>
                <w:lang w:val="en-US" w:eastAsia="zh-CN" w:bidi="ar"/>
              </w:rPr>
              <w:t>供应商需具备快速响应能力，承诺在接到</w:t>
            </w:r>
            <w:r>
              <w:rPr>
                <w:rFonts w:hint="eastAsia" w:ascii="Times New Roman" w:hAnsi="Times New Roman" w:eastAsia="仿宋_GB2312" w:cs="Times New Roman"/>
                <w:i w:val="0"/>
                <w:iCs w:val="0"/>
                <w:color w:val="000000"/>
                <w:kern w:val="0"/>
                <w:sz w:val="24"/>
                <w:szCs w:val="24"/>
                <w:u w:val="none"/>
                <w:lang w:val="en-US" w:eastAsia="zh-CN" w:bidi="ar"/>
              </w:rPr>
              <w:t>采购人</w:t>
            </w:r>
            <w:r>
              <w:rPr>
                <w:rFonts w:hint="default" w:ascii="Times New Roman" w:hAnsi="Times New Roman" w:eastAsia="仿宋_GB2312" w:cs="Times New Roman"/>
                <w:i w:val="0"/>
                <w:iCs w:val="0"/>
                <w:color w:val="000000"/>
                <w:kern w:val="0"/>
                <w:sz w:val="24"/>
                <w:szCs w:val="24"/>
                <w:u w:val="none"/>
                <w:lang w:val="en-US" w:eastAsia="zh-CN" w:bidi="ar"/>
              </w:rPr>
              <w:t>故障报修</w:t>
            </w:r>
            <w:r>
              <w:rPr>
                <w:rFonts w:hint="eastAsia" w:ascii="Times New Roman" w:hAnsi="Times New Roman" w:eastAsia="仿宋_GB2312" w:cs="Times New Roman"/>
                <w:i w:val="0"/>
                <w:iCs w:val="0"/>
                <w:color w:val="000000"/>
                <w:kern w:val="0"/>
                <w:sz w:val="24"/>
                <w:szCs w:val="24"/>
                <w:u w:val="none"/>
                <w:lang w:val="en-US" w:eastAsia="zh-CN" w:bidi="ar"/>
              </w:rPr>
              <w:t>通知</w:t>
            </w:r>
            <w:r>
              <w:rPr>
                <w:rFonts w:hint="default" w:ascii="Times New Roman" w:hAnsi="Times New Roman" w:eastAsia="仿宋_GB2312" w:cs="Times New Roman"/>
                <w:i w:val="0"/>
                <w:iCs w:val="0"/>
                <w:color w:val="000000"/>
                <w:kern w:val="0"/>
                <w:sz w:val="24"/>
                <w:szCs w:val="24"/>
                <w:u w:val="none"/>
                <w:lang w:val="en-US" w:eastAsia="zh-CN" w:bidi="ar"/>
              </w:rPr>
              <w:t>后4小时内到达现场，并在24小时内解决问题。</w:t>
            </w:r>
          </w:p>
          <w:p w14:paraId="1E7717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themeColor="text1"/>
                <w:kern w:val="0"/>
                <w:sz w:val="24"/>
                <w:szCs w:val="24"/>
                <w:u w:val="none"/>
                <w:lang w:val="en-US" w:eastAsia="zh-CN" w:bidi="ar"/>
                <w14:textFill>
                  <w14:solidFill>
                    <w14:schemeClr w14:val="tx1"/>
                  </w14:solidFill>
                </w14:textFill>
              </w:rPr>
              <w:t>4、本项目为宿舍家具新旧替换采购。成交供应商在实施安装前，须先完成对指定宿舍内既有旧家具的拆除及清空工作，待作业面清空完毕后，方可进行新家具的安装。原旧家具由成交供应商负责搬运至采购人指定地点进行报废处理，相关费用包含在报价中。</w:t>
            </w:r>
          </w:p>
        </w:tc>
      </w:tr>
      <w:tr w14:paraId="39F82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8" w:hRule="atLeast"/>
          <w:jc w:val="center"/>
        </w:trPr>
        <w:tc>
          <w:tcPr>
            <w:tcW w:w="780" w:type="pct"/>
            <w:gridSpan w:val="2"/>
            <w:vAlign w:val="center"/>
          </w:tcPr>
          <w:p w14:paraId="76A510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i w:val="0"/>
                <w:iCs w:val="0"/>
                <w:color w:val="000000"/>
                <w:kern w:val="0"/>
                <w:sz w:val="24"/>
                <w:szCs w:val="24"/>
                <w:u w:val="none"/>
                <w:lang w:val="en-US" w:eastAsia="zh-CN" w:bidi="ar"/>
              </w:rPr>
              <w:t>付款方式</w:t>
            </w:r>
          </w:p>
        </w:tc>
        <w:tc>
          <w:tcPr>
            <w:tcW w:w="4219" w:type="pct"/>
            <w:gridSpan w:val="3"/>
            <w:vAlign w:val="center"/>
          </w:tcPr>
          <w:p w14:paraId="79E622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1、本项目无预付款。</w:t>
            </w:r>
          </w:p>
          <w:p w14:paraId="5544F2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b w:val="0"/>
                <w:bCs w:val="0"/>
                <w:i w:val="0"/>
                <w:iCs w:val="0"/>
                <w:color w:val="000000"/>
                <w:kern w:val="0"/>
                <w:sz w:val="24"/>
                <w:szCs w:val="24"/>
                <w:u w:val="none"/>
                <w:lang w:val="en-US" w:eastAsia="zh-CN" w:bidi="ar"/>
              </w:rPr>
              <w:t>付款时间:</w:t>
            </w:r>
            <w:r>
              <w:rPr>
                <w:rFonts w:hint="eastAsia" w:ascii="Times New Roman" w:hAnsi="Times New Roman" w:eastAsia="仿宋_GB2312" w:cs="Times New Roman"/>
                <w:i w:val="0"/>
                <w:iCs w:val="0"/>
                <w:color w:val="000000"/>
                <w:kern w:val="0"/>
                <w:sz w:val="24"/>
                <w:szCs w:val="24"/>
                <w:u w:val="none"/>
                <w:lang w:val="en-US" w:eastAsia="zh-CN" w:bidi="ar"/>
              </w:rPr>
              <w:t>签订合同后，全部货物按采购人要求送到指定地点、安装调试并经双方验收合格，待财政资金到位后，成交供应商开具有效全额增值税专用发票。</w:t>
            </w:r>
          </w:p>
          <w:p w14:paraId="70AC6F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b w:val="0"/>
                <w:bCs w:val="0"/>
                <w:i w:val="0"/>
                <w:iCs w:val="0"/>
                <w:color w:val="000000"/>
                <w:kern w:val="0"/>
                <w:sz w:val="24"/>
                <w:szCs w:val="24"/>
                <w:u w:val="none"/>
                <w:lang w:val="en-US" w:eastAsia="zh-CN" w:bidi="ar"/>
              </w:rPr>
              <w:t>付款方式：</w:t>
            </w:r>
            <w:r>
              <w:rPr>
                <w:rFonts w:hint="eastAsia" w:ascii="Times New Roman" w:hAnsi="Times New Roman" w:eastAsia="仿宋_GB2312" w:cs="Times New Roman"/>
                <w:i w:val="0"/>
                <w:iCs w:val="0"/>
                <w:color w:val="000000"/>
                <w:kern w:val="0"/>
                <w:sz w:val="24"/>
                <w:szCs w:val="24"/>
                <w:u w:val="none"/>
                <w:lang w:val="en-US" w:eastAsia="zh-CN" w:bidi="ar"/>
              </w:rPr>
              <w:t>采购人及成交供应商双方核对无误后，由成交供应商开具有效全额发票，采购人在收到发票后采用转账方式进行结算。</w:t>
            </w:r>
          </w:p>
        </w:tc>
      </w:tr>
      <w:tr w14:paraId="6D8A9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780" w:type="pct"/>
            <w:gridSpan w:val="2"/>
            <w:vAlign w:val="center"/>
          </w:tcPr>
          <w:p w14:paraId="563394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color w:val="auto"/>
                <w:sz w:val="24"/>
                <w:szCs w:val="24"/>
                <w:lang w:val="en-US"/>
              </w:rPr>
            </w:pPr>
            <w:r>
              <w:rPr>
                <w:rFonts w:hint="default" w:ascii="Times New Roman" w:hAnsi="Times New Roman" w:eastAsia="仿宋_GB2312" w:cs="Times New Roman"/>
                <w:b/>
                <w:bCs/>
                <w:i w:val="0"/>
                <w:iCs w:val="0"/>
                <w:color w:val="000000"/>
                <w:kern w:val="0"/>
                <w:sz w:val="24"/>
                <w:szCs w:val="24"/>
                <w:u w:val="none"/>
                <w:lang w:val="en-US" w:eastAsia="zh-CN" w:bidi="ar"/>
              </w:rPr>
              <w:t>交货时间及地点</w:t>
            </w:r>
          </w:p>
        </w:tc>
        <w:tc>
          <w:tcPr>
            <w:tcW w:w="4219" w:type="pct"/>
            <w:gridSpan w:val="3"/>
            <w:vAlign w:val="center"/>
          </w:tcPr>
          <w:p w14:paraId="6543EC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w:t>
            </w:r>
            <w:r>
              <w:rPr>
                <w:rFonts w:hint="default" w:ascii="Times New Roman" w:hAnsi="Times New Roman" w:eastAsia="仿宋_GB2312" w:cs="Times New Roman"/>
                <w:i w:val="0"/>
                <w:iCs w:val="0"/>
                <w:color w:val="000000"/>
                <w:kern w:val="0"/>
                <w:sz w:val="24"/>
                <w:szCs w:val="24"/>
                <w:u w:val="none"/>
                <w:lang w:val="en-US" w:eastAsia="zh-CN" w:bidi="ar"/>
              </w:rPr>
              <w:t>交货时间：自签订合同之日起，30天内安装完毕并交付使用。</w:t>
            </w:r>
          </w:p>
          <w:p w14:paraId="6FFF23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w:t>
            </w:r>
            <w:r>
              <w:rPr>
                <w:rFonts w:hint="default" w:ascii="Times New Roman" w:hAnsi="Times New Roman" w:eastAsia="仿宋_GB2312" w:cs="Times New Roman"/>
                <w:i w:val="0"/>
                <w:iCs w:val="0"/>
                <w:color w:val="000000"/>
                <w:kern w:val="0"/>
                <w:sz w:val="24"/>
                <w:szCs w:val="24"/>
                <w:u w:val="none"/>
                <w:lang w:val="en-US" w:eastAsia="zh-CN" w:bidi="ar"/>
              </w:rPr>
              <w:t>交货地</w:t>
            </w:r>
            <w:r>
              <w:rPr>
                <w:rFonts w:hint="eastAsia" w:ascii="Times New Roman" w:hAnsi="Times New Roman" w:eastAsia="仿宋_GB2312" w:cs="Times New Roman"/>
                <w:i w:val="0"/>
                <w:iCs w:val="0"/>
                <w:color w:val="000000"/>
                <w:kern w:val="0"/>
                <w:sz w:val="24"/>
                <w:szCs w:val="24"/>
                <w:u w:val="none"/>
                <w:lang w:val="en-US" w:eastAsia="zh-CN" w:bidi="ar"/>
              </w:rPr>
              <w:t>点</w:t>
            </w:r>
            <w:r>
              <w:rPr>
                <w:rFonts w:hint="default" w:ascii="Times New Roman" w:hAnsi="Times New Roman" w:eastAsia="仿宋_GB2312" w:cs="Times New Roman"/>
                <w:i w:val="0"/>
                <w:iCs w:val="0"/>
                <w:color w:val="000000"/>
                <w:kern w:val="0"/>
                <w:sz w:val="24"/>
                <w:szCs w:val="24"/>
                <w:u w:val="none"/>
                <w:lang w:val="en-US" w:eastAsia="zh-CN" w:bidi="ar"/>
              </w:rPr>
              <w:t>：采购人指定地点。</w:t>
            </w:r>
          </w:p>
        </w:tc>
      </w:tr>
      <w:tr w14:paraId="7A268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0" w:type="pct"/>
            <w:gridSpan w:val="2"/>
            <w:vAlign w:val="center"/>
          </w:tcPr>
          <w:p w14:paraId="3A6231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t>验收标准、规范</w:t>
            </w:r>
          </w:p>
        </w:tc>
        <w:tc>
          <w:tcPr>
            <w:tcW w:w="4219" w:type="pct"/>
            <w:gridSpan w:val="3"/>
            <w:vAlign w:val="center"/>
          </w:tcPr>
          <w:p w14:paraId="3A1C42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验收</w:t>
            </w:r>
            <w:r>
              <w:rPr>
                <w:rFonts w:hint="eastAsia" w:ascii="Times New Roman" w:hAnsi="Times New Roman" w:eastAsia="仿宋_GB2312" w:cs="Times New Roman"/>
                <w:i w:val="0"/>
                <w:iCs w:val="0"/>
                <w:color w:val="000000"/>
                <w:kern w:val="0"/>
                <w:sz w:val="24"/>
                <w:szCs w:val="24"/>
                <w:u w:val="none"/>
                <w:lang w:val="en-US" w:eastAsia="zh-CN" w:bidi="ar"/>
              </w:rPr>
              <w:t>按照学校管理办法执行。</w:t>
            </w:r>
          </w:p>
        </w:tc>
      </w:tr>
      <w:tr w14:paraId="1B4DB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14:paraId="5D8539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t>报价要求</w:t>
            </w:r>
          </w:p>
        </w:tc>
        <w:tc>
          <w:tcPr>
            <w:tcW w:w="4219" w:type="pct"/>
            <w:gridSpan w:val="3"/>
            <w:tcBorders>
              <w:top w:val="single" w:color="auto" w:sz="4" w:space="0"/>
              <w:left w:val="single" w:color="auto" w:sz="4" w:space="0"/>
              <w:bottom w:val="single" w:color="auto" w:sz="4" w:space="0"/>
              <w:right w:val="single" w:color="auto" w:sz="4" w:space="0"/>
            </w:tcBorders>
            <w:vAlign w:val="center"/>
          </w:tcPr>
          <w:p w14:paraId="38EA8F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供应商须</w:t>
            </w:r>
            <w:r>
              <w:rPr>
                <w:rFonts w:hint="default" w:ascii="Times New Roman" w:hAnsi="Times New Roman" w:eastAsia="仿宋_GB2312" w:cs="Times New Roman"/>
                <w:i w:val="0"/>
                <w:iCs w:val="0"/>
                <w:color w:val="000000"/>
                <w:kern w:val="0"/>
                <w:sz w:val="24"/>
                <w:szCs w:val="24"/>
                <w:u w:val="none"/>
                <w:lang w:val="en-US" w:eastAsia="zh-CN" w:bidi="ar"/>
              </w:rPr>
              <w:t>提供详细的报价清单，包括功能清单、数量、单价、总价</w:t>
            </w:r>
            <w:r>
              <w:rPr>
                <w:rFonts w:hint="eastAsia" w:ascii="Times New Roman" w:hAnsi="Times New Roman" w:eastAsia="仿宋_GB2312" w:cs="Times New Roman"/>
                <w:i w:val="0"/>
                <w:iCs w:val="0"/>
                <w:color w:val="000000"/>
                <w:kern w:val="0"/>
                <w:sz w:val="24"/>
                <w:szCs w:val="24"/>
                <w:u w:val="none"/>
                <w:lang w:val="en-US" w:eastAsia="zh-CN" w:bidi="ar"/>
              </w:rPr>
              <w:t>等。</w:t>
            </w:r>
            <w:r>
              <w:rPr>
                <w:rFonts w:hint="default" w:ascii="Times New Roman" w:hAnsi="Times New Roman" w:eastAsia="仿宋_GB2312" w:cs="Times New Roman"/>
                <w:i w:val="0"/>
                <w:iCs w:val="0"/>
                <w:color w:val="000000"/>
                <w:kern w:val="0"/>
                <w:sz w:val="24"/>
                <w:szCs w:val="24"/>
                <w:u w:val="none"/>
                <w:lang w:val="en-US" w:eastAsia="zh-CN" w:bidi="ar"/>
              </w:rPr>
              <w:t>报价应包含</w:t>
            </w:r>
            <w:r>
              <w:rPr>
                <w:rFonts w:hint="eastAsia" w:ascii="Times New Roman" w:hAnsi="Times New Roman" w:eastAsia="仿宋_GB2312" w:cs="Times New Roman"/>
                <w:i w:val="0"/>
                <w:iCs w:val="0"/>
                <w:color w:val="000000"/>
                <w:kern w:val="0"/>
                <w:sz w:val="24"/>
                <w:szCs w:val="24"/>
                <w:u w:val="none"/>
                <w:lang w:val="en-US" w:eastAsia="zh-CN" w:bidi="ar"/>
              </w:rPr>
              <w:t>货款、</w:t>
            </w:r>
            <w:r>
              <w:rPr>
                <w:rFonts w:hint="eastAsia" w:ascii="Times New Roman" w:hAnsi="Times New Roman" w:eastAsia="仿宋_GB2312" w:cs="Times New Roman"/>
                <w:color w:val="000000"/>
                <w:kern w:val="0"/>
                <w:sz w:val="24"/>
                <w:u w:val="none"/>
                <w:lang w:bidi="ar"/>
              </w:rPr>
              <w:t>配件、</w:t>
            </w:r>
            <w:r>
              <w:rPr>
                <w:rFonts w:hint="default" w:ascii="Times New Roman" w:hAnsi="Times New Roman" w:eastAsia="仿宋_GB2312" w:cs="Times New Roman"/>
                <w:i w:val="0"/>
                <w:iCs w:val="0"/>
                <w:color w:val="000000"/>
                <w:kern w:val="0"/>
                <w:sz w:val="24"/>
                <w:szCs w:val="24"/>
                <w:u w:val="none"/>
                <w:lang w:val="en-US" w:eastAsia="zh-CN" w:bidi="ar"/>
              </w:rPr>
              <w:t>税费、安装调试</w:t>
            </w:r>
            <w:r>
              <w:rPr>
                <w:rFonts w:hint="eastAsia"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color w:val="000000"/>
                <w:kern w:val="0"/>
                <w:sz w:val="24"/>
                <w:u w:val="none"/>
                <w:lang w:bidi="ar"/>
              </w:rPr>
              <w:t>包装、运输、装卸</w:t>
            </w:r>
            <w:r>
              <w:rPr>
                <w:rFonts w:hint="eastAsia" w:ascii="Times New Roman" w:hAnsi="Times New Roman" w:eastAsia="仿宋_GB2312" w:cs="Times New Roman"/>
                <w:i w:val="0"/>
                <w:iCs w:val="0"/>
                <w:color w:val="000000"/>
                <w:kern w:val="0"/>
                <w:sz w:val="24"/>
                <w:szCs w:val="24"/>
                <w:u w:val="none"/>
                <w:lang w:val="en-US" w:eastAsia="zh-CN" w:bidi="ar"/>
              </w:rPr>
              <w:t>、保险、</w:t>
            </w:r>
            <w:r>
              <w:rPr>
                <w:rFonts w:hint="eastAsia" w:ascii="Times New Roman" w:hAnsi="Times New Roman" w:eastAsia="仿宋_GB2312" w:cs="Times New Roman"/>
                <w:color w:val="000000"/>
                <w:kern w:val="0"/>
                <w:sz w:val="24"/>
                <w:u w:val="none"/>
                <w:lang w:bidi="ar"/>
              </w:rPr>
              <w:t>保修、售后服务</w:t>
            </w:r>
            <w:r>
              <w:rPr>
                <w:rFonts w:hint="eastAsia" w:ascii="Times New Roman" w:hAnsi="Times New Roman" w:eastAsia="仿宋_GB2312" w:cs="Times New Roman"/>
                <w:color w:val="000000"/>
                <w:kern w:val="0"/>
                <w:sz w:val="24"/>
                <w:u w:val="none"/>
                <w:lang w:val="en-US" w:eastAsia="zh-CN" w:bidi="ar"/>
              </w:rPr>
              <w:t>、</w:t>
            </w:r>
            <w:r>
              <w:rPr>
                <w:rFonts w:hint="eastAsia" w:ascii="Times New Roman" w:hAnsi="Times New Roman" w:eastAsia="仿宋_GB2312" w:cs="Times New Roman"/>
                <w:color w:val="000000"/>
                <w:kern w:val="0"/>
                <w:sz w:val="24"/>
                <w:u w:val="none"/>
                <w:lang w:bidi="ar"/>
              </w:rPr>
              <w:t>项目整体验收</w:t>
            </w:r>
            <w:r>
              <w:rPr>
                <w:rFonts w:hint="default" w:ascii="Times New Roman" w:hAnsi="Times New Roman" w:eastAsia="仿宋_GB2312" w:cs="Times New Roman"/>
                <w:i w:val="0"/>
                <w:iCs w:val="0"/>
                <w:color w:val="000000"/>
                <w:kern w:val="0"/>
                <w:sz w:val="24"/>
                <w:szCs w:val="24"/>
                <w:u w:val="none"/>
                <w:lang w:val="en-US" w:eastAsia="zh-CN" w:bidi="ar"/>
              </w:rPr>
              <w:t>等所有相关费用，</w:t>
            </w:r>
            <w:r>
              <w:rPr>
                <w:rFonts w:hint="eastAsia" w:ascii="Times New Roman" w:hAnsi="Times New Roman" w:eastAsia="仿宋_GB2312" w:cs="Times New Roman"/>
                <w:i w:val="0"/>
                <w:iCs w:val="0"/>
                <w:color w:val="000000"/>
                <w:kern w:val="0"/>
                <w:sz w:val="24"/>
                <w:szCs w:val="24"/>
                <w:u w:val="none"/>
                <w:lang w:val="en-US" w:eastAsia="zh-CN" w:bidi="ar"/>
              </w:rPr>
              <w:t>报价</w:t>
            </w:r>
            <w:r>
              <w:rPr>
                <w:rFonts w:hint="default" w:ascii="Times New Roman" w:hAnsi="Times New Roman" w:eastAsia="仿宋_GB2312" w:cs="Times New Roman"/>
                <w:i w:val="0"/>
                <w:iCs w:val="0"/>
                <w:color w:val="000000"/>
                <w:kern w:val="0"/>
                <w:sz w:val="24"/>
                <w:szCs w:val="24"/>
                <w:u w:val="none"/>
                <w:lang w:val="en-US" w:eastAsia="zh-CN" w:bidi="ar"/>
              </w:rPr>
              <w:t>总价不得超过</w:t>
            </w:r>
            <w:r>
              <w:rPr>
                <w:rFonts w:hint="eastAsia" w:ascii="Times New Roman" w:hAnsi="Times New Roman" w:eastAsia="仿宋_GB2312" w:cs="Times New Roman"/>
                <w:i w:val="0"/>
                <w:iCs w:val="0"/>
                <w:color w:val="000000"/>
                <w:kern w:val="0"/>
                <w:sz w:val="24"/>
                <w:szCs w:val="24"/>
                <w:u w:val="none"/>
                <w:lang w:val="en-US" w:eastAsia="zh-CN" w:bidi="ar"/>
              </w:rPr>
              <w:t>本项目最高限价</w:t>
            </w:r>
            <w:r>
              <w:rPr>
                <w:rFonts w:hint="default" w:ascii="Times New Roman" w:hAnsi="Times New Roman" w:eastAsia="仿宋_GB2312" w:cs="Times New Roman"/>
                <w:i w:val="0"/>
                <w:iCs w:val="0"/>
                <w:color w:val="000000"/>
                <w:kern w:val="0"/>
                <w:sz w:val="24"/>
                <w:szCs w:val="24"/>
                <w:u w:val="none"/>
                <w:lang w:val="en-US" w:eastAsia="zh-CN" w:bidi="ar"/>
              </w:rPr>
              <w:t>。</w:t>
            </w:r>
          </w:p>
        </w:tc>
      </w:tr>
      <w:tr w14:paraId="710DD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14:paraId="3E4232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pPr>
            <w:r>
              <w:rPr>
                <w:rFonts w:hint="eastAsia" w:ascii="Times New Roman" w:hAnsi="Times New Roman" w:eastAsia="仿宋_GB2312" w:cs="Times New Roman"/>
                <w:b/>
                <w:bCs/>
                <w:i w:val="0"/>
                <w:iCs w:val="0"/>
                <w:color w:val="000000"/>
                <w:spacing w:val="0"/>
                <w:w w:val="100"/>
                <w:kern w:val="0"/>
                <w:position w:val="0"/>
                <w:sz w:val="24"/>
                <w:szCs w:val="24"/>
                <w:u w:val="none"/>
                <w:shd w:val="clear" w:color="auto" w:fill="auto"/>
                <w:lang w:val="en-US" w:eastAsia="zh-CN" w:bidi="ar"/>
              </w:rPr>
              <w:t>违约责任</w:t>
            </w:r>
          </w:p>
        </w:tc>
        <w:tc>
          <w:tcPr>
            <w:tcW w:w="4219" w:type="pct"/>
            <w:gridSpan w:val="3"/>
            <w:tcBorders>
              <w:top w:val="single" w:color="auto" w:sz="4" w:space="0"/>
              <w:left w:val="single" w:color="auto" w:sz="4" w:space="0"/>
              <w:bottom w:val="single" w:color="auto" w:sz="4" w:space="0"/>
              <w:right w:val="single" w:color="auto" w:sz="4" w:space="0"/>
            </w:tcBorders>
            <w:vAlign w:val="center"/>
          </w:tcPr>
          <w:p w14:paraId="5278D1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color w:val="000000"/>
                <w:kern w:val="0"/>
                <w:sz w:val="24"/>
                <w:u w:val="none"/>
                <w:lang w:bidi="ar"/>
              </w:rPr>
              <w:t>成交供应商在提供服务过程中（包括但不限于安装、维保过程等），因操作过失、产品质量等问题造成采购人设备损坏的、人身（包括但不限于第三方人员）、场所或财产损害的，由成交供应商承担，并赔偿采购人因此产生的相关损失及承担全部经济责任及法律责任。</w:t>
            </w:r>
          </w:p>
        </w:tc>
      </w:tr>
      <w:tr w14:paraId="0AADD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80" w:type="pct"/>
            <w:gridSpan w:val="2"/>
            <w:tcBorders>
              <w:top w:val="single" w:color="auto" w:sz="4" w:space="0"/>
              <w:left w:val="single" w:color="auto" w:sz="4" w:space="0"/>
              <w:bottom w:val="single" w:color="auto" w:sz="4" w:space="0"/>
              <w:right w:val="single" w:color="auto" w:sz="4" w:space="0"/>
            </w:tcBorders>
            <w:vAlign w:val="center"/>
          </w:tcPr>
          <w:p w14:paraId="246D45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仿宋_GB2312" w:cs="Times New Roman"/>
                <w:b/>
                <w:bCs/>
                <w:i w:val="0"/>
                <w:iCs w:val="0"/>
                <w:color w:val="000000" w:themeColor="text1"/>
                <w:spacing w:val="0"/>
                <w:w w:val="100"/>
                <w:kern w:val="0"/>
                <w:position w:val="0"/>
                <w:sz w:val="24"/>
                <w:szCs w:val="24"/>
                <w:u w:val="none"/>
                <w:shd w:val="clear" w:color="auto" w:fill="auto"/>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spacing w:val="0"/>
                <w:w w:val="100"/>
                <w:kern w:val="0"/>
                <w:position w:val="0"/>
                <w:sz w:val="24"/>
                <w:szCs w:val="24"/>
                <w:u w:val="none"/>
                <w:shd w:val="clear" w:color="auto" w:fill="auto"/>
                <w:lang w:val="en-US" w:eastAsia="zh-CN" w:bidi="ar"/>
                <w14:textFill>
                  <w14:solidFill>
                    <w14:schemeClr w14:val="tx1"/>
                  </w14:solidFill>
                </w14:textFill>
              </w:rPr>
              <w:t>项目样品要求</w:t>
            </w:r>
          </w:p>
          <w:p w14:paraId="461766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仿宋_GB2312" w:cs="Times New Roman"/>
                <w:b/>
                <w:bCs/>
                <w:i w:val="0"/>
                <w:iCs w:val="0"/>
                <w:color w:val="FF0000"/>
                <w:spacing w:val="0"/>
                <w:w w:val="100"/>
                <w:kern w:val="0"/>
                <w:position w:val="0"/>
                <w:sz w:val="24"/>
                <w:szCs w:val="24"/>
                <w:u w:val="none"/>
                <w:shd w:val="clear" w:color="auto" w:fill="auto"/>
                <w:lang w:val="en-US" w:eastAsia="zh-CN" w:bidi="ar"/>
              </w:rPr>
            </w:pPr>
          </w:p>
        </w:tc>
        <w:tc>
          <w:tcPr>
            <w:tcW w:w="4219" w:type="pct"/>
            <w:gridSpan w:val="3"/>
            <w:tcBorders>
              <w:top w:val="single" w:color="auto" w:sz="4" w:space="0"/>
              <w:left w:val="single" w:color="auto" w:sz="4" w:space="0"/>
              <w:bottom w:val="single" w:color="auto" w:sz="4" w:space="0"/>
              <w:right w:val="single" w:color="auto" w:sz="4" w:space="0"/>
            </w:tcBorders>
            <w:vAlign w:val="center"/>
          </w:tcPr>
          <w:p w14:paraId="6DA74F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color w:val="000000"/>
                <w:kern w:val="0"/>
                <w:sz w:val="24"/>
                <w:highlight w:val="yellow"/>
                <w:u w:val="none"/>
                <w:lang w:val="en-US" w:eastAsia="zh-CN" w:bidi="ar"/>
              </w:rPr>
            </w:pPr>
            <w:r>
              <w:rPr>
                <w:rFonts w:hint="eastAsia" w:ascii="Times New Roman" w:hAnsi="Times New Roman" w:eastAsia="仿宋_GB2312" w:cs="Times New Roman"/>
                <w:color w:val="000000"/>
                <w:kern w:val="0"/>
                <w:sz w:val="24"/>
                <w:highlight w:val="yellow"/>
                <w:u w:val="none"/>
                <w:lang w:val="en-US" w:eastAsia="zh-CN" w:bidi="ar"/>
              </w:rPr>
              <w:t>1、自本公告发布之日起至竞价结束后第三个工作日止（共计六个工作日），供应商均可将样品送至学校。</w:t>
            </w:r>
          </w:p>
          <w:p w14:paraId="7178E4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Times New Roman" w:hAnsi="Times New Roman" w:eastAsia="仿宋_GB2312" w:cs="Times New Roman"/>
                <w:color w:val="000000"/>
                <w:kern w:val="0"/>
                <w:sz w:val="24"/>
                <w:u w:val="none"/>
                <w:lang w:val="en-US" w:eastAsia="zh-CN" w:bidi="ar"/>
              </w:rPr>
            </w:pPr>
            <w:r>
              <w:rPr>
                <w:rFonts w:hint="eastAsia" w:ascii="Times New Roman" w:hAnsi="Times New Roman" w:eastAsia="仿宋_GB2312" w:cs="Times New Roman"/>
                <w:color w:val="000000"/>
                <w:kern w:val="0"/>
                <w:sz w:val="24"/>
                <w:u w:val="none"/>
                <w:lang w:val="en-US" w:eastAsia="zh-CN" w:bidi="ar"/>
              </w:rPr>
              <w:t>2、为保证采购质量，响应供应商须按竞价文件要求提供与本项目采购内容相符的实物样品，作为技术评审及成交后验收对照依据。未按要求提供样品或样品不符合竞价文件实质性要求的，其响应无效。</w:t>
            </w:r>
          </w:p>
          <w:p w14:paraId="295E6D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Times New Roman" w:hAnsi="Times New Roman" w:eastAsia="仿宋_GB2312" w:cs="Times New Roman"/>
                <w:color w:val="000000"/>
                <w:kern w:val="0"/>
                <w:sz w:val="24"/>
                <w:u w:val="none"/>
                <w:lang w:eastAsia="zh-CN" w:bidi="ar"/>
              </w:rPr>
            </w:pPr>
            <w:r>
              <w:rPr>
                <w:rFonts w:hint="eastAsia" w:ascii="Times New Roman" w:hAnsi="Times New Roman" w:eastAsia="仿宋_GB2312" w:cs="Times New Roman"/>
                <w:color w:val="000000"/>
                <w:kern w:val="0"/>
                <w:sz w:val="24"/>
                <w:u w:val="none"/>
                <w:lang w:val="en-US" w:eastAsia="zh-CN" w:bidi="ar"/>
              </w:rPr>
              <w:t>3、</w:t>
            </w:r>
            <w:r>
              <w:rPr>
                <w:rFonts w:hint="eastAsia" w:ascii="Times New Roman" w:hAnsi="Times New Roman" w:eastAsia="仿宋_GB2312" w:cs="Times New Roman"/>
                <w:color w:val="000000"/>
                <w:kern w:val="0"/>
                <w:sz w:val="24"/>
                <w:u w:val="none"/>
                <w:lang w:bidi="ar"/>
              </w:rPr>
              <w:t>样品须与</w:t>
            </w:r>
            <w:r>
              <w:rPr>
                <w:rFonts w:hint="eastAsia" w:ascii="Times New Roman" w:hAnsi="Times New Roman" w:eastAsia="仿宋_GB2312" w:cs="Times New Roman"/>
                <w:color w:val="000000"/>
                <w:kern w:val="0"/>
                <w:sz w:val="24"/>
                <w:u w:val="none"/>
                <w:lang w:val="en-US" w:eastAsia="zh-CN" w:bidi="ar"/>
              </w:rPr>
              <w:t>响应</w:t>
            </w:r>
            <w:r>
              <w:rPr>
                <w:rFonts w:hint="eastAsia" w:ascii="Times New Roman" w:hAnsi="Times New Roman" w:eastAsia="仿宋_GB2312" w:cs="Times New Roman"/>
                <w:color w:val="000000"/>
                <w:kern w:val="0"/>
                <w:sz w:val="24"/>
                <w:u w:val="none"/>
                <w:lang w:bidi="ar"/>
              </w:rPr>
              <w:t>产品一致，并反映产品实际材质、工艺、功能及性能</w:t>
            </w:r>
            <w:r>
              <w:rPr>
                <w:rFonts w:hint="eastAsia" w:ascii="Times New Roman" w:hAnsi="Times New Roman" w:eastAsia="仿宋_GB2312" w:cs="Times New Roman"/>
                <w:color w:val="000000"/>
                <w:kern w:val="0"/>
                <w:sz w:val="24"/>
                <w:u w:val="none"/>
                <w:lang w:eastAsia="zh-CN" w:bidi="ar"/>
              </w:rPr>
              <w:t>。</w:t>
            </w:r>
          </w:p>
          <w:p w14:paraId="201C1B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Times New Roman" w:hAnsi="Times New Roman" w:eastAsia="仿宋_GB2312" w:cs="Times New Roman"/>
                <w:color w:val="000000"/>
                <w:kern w:val="0"/>
                <w:sz w:val="24"/>
                <w:highlight w:val="yellow"/>
                <w:u w:val="none"/>
                <w:lang w:val="en-US" w:eastAsia="zh-CN" w:bidi="ar"/>
              </w:rPr>
            </w:pPr>
            <w:r>
              <w:rPr>
                <w:rFonts w:hint="eastAsia" w:ascii="Times New Roman" w:hAnsi="Times New Roman" w:eastAsia="仿宋_GB2312" w:cs="Times New Roman"/>
                <w:color w:val="000000"/>
                <w:kern w:val="0"/>
                <w:sz w:val="24"/>
                <w:highlight w:val="yellow"/>
                <w:u w:val="none"/>
                <w:lang w:val="en-US" w:eastAsia="zh-CN" w:bidi="ar"/>
              </w:rPr>
              <w:t>4、</w:t>
            </w:r>
            <w:r>
              <w:rPr>
                <w:rFonts w:hint="eastAsia" w:ascii="Times New Roman" w:hAnsi="Times New Roman" w:eastAsia="仿宋_GB2312" w:cs="Times New Roman"/>
                <w:color w:val="000000"/>
                <w:kern w:val="0"/>
                <w:sz w:val="24"/>
                <w:highlight w:val="yellow"/>
                <w:u w:val="none"/>
                <w:lang w:bidi="ar"/>
              </w:rPr>
              <w:t>样品接收联系人：</w:t>
            </w:r>
            <w:r>
              <w:rPr>
                <w:rFonts w:hint="eastAsia" w:ascii="Times New Roman" w:hAnsi="Times New Roman" w:eastAsia="仿宋_GB2312" w:cs="Times New Roman"/>
                <w:color w:val="000000"/>
                <w:kern w:val="0"/>
                <w:sz w:val="24"/>
                <w:highlight w:val="yellow"/>
                <w:u w:val="none"/>
                <w:lang w:val="en-US" w:eastAsia="zh-CN" w:bidi="ar"/>
              </w:rPr>
              <w:t>温老师</w:t>
            </w:r>
            <w:r>
              <w:rPr>
                <w:rFonts w:hint="eastAsia" w:ascii="Times New Roman" w:hAnsi="Times New Roman" w:eastAsia="仿宋_GB2312" w:cs="Times New Roman"/>
                <w:color w:val="000000"/>
                <w:kern w:val="0"/>
                <w:sz w:val="24"/>
                <w:highlight w:val="yellow"/>
                <w:u w:val="none"/>
                <w:lang w:bidi="ar"/>
              </w:rPr>
              <w:t>，联系电话：0779-3930502</w:t>
            </w:r>
          </w:p>
          <w:p w14:paraId="471932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Times New Roman" w:hAnsi="Times New Roman" w:eastAsia="仿宋_GB2312" w:cs="Times New Roman"/>
                <w:color w:val="000000"/>
                <w:kern w:val="0"/>
                <w:sz w:val="24"/>
                <w:u w:val="none"/>
                <w:lang w:eastAsia="zh-CN" w:bidi="ar"/>
              </w:rPr>
            </w:pPr>
            <w:r>
              <w:rPr>
                <w:rFonts w:hint="eastAsia" w:ascii="Times New Roman" w:hAnsi="Times New Roman" w:eastAsia="仿宋_GB2312" w:cs="Times New Roman"/>
                <w:color w:val="000000"/>
                <w:kern w:val="0"/>
                <w:sz w:val="24"/>
                <w:u w:val="none"/>
                <w:lang w:val="en-US" w:eastAsia="zh-CN" w:bidi="ar"/>
              </w:rPr>
              <w:t>5、</w:t>
            </w:r>
            <w:r>
              <w:rPr>
                <w:rFonts w:hint="eastAsia" w:ascii="Times New Roman" w:hAnsi="Times New Roman" w:eastAsia="仿宋_GB2312" w:cs="Times New Roman"/>
                <w:color w:val="000000"/>
                <w:kern w:val="0"/>
                <w:sz w:val="24"/>
                <w:u w:val="none"/>
                <w:lang w:bidi="ar"/>
              </w:rPr>
              <w:t>样品退还</w:t>
            </w:r>
            <w:r>
              <w:rPr>
                <w:rFonts w:hint="eastAsia" w:ascii="Times New Roman" w:hAnsi="Times New Roman" w:eastAsia="仿宋_GB2312" w:cs="Times New Roman"/>
                <w:color w:val="000000"/>
                <w:kern w:val="0"/>
                <w:sz w:val="24"/>
                <w:u w:val="none"/>
                <w:lang w:eastAsia="zh-CN" w:bidi="ar"/>
              </w:rPr>
              <w:t>：</w:t>
            </w:r>
          </w:p>
          <w:p w14:paraId="1A54E7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Times New Roman" w:hAnsi="Times New Roman" w:eastAsia="仿宋_GB2312" w:cs="Times New Roman"/>
                <w:color w:val="000000"/>
                <w:kern w:val="0"/>
                <w:sz w:val="24"/>
                <w:u w:val="none"/>
                <w:lang w:eastAsia="zh-CN" w:bidi="ar"/>
              </w:rPr>
            </w:pPr>
            <w:r>
              <w:rPr>
                <w:rFonts w:hint="eastAsia" w:ascii="Times New Roman" w:hAnsi="Times New Roman" w:eastAsia="仿宋_GB2312" w:cs="Times New Roman"/>
                <w:color w:val="000000"/>
                <w:kern w:val="0"/>
                <w:sz w:val="24"/>
                <w:u w:val="none"/>
                <w:lang w:eastAsia="zh-CN" w:bidi="ar"/>
              </w:rPr>
              <w:t>（</w:t>
            </w:r>
            <w:r>
              <w:rPr>
                <w:rFonts w:hint="eastAsia" w:ascii="Times New Roman" w:hAnsi="Times New Roman" w:eastAsia="仿宋_GB2312" w:cs="Times New Roman"/>
                <w:color w:val="000000"/>
                <w:kern w:val="0"/>
                <w:sz w:val="24"/>
                <w:u w:val="none"/>
                <w:lang w:val="en-US" w:eastAsia="zh-CN" w:bidi="ar"/>
              </w:rPr>
              <w:t>1）</w:t>
            </w:r>
            <w:r>
              <w:rPr>
                <w:rFonts w:hint="eastAsia" w:ascii="Times New Roman" w:hAnsi="Times New Roman" w:eastAsia="仿宋_GB2312" w:cs="Times New Roman"/>
                <w:color w:val="000000"/>
                <w:kern w:val="0"/>
                <w:sz w:val="24"/>
                <w:u w:val="none"/>
                <w:lang w:bidi="ar"/>
              </w:rPr>
              <w:t>未</w:t>
            </w:r>
            <w:r>
              <w:rPr>
                <w:rFonts w:hint="eastAsia" w:ascii="Times New Roman" w:hAnsi="Times New Roman" w:eastAsia="仿宋_GB2312" w:cs="Times New Roman"/>
                <w:color w:val="000000"/>
                <w:kern w:val="0"/>
                <w:sz w:val="24"/>
                <w:u w:val="none"/>
                <w:lang w:val="en-US" w:eastAsia="zh-CN" w:bidi="ar"/>
              </w:rPr>
              <w:t>成交供应商</w:t>
            </w:r>
            <w:r>
              <w:rPr>
                <w:rFonts w:hint="eastAsia" w:ascii="Times New Roman" w:hAnsi="Times New Roman" w:eastAsia="仿宋_GB2312" w:cs="Times New Roman"/>
                <w:color w:val="000000"/>
                <w:kern w:val="0"/>
                <w:sz w:val="24"/>
                <w:u w:val="none"/>
                <w:lang w:bidi="ar"/>
              </w:rPr>
              <w:t>的样品在</w:t>
            </w:r>
            <w:r>
              <w:rPr>
                <w:rFonts w:hint="eastAsia" w:ascii="Times New Roman" w:hAnsi="Times New Roman" w:eastAsia="仿宋_GB2312" w:cs="Times New Roman"/>
                <w:color w:val="000000"/>
                <w:kern w:val="0"/>
                <w:sz w:val="24"/>
                <w:u w:val="none"/>
                <w:lang w:val="en-US" w:eastAsia="zh-CN" w:bidi="ar"/>
              </w:rPr>
              <w:t>成交</w:t>
            </w:r>
            <w:r>
              <w:rPr>
                <w:rFonts w:hint="eastAsia" w:ascii="Times New Roman" w:hAnsi="Times New Roman" w:eastAsia="仿宋_GB2312" w:cs="Times New Roman"/>
                <w:color w:val="000000"/>
                <w:kern w:val="0"/>
                <w:sz w:val="24"/>
                <w:u w:val="none"/>
                <w:lang w:bidi="ar"/>
              </w:rPr>
              <w:t>公告发布后</w:t>
            </w:r>
            <w:r>
              <w:rPr>
                <w:rFonts w:hint="eastAsia" w:ascii="Times New Roman" w:hAnsi="Times New Roman" w:eastAsia="仿宋_GB2312" w:cs="Times New Roman"/>
                <w:color w:val="000000"/>
                <w:kern w:val="0"/>
                <w:sz w:val="24"/>
                <w:u w:val="none"/>
                <w:lang w:val="en-US" w:eastAsia="zh-CN" w:bidi="ar"/>
              </w:rPr>
              <w:t>7</w:t>
            </w:r>
            <w:r>
              <w:rPr>
                <w:rFonts w:hint="eastAsia" w:ascii="Times New Roman" w:hAnsi="Times New Roman" w:eastAsia="仿宋_GB2312" w:cs="Times New Roman"/>
                <w:color w:val="000000"/>
                <w:kern w:val="0"/>
                <w:sz w:val="24"/>
                <w:u w:val="none"/>
                <w:lang w:bidi="ar"/>
              </w:rPr>
              <w:t>日内由</w:t>
            </w:r>
            <w:r>
              <w:rPr>
                <w:rFonts w:hint="eastAsia" w:ascii="Times New Roman" w:hAnsi="Times New Roman" w:eastAsia="仿宋_GB2312" w:cs="Times New Roman"/>
                <w:color w:val="000000"/>
                <w:kern w:val="0"/>
                <w:sz w:val="24"/>
                <w:u w:val="none"/>
                <w:lang w:val="en-US" w:eastAsia="zh-CN" w:bidi="ar"/>
              </w:rPr>
              <w:t>响应供应商</w:t>
            </w:r>
            <w:r>
              <w:rPr>
                <w:rFonts w:hint="eastAsia" w:ascii="Times New Roman" w:hAnsi="Times New Roman" w:eastAsia="仿宋_GB2312" w:cs="Times New Roman"/>
                <w:color w:val="000000"/>
                <w:kern w:val="0"/>
                <w:sz w:val="24"/>
                <w:u w:val="none"/>
                <w:lang w:bidi="ar"/>
              </w:rPr>
              <w:t>自行取回</w:t>
            </w:r>
            <w:r>
              <w:rPr>
                <w:rFonts w:hint="eastAsia" w:ascii="Times New Roman" w:hAnsi="Times New Roman" w:eastAsia="仿宋_GB2312" w:cs="Times New Roman"/>
                <w:color w:val="000000"/>
                <w:kern w:val="0"/>
                <w:sz w:val="24"/>
                <w:u w:val="none"/>
                <w:lang w:eastAsia="zh-CN" w:bidi="ar"/>
              </w:rPr>
              <w:t>。</w:t>
            </w:r>
          </w:p>
          <w:p w14:paraId="327FDF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Times New Roman" w:hAnsi="Times New Roman" w:eastAsia="仿宋_GB2312" w:cs="Times New Roman"/>
                <w:color w:val="000000"/>
                <w:kern w:val="0"/>
                <w:sz w:val="24"/>
                <w:u w:val="none"/>
                <w:lang w:eastAsia="zh-CN" w:bidi="ar"/>
              </w:rPr>
            </w:pPr>
            <w:r>
              <w:rPr>
                <w:rFonts w:hint="eastAsia" w:ascii="Times New Roman" w:hAnsi="Times New Roman" w:eastAsia="仿宋_GB2312" w:cs="Times New Roman"/>
                <w:color w:val="000000"/>
                <w:kern w:val="0"/>
                <w:sz w:val="24"/>
                <w:u w:val="none"/>
                <w:lang w:eastAsia="zh-CN" w:bidi="ar"/>
              </w:rPr>
              <w:t>（</w:t>
            </w:r>
            <w:r>
              <w:rPr>
                <w:rFonts w:hint="eastAsia" w:ascii="Times New Roman" w:hAnsi="Times New Roman" w:eastAsia="仿宋_GB2312" w:cs="Times New Roman"/>
                <w:color w:val="000000"/>
                <w:kern w:val="0"/>
                <w:sz w:val="24"/>
                <w:u w:val="none"/>
                <w:lang w:val="en-US" w:eastAsia="zh-CN" w:bidi="ar"/>
              </w:rPr>
              <w:t>2）响应供应商</w:t>
            </w:r>
            <w:r>
              <w:rPr>
                <w:rFonts w:hint="eastAsia" w:ascii="Times New Roman" w:hAnsi="Times New Roman" w:eastAsia="仿宋_GB2312" w:cs="Times New Roman"/>
                <w:color w:val="000000"/>
                <w:kern w:val="0"/>
                <w:sz w:val="24"/>
                <w:u w:val="none"/>
                <w:lang w:bidi="ar"/>
              </w:rPr>
              <w:t>的样品由采购人封存，作为履约验收对照依据，待项目验收合格后退还或按合同约定处置</w:t>
            </w:r>
            <w:r>
              <w:rPr>
                <w:rFonts w:hint="eastAsia" w:ascii="Times New Roman" w:hAnsi="Times New Roman" w:eastAsia="仿宋_GB2312" w:cs="Times New Roman"/>
                <w:color w:val="000000"/>
                <w:kern w:val="0"/>
                <w:sz w:val="24"/>
                <w:u w:val="none"/>
                <w:lang w:eastAsia="zh-CN" w:bidi="ar"/>
              </w:rPr>
              <w:t>。</w:t>
            </w:r>
          </w:p>
          <w:p w14:paraId="3DBD63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Times New Roman" w:hAnsi="Times New Roman" w:eastAsia="仿宋_GB2312" w:cs="Times New Roman"/>
                <w:color w:val="000000"/>
                <w:kern w:val="0"/>
                <w:sz w:val="24"/>
                <w:u w:val="none"/>
                <w:lang w:eastAsia="zh-CN" w:bidi="ar"/>
              </w:rPr>
            </w:pPr>
            <w:r>
              <w:rPr>
                <w:rFonts w:hint="eastAsia" w:ascii="Times New Roman" w:hAnsi="Times New Roman" w:eastAsia="仿宋_GB2312" w:cs="Times New Roman"/>
                <w:color w:val="000000"/>
                <w:kern w:val="0"/>
                <w:sz w:val="24"/>
                <w:u w:val="none"/>
                <w:lang w:eastAsia="zh-CN" w:bidi="ar"/>
              </w:rPr>
              <w:t>（</w:t>
            </w:r>
            <w:r>
              <w:rPr>
                <w:rFonts w:hint="eastAsia" w:ascii="Times New Roman" w:hAnsi="Times New Roman" w:eastAsia="仿宋_GB2312" w:cs="Times New Roman"/>
                <w:color w:val="000000"/>
                <w:kern w:val="0"/>
                <w:sz w:val="24"/>
                <w:u w:val="none"/>
                <w:lang w:val="en-US" w:eastAsia="zh-CN" w:bidi="ar"/>
              </w:rPr>
              <w:t>3）</w:t>
            </w:r>
            <w:r>
              <w:rPr>
                <w:rFonts w:hint="eastAsia" w:ascii="Times New Roman" w:hAnsi="Times New Roman" w:eastAsia="仿宋_GB2312" w:cs="Times New Roman"/>
                <w:color w:val="000000"/>
                <w:kern w:val="0"/>
                <w:sz w:val="24"/>
                <w:u w:val="none"/>
                <w:lang w:bidi="ar"/>
              </w:rPr>
              <w:t>逾期未取回的样品，采购人有权自行处理</w:t>
            </w:r>
            <w:r>
              <w:rPr>
                <w:rFonts w:hint="eastAsia" w:ascii="Times New Roman" w:hAnsi="Times New Roman" w:eastAsia="仿宋_GB2312" w:cs="Times New Roman"/>
                <w:color w:val="000000"/>
                <w:kern w:val="0"/>
                <w:sz w:val="24"/>
                <w:u w:val="none"/>
                <w:lang w:eastAsia="zh-CN" w:bidi="ar"/>
              </w:rPr>
              <w:t>。</w:t>
            </w:r>
          </w:p>
          <w:p w14:paraId="6ED898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default" w:ascii="Times New Roman" w:hAnsi="Times New Roman" w:eastAsia="仿宋_GB2312" w:cs="Times New Roman"/>
                <w:color w:val="FF0000"/>
                <w:kern w:val="0"/>
                <w:sz w:val="24"/>
                <w:u w:val="none"/>
                <w:lang w:bidi="ar"/>
              </w:rPr>
            </w:pPr>
            <w:r>
              <w:rPr>
                <w:rFonts w:hint="eastAsia" w:ascii="Times New Roman" w:hAnsi="Times New Roman" w:eastAsia="仿宋_GB2312" w:cs="Times New Roman"/>
                <w:color w:val="000000"/>
                <w:kern w:val="0"/>
                <w:sz w:val="24"/>
                <w:u w:val="none"/>
                <w:lang w:val="en-US" w:eastAsia="zh-CN" w:bidi="ar"/>
              </w:rPr>
              <w:t>6、</w:t>
            </w:r>
            <w:r>
              <w:rPr>
                <w:rFonts w:hint="eastAsia" w:ascii="Times New Roman" w:hAnsi="Times New Roman" w:eastAsia="仿宋_GB2312" w:cs="Times New Roman"/>
                <w:color w:val="000000"/>
                <w:kern w:val="0"/>
                <w:sz w:val="24"/>
                <w:u w:val="none"/>
                <w:lang w:bidi="ar"/>
              </w:rPr>
              <w:t>样品相关费用</w:t>
            </w:r>
            <w:r>
              <w:rPr>
                <w:rFonts w:hint="eastAsia" w:ascii="Times New Roman" w:hAnsi="Times New Roman" w:eastAsia="仿宋_GB2312" w:cs="Times New Roman"/>
                <w:color w:val="000000"/>
                <w:kern w:val="0"/>
                <w:sz w:val="24"/>
                <w:u w:val="none"/>
                <w:lang w:val="en-US" w:eastAsia="zh-CN" w:bidi="ar"/>
              </w:rPr>
              <w:t>由投</w:t>
            </w:r>
            <w:r>
              <w:rPr>
                <w:rFonts w:hint="eastAsia" w:ascii="Times New Roman" w:hAnsi="Times New Roman" w:eastAsia="仿宋_GB2312" w:cs="Times New Roman"/>
                <w:color w:val="000000"/>
                <w:kern w:val="0"/>
                <w:sz w:val="24"/>
                <w:u w:val="none"/>
                <w:lang w:bidi="ar"/>
              </w:rPr>
              <w:t>标人自行承担样品制作、运输、取回等所有相关费用</w:t>
            </w:r>
            <w:r>
              <w:rPr>
                <w:rFonts w:hint="eastAsia" w:ascii="Times New Roman" w:hAnsi="Times New Roman" w:eastAsia="仿宋_GB2312" w:cs="Times New Roman"/>
                <w:color w:val="000000"/>
                <w:kern w:val="0"/>
                <w:sz w:val="24"/>
                <w:u w:val="none"/>
                <w:lang w:eastAsia="zh-CN" w:bidi="ar"/>
              </w:rPr>
              <w:t>。</w:t>
            </w:r>
          </w:p>
        </w:tc>
      </w:tr>
    </w:tbl>
    <w:p w14:paraId="379B7B7F">
      <w:pPr>
        <w:rPr>
          <w:rFonts w:hint="default" w:ascii="Times New Roman" w:hAnsi="Times New Roman" w:eastAsia="仿宋_GB2312" w:cs="Times New Roman"/>
          <w:b/>
          <w:bCs/>
          <w:color w:val="000000" w:themeColor="text1"/>
          <w:sz w:val="30"/>
          <w:szCs w:val="30"/>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0"/>
          <w:szCs w:val="30"/>
          <w:highlight w:val="none"/>
          <w:lang w:val="en-US" w:eastAsia="zh-CN"/>
          <w14:textFill>
            <w14:solidFill>
              <w14:schemeClr w14:val="tx1"/>
            </w14:solidFill>
          </w14:textFill>
        </w:rPr>
        <w:br w:type="page"/>
      </w:r>
    </w:p>
    <w:p w14:paraId="708AA29B">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default" w:ascii="Times New Roman" w:hAnsi="Times New Roman" w:eastAsia="仿宋_GB2312" w:cs="Times New Roman"/>
          <w:b/>
          <w:bCs w:val="0"/>
          <w:color w:val="000000" w:themeColor="text1"/>
          <w:sz w:val="32"/>
          <w:szCs w:val="32"/>
          <w:highlight w:val="none"/>
          <w:lang w:val="en-US" w:eastAsia="zh-CN"/>
          <w14:textFill>
            <w14:solidFill>
              <w14:schemeClr w14:val="tx1"/>
            </w14:solidFill>
          </w14:textFill>
        </w:rPr>
      </w:pPr>
      <w:bookmarkStart w:id="4" w:name="_Toc7745"/>
      <w:bookmarkStart w:id="5" w:name="_Toc27529"/>
      <w:r>
        <w:rPr>
          <w:rFonts w:hint="default" w:ascii="Times New Roman" w:hAnsi="Times New Roman" w:eastAsia="仿宋_GB2312" w:cs="Times New Roman"/>
          <w:b/>
          <w:bCs w:val="0"/>
          <w:color w:val="000000"/>
          <w:kern w:val="0"/>
          <w:sz w:val="32"/>
          <w:szCs w:val="32"/>
          <w:lang w:val="en-US" w:eastAsia="zh-CN"/>
        </w:rPr>
        <w:t>三、</w:t>
      </w:r>
      <w:r>
        <w:rPr>
          <w:rFonts w:hint="default" w:ascii="Times New Roman" w:hAnsi="Times New Roman" w:eastAsia="仿宋_GB2312" w:cs="Times New Roman"/>
          <w:b/>
          <w:bCs w:val="0"/>
          <w:color w:val="000000" w:themeColor="text1"/>
          <w:sz w:val="32"/>
          <w:szCs w:val="32"/>
          <w:highlight w:val="none"/>
          <w:lang w:val="en-US" w:eastAsia="zh-CN"/>
          <w14:textFill>
            <w14:solidFill>
              <w14:schemeClr w14:val="tx1"/>
            </w14:solidFill>
          </w14:textFill>
        </w:rPr>
        <w:t>评审标准</w:t>
      </w:r>
      <w:bookmarkEnd w:id="4"/>
      <w:bookmarkEnd w:id="5"/>
    </w:p>
    <w:p w14:paraId="20C6B1A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（一）评</w:t>
      </w:r>
      <w:r>
        <w:rPr>
          <w:rFonts w:hint="eastAsia" w:ascii="Times New Roman" w:hAnsi="Times New Roman" w:eastAsia="仿宋_GB2312" w:cs="Times New Roman"/>
          <w:b/>
          <w:bCs/>
          <w:sz w:val="24"/>
          <w:szCs w:val="24"/>
          <w:lang w:val="en-US" w:eastAsia="zh-CN"/>
        </w:rPr>
        <w:t>审</w:t>
      </w:r>
      <w:r>
        <w:rPr>
          <w:rFonts w:hint="default" w:ascii="Times New Roman" w:hAnsi="Times New Roman" w:eastAsia="仿宋_GB2312" w:cs="Times New Roman"/>
          <w:b/>
          <w:bCs/>
          <w:sz w:val="24"/>
          <w:szCs w:val="24"/>
        </w:rPr>
        <w:t>方法</w:t>
      </w:r>
    </w:p>
    <w:p w14:paraId="5A4E01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本项目根据院内采购管理规定，采用最低评标价法进行评审。最低评标价法，是指能够响应</w:t>
      </w:r>
      <w:r>
        <w:rPr>
          <w:rFonts w:hint="eastAsia" w:ascii="Times New Roman" w:hAnsi="Times New Roman" w:eastAsia="仿宋_GB2312" w:cs="Times New Roman"/>
          <w:sz w:val="24"/>
          <w:szCs w:val="24"/>
          <w:lang w:eastAsia="zh-CN"/>
        </w:rPr>
        <w:t>线上竞价文件</w:t>
      </w:r>
      <w:r>
        <w:rPr>
          <w:rFonts w:hint="default" w:ascii="Times New Roman" w:hAnsi="Times New Roman" w:eastAsia="仿宋_GB2312" w:cs="Times New Roman"/>
          <w:sz w:val="24"/>
          <w:szCs w:val="24"/>
        </w:rPr>
        <w:t>中所有实质性“技术要求”及“商务要求”，且报价最低的供应商为成交候选</w:t>
      </w:r>
      <w:r>
        <w:rPr>
          <w:rFonts w:hint="eastAsia" w:ascii="Times New Roman" w:hAnsi="Times New Roman" w:eastAsia="仿宋_GB2312" w:cs="Times New Roman"/>
          <w:sz w:val="24"/>
          <w:szCs w:val="24"/>
          <w:lang w:val="en-US" w:eastAsia="zh-CN"/>
        </w:rPr>
        <w:t>供应商</w:t>
      </w:r>
      <w:r>
        <w:rPr>
          <w:rFonts w:hint="default" w:ascii="Times New Roman" w:hAnsi="Times New Roman" w:eastAsia="仿宋_GB2312" w:cs="Times New Roman"/>
          <w:sz w:val="24"/>
          <w:szCs w:val="24"/>
        </w:rPr>
        <w:t>的评审方法。</w:t>
      </w:r>
    </w:p>
    <w:p w14:paraId="29187B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根据《政府采购货物和服务招标投标管理办法》（财政部令第87号），若评审小组认为供应商的报价明显低于其他通过符合性审查供应商的报价，有可能影响项目质量或者不能诚信履约，应要求供应商在规定时间内予以书面说明，并需提交相关证明材料证明其报价的合理性；供应商不能证明其报价合理的，评审小组应当将其作为无效响应处理。</w:t>
      </w:r>
    </w:p>
    <w:p w14:paraId="5B8F54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lang w:val="en-US" w:eastAsia="zh-CN"/>
        </w:rPr>
        <w:t>根据《</w:t>
      </w:r>
      <w:r>
        <w:rPr>
          <w:rFonts w:hint="eastAsia" w:ascii="Times New Roman" w:hAnsi="Times New Roman" w:eastAsia="仿宋_GB2312" w:cs="仿宋_GB2312"/>
          <w:sz w:val="24"/>
          <w:highlight w:val="none"/>
        </w:rPr>
        <w:t>关于推动解决政府采购异常低价问题的通知</w:t>
      </w:r>
      <w:r>
        <w:rPr>
          <w:rFonts w:hint="eastAsia" w:ascii="Times New Roman" w:hAnsi="Times New Roman" w:eastAsia="仿宋_GB2312" w:cs="仿宋_GB2312"/>
          <w:sz w:val="24"/>
          <w:highlight w:val="none"/>
          <w:lang w:val="en-US" w:eastAsia="zh-CN"/>
        </w:rPr>
        <w:t>》（</w:t>
      </w:r>
      <w:r>
        <w:rPr>
          <w:rFonts w:hint="eastAsia" w:ascii="Times New Roman" w:hAnsi="Times New Roman" w:eastAsia="仿宋_GB2312" w:cs="仿宋_GB2312"/>
          <w:sz w:val="24"/>
          <w:highlight w:val="none"/>
        </w:rPr>
        <w:t>财库〔2026〕2号</w:t>
      </w:r>
      <w:r>
        <w:rPr>
          <w:rFonts w:hint="eastAsia" w:ascii="Times New Roman" w:hAnsi="Times New Roman" w:eastAsia="仿宋_GB2312" w:cs="仿宋_GB2312"/>
          <w:sz w:val="24"/>
          <w:highlight w:val="none"/>
          <w:lang w:val="en-US" w:eastAsia="zh-CN"/>
        </w:rPr>
        <w:t>），</w:t>
      </w:r>
      <w:r>
        <w:rPr>
          <w:rFonts w:hint="eastAsia" w:ascii="Times New Roman" w:hAnsi="Times New Roman" w:eastAsia="仿宋_GB2312" w:cs="仿宋_GB2312"/>
          <w:sz w:val="24"/>
          <w:highlight w:val="none"/>
        </w:rPr>
        <w:t>政府采购评审中出现下列情形之一的，评审</w:t>
      </w:r>
      <w:r>
        <w:rPr>
          <w:rFonts w:hint="eastAsia" w:ascii="Times New Roman" w:hAnsi="Times New Roman" w:eastAsia="仿宋_GB2312" w:cs="仿宋_GB2312"/>
          <w:sz w:val="24"/>
          <w:highlight w:val="none"/>
          <w:lang w:val="en-US" w:eastAsia="zh-CN"/>
        </w:rPr>
        <w:t>小组</w:t>
      </w:r>
      <w:r>
        <w:rPr>
          <w:rFonts w:hint="eastAsia" w:ascii="Times New Roman" w:hAnsi="Times New Roman" w:eastAsia="仿宋_GB2312" w:cs="仿宋_GB2312"/>
          <w:sz w:val="24"/>
          <w:highlight w:val="none"/>
        </w:rPr>
        <w:t>应当启动异常低价投标（响应）审查程序：</w:t>
      </w:r>
    </w:p>
    <w:p w14:paraId="39C8C3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rPr>
        <w:t>1.响应报价低于全部通过符合性审查供应商响应报价平均值50%的，即响应报价&lt;全部通过符合性审查供应商响应报价平均值×50%；</w:t>
      </w:r>
    </w:p>
    <w:p w14:paraId="2887F4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rPr>
        <w:t>2.响应报价低于通过符合性审查的次低报价供应商响应报价50%的，即响应报价&lt;通过符合性审查的次低报价供应商响应报价×50%；</w:t>
      </w:r>
    </w:p>
    <w:p w14:paraId="512722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仿宋_GB2312"/>
          <w:sz w:val="24"/>
          <w:highlight w:val="none"/>
        </w:rPr>
      </w:pPr>
      <w:r>
        <w:rPr>
          <w:rFonts w:hint="eastAsia" w:ascii="Times New Roman" w:hAnsi="Times New Roman" w:eastAsia="仿宋_GB2312" w:cs="仿宋_GB2312"/>
          <w:sz w:val="24"/>
          <w:highlight w:val="none"/>
        </w:rPr>
        <w:t>3.响应报价低于采购项目最高限价45%的，即响应报价&lt;采购项目最高限价×45%；</w:t>
      </w:r>
    </w:p>
    <w:p w14:paraId="0B13B8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eastAsia" w:ascii="Times New Roman" w:hAnsi="Times New Roman" w:eastAsia="仿宋_GB2312" w:cs="仿宋_GB2312"/>
          <w:sz w:val="24"/>
          <w:highlight w:val="none"/>
        </w:rPr>
        <w:t>4.评审</w:t>
      </w:r>
      <w:r>
        <w:rPr>
          <w:rFonts w:hint="eastAsia" w:ascii="Times New Roman" w:hAnsi="Times New Roman" w:eastAsia="仿宋_GB2312" w:cs="仿宋_GB2312"/>
          <w:sz w:val="24"/>
          <w:highlight w:val="none"/>
          <w:lang w:val="en-US" w:eastAsia="zh-CN"/>
        </w:rPr>
        <w:t>小组</w:t>
      </w:r>
      <w:r>
        <w:rPr>
          <w:rFonts w:hint="eastAsia" w:ascii="Times New Roman" w:hAnsi="Times New Roman" w:eastAsia="仿宋_GB2312" w:cs="仿宋_GB2312"/>
          <w:sz w:val="24"/>
          <w:highlight w:val="none"/>
        </w:rPr>
        <w:t>基于专业判断，认为供应商报价过低，有可能影响产品质量或者不能诚信履约的其他情形。</w:t>
      </w:r>
    </w:p>
    <w:p w14:paraId="05C2859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（二）评审依据</w:t>
      </w:r>
    </w:p>
    <w:p w14:paraId="5D9952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w:t>
      </w:r>
      <w:r>
        <w:rPr>
          <w:rFonts w:hint="eastAsia" w:ascii="Times New Roman" w:hAnsi="Times New Roman" w:eastAsia="仿宋_GB2312" w:cs="Times New Roman"/>
          <w:sz w:val="24"/>
          <w:szCs w:val="24"/>
          <w:lang w:eastAsia="zh-CN"/>
        </w:rPr>
        <w:t>线上竞价文件</w:t>
      </w:r>
      <w:r>
        <w:rPr>
          <w:rFonts w:hint="default" w:ascii="Times New Roman" w:hAnsi="Times New Roman" w:eastAsia="仿宋_GB2312" w:cs="Times New Roman"/>
          <w:sz w:val="24"/>
          <w:szCs w:val="24"/>
        </w:rPr>
        <w:t>为依据。</w:t>
      </w:r>
    </w:p>
    <w:p w14:paraId="457A68D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（三）成交候选供应商推荐原则</w:t>
      </w:r>
    </w:p>
    <w:p w14:paraId="166648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在通过资格审查和符合性审查的供应商中，评审小组将按报价由低到高顺序推荐3名以上成交候选供应商。根据报价由低到高排列次序（报价相同时，按技术指标优劣顺序排列）并推荐成交候选供应商。采购人应当确定评审小组推荐排名第一的成交候选供应商为成交供应商。排名第一的成交候选供应商放弃成交、因不可抗力提出不能履行合同，采购人可以确定排名第二的成交候选供应商为成交供应商。排名第二的成交候选供应商因前款规定的同样原因不能签订合同的，采购人可以确定排名第三的成交候选供应商为成交供应商，其余以此类推。采购人也可以决定重新采购。</w:t>
      </w:r>
    </w:p>
    <w:p w14:paraId="36398C9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（四）说明</w:t>
      </w:r>
    </w:p>
    <w:p w14:paraId="730E0A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1、供应商应在响应文件中附上以上涉及的有关资质证书、文件的复印件。因供应商资料不全或不清楚影响到最终评审结果的责任由供应商自负。</w:t>
      </w:r>
    </w:p>
    <w:p w14:paraId="7A82C9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4"/>
          <w:szCs w:val="24"/>
        </w:rPr>
        <w:t>2、供应商一旦被发现有虚假响应情况，将被取消</w:t>
      </w:r>
      <w:r>
        <w:rPr>
          <w:rFonts w:hint="eastAsia"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标或成交资格。</w:t>
      </w:r>
    </w:p>
    <w:p w14:paraId="32B4A73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723422BF">
      <w:pPr>
        <w:keepNext w:val="0"/>
        <w:keepLines w:val="0"/>
        <w:pageBreakBefore w:val="0"/>
        <w:widowControl w:val="0"/>
        <w:kinsoku/>
        <w:wordWrap/>
        <w:overflowPunct/>
        <w:topLinePunct w:val="0"/>
        <w:autoSpaceDE/>
        <w:autoSpaceDN/>
        <w:bidi w:val="0"/>
        <w:adjustRightInd/>
        <w:snapToGrid/>
        <w:spacing w:after="313" w:afterLines="100" w:line="400" w:lineRule="exact"/>
        <w:jc w:val="center"/>
        <w:textAlignment w:val="auto"/>
        <w:outlineLvl w:val="0"/>
        <w:rPr>
          <w:rFonts w:hint="eastAsia" w:ascii="Times New Roman" w:hAnsi="Times New Roman" w:eastAsia="仿宋_GB2312" w:cs="仿宋_GB2312"/>
          <w:b/>
          <w:bCs/>
          <w:sz w:val="32"/>
          <w:szCs w:val="32"/>
          <w:lang w:val="en-US" w:eastAsia="zh-CN"/>
        </w:rPr>
      </w:pPr>
      <w:bookmarkStart w:id="6" w:name="_Toc139"/>
      <w:bookmarkStart w:id="7" w:name="_Toc1459"/>
      <w:bookmarkStart w:id="8" w:name="_Toc13935"/>
      <w:r>
        <w:rPr>
          <w:rFonts w:hint="eastAsia" w:ascii="Times New Roman" w:hAnsi="Times New Roman" w:eastAsia="仿宋_GB2312" w:cs="仿宋_GB2312"/>
          <w:b/>
          <w:bCs/>
          <w:sz w:val="32"/>
          <w:szCs w:val="32"/>
          <w:lang w:val="en-US" w:eastAsia="zh-CN"/>
        </w:rPr>
        <w:t>四、响应文件格式</w:t>
      </w:r>
      <w:bookmarkEnd w:id="6"/>
      <w:bookmarkEnd w:id="7"/>
      <w:bookmarkEnd w:id="8"/>
    </w:p>
    <w:p w14:paraId="398B760E">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lang w:val="en-US" w:eastAsia="zh-CN"/>
        </w:rPr>
        <w:t>（一）供应商递交的</w:t>
      </w:r>
      <w:r>
        <w:rPr>
          <w:rFonts w:hint="default" w:ascii="Times New Roman" w:hAnsi="Times New Roman" w:eastAsia="仿宋_GB2312" w:cs="Times New Roman"/>
          <w:b/>
          <w:bCs/>
          <w:sz w:val="24"/>
          <w:szCs w:val="24"/>
          <w:highlight w:val="none"/>
        </w:rPr>
        <w:t>响应文件</w:t>
      </w:r>
      <w:r>
        <w:rPr>
          <w:rFonts w:hint="default" w:ascii="Times New Roman" w:hAnsi="Times New Roman" w:eastAsia="仿宋_GB2312" w:cs="Times New Roman"/>
          <w:b/>
          <w:bCs/>
          <w:sz w:val="24"/>
          <w:szCs w:val="24"/>
          <w:highlight w:val="none"/>
          <w:lang w:val="en-US" w:eastAsia="zh-CN"/>
        </w:rPr>
        <w:t>应包含以下材料</w:t>
      </w:r>
      <w:r>
        <w:rPr>
          <w:rFonts w:hint="default" w:ascii="Times New Roman" w:hAnsi="Times New Roman" w:eastAsia="仿宋_GB2312" w:cs="Times New Roman"/>
          <w:b/>
          <w:bCs/>
          <w:sz w:val="24"/>
          <w:szCs w:val="24"/>
          <w:highlight w:val="none"/>
        </w:rPr>
        <w:t>：</w:t>
      </w:r>
    </w:p>
    <w:p w14:paraId="5D54DF19">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eastAsia="zh-CN"/>
        </w:rPr>
      </w:pPr>
      <w:r>
        <w:rPr>
          <w:rFonts w:hint="default" w:ascii="Times New Roman" w:hAnsi="Times New Roman" w:eastAsia="仿宋_GB2312" w:cs="Times New Roman"/>
          <w:b w:val="0"/>
          <w:bCs w:val="0"/>
          <w:sz w:val="24"/>
          <w:szCs w:val="24"/>
          <w:highlight w:val="none"/>
        </w:rPr>
        <w:t>1</w:t>
      </w:r>
      <w:r>
        <w:rPr>
          <w:rFonts w:hint="default" w:ascii="Times New Roman" w:hAnsi="Times New Roman" w:eastAsia="仿宋_GB2312" w:cs="Times New Roman"/>
          <w:b w:val="0"/>
          <w:bCs w:val="0"/>
          <w:sz w:val="24"/>
          <w:szCs w:val="24"/>
          <w:highlight w:val="none"/>
          <w:lang w:val="en-US" w:eastAsia="zh-CN"/>
        </w:rPr>
        <w:t>.供应商有效的</w:t>
      </w:r>
      <w:r>
        <w:rPr>
          <w:rFonts w:hint="default" w:ascii="Times New Roman" w:hAnsi="Times New Roman" w:eastAsia="仿宋_GB2312" w:cs="Times New Roman"/>
          <w:b w:val="0"/>
          <w:bCs w:val="0"/>
          <w:sz w:val="24"/>
          <w:szCs w:val="24"/>
          <w:highlight w:val="none"/>
        </w:rPr>
        <w:t>营业执照复印件</w:t>
      </w:r>
      <w:r>
        <w:rPr>
          <w:rFonts w:hint="default" w:ascii="Times New Roman" w:hAnsi="Times New Roman" w:eastAsia="仿宋_GB2312" w:cs="Times New Roman"/>
          <w:b w:val="0"/>
          <w:bCs w:val="0"/>
          <w:sz w:val="24"/>
          <w:szCs w:val="24"/>
          <w:highlight w:val="none"/>
          <w:lang w:eastAsia="zh-CN"/>
        </w:rPr>
        <w:t>；</w:t>
      </w:r>
    </w:p>
    <w:p w14:paraId="6403F373">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eastAsia="zh-CN"/>
        </w:rPr>
      </w:pPr>
      <w:r>
        <w:rPr>
          <w:rFonts w:hint="default" w:ascii="Times New Roman" w:hAnsi="Times New Roman" w:eastAsia="仿宋_GB2312" w:cs="Times New Roman"/>
          <w:b w:val="0"/>
          <w:bCs w:val="0"/>
          <w:sz w:val="24"/>
          <w:szCs w:val="24"/>
          <w:highlight w:val="none"/>
        </w:rPr>
        <w:t>2</w:t>
      </w:r>
      <w:r>
        <w:rPr>
          <w:rFonts w:hint="default" w:ascii="Times New Roman" w:hAnsi="Times New Roman" w:eastAsia="仿宋_GB2312" w:cs="Times New Roman"/>
          <w:b w:val="0"/>
          <w:bCs w:val="0"/>
          <w:sz w:val="24"/>
          <w:szCs w:val="24"/>
          <w:highlight w:val="none"/>
          <w:lang w:val="en-US" w:eastAsia="zh-CN"/>
        </w:rPr>
        <w:t>.</w:t>
      </w:r>
      <w:r>
        <w:rPr>
          <w:rFonts w:hint="default" w:ascii="Times New Roman" w:hAnsi="Times New Roman" w:eastAsia="仿宋_GB2312" w:cs="Times New Roman"/>
          <w:b w:val="0"/>
          <w:bCs w:val="0"/>
          <w:sz w:val="24"/>
          <w:szCs w:val="24"/>
          <w:highlight w:val="none"/>
        </w:rPr>
        <w:t>法定代表人身份证复印件</w:t>
      </w:r>
      <w:r>
        <w:rPr>
          <w:rFonts w:hint="default" w:ascii="Times New Roman" w:hAnsi="Times New Roman" w:eastAsia="仿宋_GB2312" w:cs="Times New Roman"/>
          <w:b w:val="0"/>
          <w:bCs w:val="0"/>
          <w:sz w:val="24"/>
          <w:szCs w:val="24"/>
          <w:highlight w:val="none"/>
          <w:lang w:eastAsia="zh-CN"/>
        </w:rPr>
        <w:t>；</w:t>
      </w:r>
    </w:p>
    <w:p w14:paraId="68518D67">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仿宋_GB2312" w:cs="Times New Roman"/>
          <w:b w:val="0"/>
          <w:bCs w:val="0"/>
          <w:sz w:val="24"/>
          <w:szCs w:val="24"/>
          <w:highlight w:val="none"/>
          <w:lang w:eastAsia="zh-CN"/>
        </w:rPr>
      </w:pPr>
      <w:r>
        <w:rPr>
          <w:rFonts w:hint="default" w:ascii="Times New Roman" w:hAnsi="Times New Roman" w:eastAsia="仿宋_GB2312" w:cs="Times New Roman"/>
          <w:b w:val="0"/>
          <w:bCs w:val="0"/>
          <w:sz w:val="24"/>
          <w:szCs w:val="24"/>
          <w:highlight w:val="none"/>
          <w:lang w:val="en-US" w:eastAsia="zh-CN"/>
        </w:rPr>
        <w:t>3.</w:t>
      </w:r>
      <w:r>
        <w:rPr>
          <w:rFonts w:hint="default" w:ascii="Times New Roman" w:hAnsi="Times New Roman" w:eastAsia="仿宋_GB2312" w:cs="Times New Roman"/>
          <w:b w:val="0"/>
          <w:bCs w:val="0"/>
          <w:sz w:val="24"/>
          <w:szCs w:val="24"/>
          <w:highlight w:val="none"/>
        </w:rPr>
        <w:t>202</w:t>
      </w:r>
      <w:r>
        <w:rPr>
          <w:rFonts w:hint="eastAsia"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年</w:t>
      </w:r>
      <w:r>
        <w:rPr>
          <w:rFonts w:hint="eastAsia" w:eastAsia="仿宋_GB2312" w:cs="Times New Roman"/>
          <w:b w:val="0"/>
          <w:bCs w:val="0"/>
          <w:sz w:val="24"/>
          <w:szCs w:val="24"/>
          <w:highlight w:val="none"/>
          <w:lang w:val="en-US" w:eastAsia="zh-CN"/>
        </w:rPr>
        <w:t>1</w:t>
      </w:r>
      <w:r>
        <w:rPr>
          <w:rFonts w:hint="default" w:ascii="Times New Roman" w:hAnsi="Times New Roman" w:eastAsia="仿宋_GB2312" w:cs="Times New Roman"/>
          <w:b w:val="0"/>
          <w:bCs w:val="0"/>
          <w:sz w:val="24"/>
          <w:szCs w:val="24"/>
          <w:highlight w:val="none"/>
        </w:rPr>
        <w:t>月至202</w:t>
      </w:r>
      <w:r>
        <w:rPr>
          <w:rFonts w:hint="eastAsia"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年</w:t>
      </w:r>
      <w:r>
        <w:rPr>
          <w:rFonts w:hint="eastAsia" w:eastAsia="仿宋_GB2312" w:cs="Times New Roman"/>
          <w:b w:val="0"/>
          <w:bCs w:val="0"/>
          <w:sz w:val="24"/>
          <w:szCs w:val="24"/>
          <w:highlight w:val="none"/>
          <w:lang w:val="en-US" w:eastAsia="zh-CN"/>
        </w:rPr>
        <w:t>4</w:t>
      </w:r>
      <w:r>
        <w:rPr>
          <w:rFonts w:hint="default" w:ascii="Times New Roman" w:hAnsi="Times New Roman" w:eastAsia="仿宋_GB2312" w:cs="Times New Roman"/>
          <w:b w:val="0"/>
          <w:bCs w:val="0"/>
          <w:sz w:val="24"/>
          <w:szCs w:val="24"/>
          <w:highlight w:val="none"/>
        </w:rPr>
        <w:t>月任意连续3个月的依法缴纳税收凭据以及202</w:t>
      </w:r>
      <w:r>
        <w:rPr>
          <w:rFonts w:hint="eastAsia"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年</w:t>
      </w:r>
      <w:r>
        <w:rPr>
          <w:rFonts w:hint="eastAsia" w:eastAsia="仿宋_GB2312" w:cs="Times New Roman"/>
          <w:b w:val="0"/>
          <w:bCs w:val="0"/>
          <w:sz w:val="24"/>
          <w:szCs w:val="24"/>
          <w:highlight w:val="none"/>
          <w:lang w:val="en-US" w:eastAsia="zh-CN"/>
        </w:rPr>
        <w:t>1</w:t>
      </w:r>
      <w:r>
        <w:rPr>
          <w:rFonts w:hint="default" w:ascii="Times New Roman" w:hAnsi="Times New Roman" w:eastAsia="仿宋_GB2312" w:cs="Times New Roman"/>
          <w:b w:val="0"/>
          <w:bCs w:val="0"/>
          <w:sz w:val="24"/>
          <w:szCs w:val="24"/>
          <w:highlight w:val="none"/>
        </w:rPr>
        <w:t>月至202</w:t>
      </w:r>
      <w:r>
        <w:rPr>
          <w:rFonts w:hint="eastAsia"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年</w:t>
      </w:r>
      <w:r>
        <w:rPr>
          <w:rFonts w:hint="eastAsia" w:eastAsia="仿宋_GB2312" w:cs="Times New Roman"/>
          <w:b w:val="0"/>
          <w:bCs w:val="0"/>
          <w:sz w:val="24"/>
          <w:szCs w:val="24"/>
          <w:highlight w:val="none"/>
          <w:lang w:val="en-US" w:eastAsia="zh-CN"/>
        </w:rPr>
        <w:t>4</w:t>
      </w:r>
      <w:r>
        <w:rPr>
          <w:rFonts w:hint="default" w:ascii="Times New Roman" w:hAnsi="Times New Roman" w:eastAsia="仿宋_GB2312" w:cs="Times New Roman"/>
          <w:b w:val="0"/>
          <w:bCs w:val="0"/>
          <w:sz w:val="24"/>
          <w:szCs w:val="24"/>
          <w:highlight w:val="none"/>
        </w:rPr>
        <w:t>月任意连续3个月的依法缴纳社会保障资金的缴费凭证</w:t>
      </w:r>
      <w:r>
        <w:rPr>
          <w:rFonts w:hint="default" w:ascii="Times New Roman" w:hAnsi="Times New Roman" w:eastAsia="仿宋_GB2312" w:cs="Times New Roman"/>
          <w:b w:val="0"/>
          <w:bCs w:val="0"/>
          <w:sz w:val="24"/>
          <w:szCs w:val="24"/>
          <w:highlight w:val="none"/>
          <w:lang w:eastAsia="zh-CN"/>
        </w:rPr>
        <w:t>；</w:t>
      </w:r>
    </w:p>
    <w:p w14:paraId="3C8932DB">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b w:val="0"/>
          <w:bCs w:val="0"/>
          <w:kern w:val="2"/>
          <w:sz w:val="24"/>
          <w:szCs w:val="24"/>
          <w:highlight w:val="none"/>
          <w:lang w:val="en-US" w:eastAsia="zh-CN" w:bidi="ar-SA"/>
        </w:rPr>
        <w:t>4.</w:t>
      </w:r>
      <w:r>
        <w:rPr>
          <w:rFonts w:hint="default" w:ascii="Times New Roman" w:hAnsi="Times New Roman" w:eastAsia="仿宋_GB2312" w:cs="Times New Roman"/>
          <w:sz w:val="24"/>
          <w:szCs w:val="24"/>
          <w:highlight w:val="none"/>
        </w:rPr>
        <w:t>在“信用中国（www.creditchina.gov.cn）”网站未被列入失信被执行人、重大税收违法失信主体、政府采购严重违法失信行为记录名单查询截图和“中国政府采购网（www.ccgp.gov.cn）”网站未被列入政府采购严重违法失信行为记录名单查询截图；</w:t>
      </w:r>
    </w:p>
    <w:p w14:paraId="55DD9B2E">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5.</w:t>
      </w:r>
      <w:r>
        <w:rPr>
          <w:rFonts w:hint="default" w:ascii="Times New Roman" w:hAnsi="Times New Roman" w:eastAsia="仿宋_GB2312" w:cs="Times New Roman"/>
          <w:b w:val="0"/>
          <w:bCs w:val="0"/>
          <w:sz w:val="24"/>
          <w:szCs w:val="24"/>
          <w:highlight w:val="none"/>
        </w:rPr>
        <w:t>报价</w:t>
      </w:r>
      <w:r>
        <w:rPr>
          <w:rFonts w:hint="default" w:ascii="Times New Roman" w:hAnsi="Times New Roman" w:eastAsia="仿宋_GB2312" w:cs="Times New Roman"/>
          <w:b w:val="0"/>
          <w:bCs w:val="0"/>
          <w:sz w:val="24"/>
          <w:szCs w:val="24"/>
          <w:highlight w:val="none"/>
          <w:lang w:val="en-US" w:eastAsia="zh-CN"/>
        </w:rPr>
        <w:t>表（</w:t>
      </w:r>
      <w:r>
        <w:rPr>
          <w:rFonts w:hint="default" w:ascii="Times New Roman" w:hAnsi="Times New Roman" w:eastAsia="仿宋_GB2312" w:cs="Times New Roman"/>
          <w:sz w:val="24"/>
          <w:szCs w:val="24"/>
          <w:highlight w:val="none"/>
        </w:rPr>
        <w:t>详见</w:t>
      </w:r>
      <w:r>
        <w:rPr>
          <w:rFonts w:hint="default" w:ascii="Times New Roman" w:hAnsi="Times New Roman" w:eastAsia="仿宋_GB2312" w:cs="Times New Roman"/>
          <w:b w:val="0"/>
          <w:bCs w:val="0"/>
          <w:sz w:val="24"/>
          <w:szCs w:val="24"/>
          <w:highlight w:val="none"/>
          <w:lang w:val="en-US" w:eastAsia="zh-CN"/>
        </w:rPr>
        <w:t>附件1）；</w:t>
      </w:r>
    </w:p>
    <w:p w14:paraId="30E63EBE">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b w:val="0"/>
          <w:bCs w:val="0"/>
          <w:sz w:val="24"/>
          <w:szCs w:val="24"/>
          <w:highlight w:val="none"/>
          <w:lang w:val="en-US" w:eastAsia="zh-CN"/>
        </w:rPr>
        <w:t>6.</w:t>
      </w:r>
      <w:r>
        <w:rPr>
          <w:rFonts w:hint="default" w:ascii="Times New Roman" w:hAnsi="Times New Roman" w:eastAsia="仿宋_GB2312" w:cs="Times New Roman"/>
          <w:b w:val="0"/>
          <w:bCs w:val="0"/>
          <w:sz w:val="24"/>
          <w:szCs w:val="24"/>
          <w:highlight w:val="none"/>
        </w:rPr>
        <w:t>采购需求响应</w:t>
      </w:r>
      <w:r>
        <w:rPr>
          <w:rFonts w:hint="default" w:ascii="Times New Roman" w:hAnsi="Times New Roman" w:eastAsia="仿宋_GB2312" w:cs="Times New Roman"/>
          <w:b w:val="0"/>
          <w:bCs w:val="0"/>
          <w:sz w:val="24"/>
          <w:szCs w:val="24"/>
          <w:highlight w:val="none"/>
          <w:lang w:val="en-US" w:eastAsia="zh-CN"/>
        </w:rPr>
        <w:t>偏离</w:t>
      </w:r>
      <w:r>
        <w:rPr>
          <w:rFonts w:hint="default" w:ascii="Times New Roman" w:hAnsi="Times New Roman" w:eastAsia="仿宋_GB2312" w:cs="Times New Roman"/>
          <w:b w:val="0"/>
          <w:bCs w:val="0"/>
          <w:sz w:val="24"/>
          <w:szCs w:val="24"/>
          <w:highlight w:val="none"/>
        </w:rPr>
        <w:t>表</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详见</w:t>
      </w:r>
      <w:r>
        <w:rPr>
          <w:rFonts w:hint="default" w:ascii="Times New Roman" w:hAnsi="Times New Roman" w:eastAsia="仿宋_GB2312" w:cs="Times New Roman"/>
          <w:b w:val="0"/>
          <w:bCs w:val="0"/>
          <w:sz w:val="24"/>
          <w:szCs w:val="24"/>
          <w:highlight w:val="none"/>
          <w:lang w:val="en-US" w:eastAsia="zh-CN"/>
        </w:rPr>
        <w:t>附件2</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w:t>
      </w:r>
    </w:p>
    <w:p w14:paraId="1B324DE4">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val="0"/>
          <w:bCs w:val="0"/>
          <w:sz w:val="24"/>
          <w:szCs w:val="24"/>
          <w:highlight w:val="none"/>
          <w:lang w:val="en-US" w:eastAsia="zh-CN"/>
        </w:rPr>
        <w:t>7.</w:t>
      </w:r>
      <w:r>
        <w:rPr>
          <w:rFonts w:hint="default" w:eastAsia="仿宋_GB2312"/>
          <w:sz w:val="24"/>
          <w:szCs w:val="24"/>
          <w:highlight w:val="none"/>
        </w:rPr>
        <w:t>项目实施方案</w:t>
      </w:r>
      <w:r>
        <w:rPr>
          <w:rFonts w:hint="eastAsia" w:eastAsia="仿宋_GB2312"/>
          <w:sz w:val="24"/>
          <w:szCs w:val="24"/>
          <w:highlight w:val="none"/>
          <w:lang w:val="en-US" w:eastAsia="zh-CN"/>
        </w:rPr>
        <w:t>及</w:t>
      </w:r>
      <w:r>
        <w:rPr>
          <w:rFonts w:hint="default" w:ascii="Times New Roman" w:hAnsi="Times New Roman" w:eastAsia="仿宋_GB2312" w:cs="Times New Roman"/>
          <w:b w:val="0"/>
          <w:bCs w:val="0"/>
          <w:sz w:val="24"/>
          <w:szCs w:val="24"/>
          <w:highlight w:val="none"/>
          <w:lang w:val="en-US" w:eastAsia="zh-CN"/>
        </w:rPr>
        <w:t>售后服务承诺书（格式自拟）；</w:t>
      </w:r>
    </w:p>
    <w:p w14:paraId="29176762">
      <w:pPr>
        <w:pStyle w:val="4"/>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仿宋_GB2312" w:cs="Times New Roman"/>
          <w:b w:val="0"/>
          <w:bCs w:val="0"/>
          <w:sz w:val="24"/>
          <w:szCs w:val="24"/>
          <w:highlight w:val="none"/>
          <w:lang w:val="en-US" w:eastAsia="zh-CN"/>
        </w:rPr>
      </w:pPr>
      <w:r>
        <w:rPr>
          <w:rFonts w:hint="eastAsia" w:eastAsia="仿宋_GB2312" w:cs="Times New Roman"/>
          <w:b w:val="0"/>
          <w:bCs w:val="0"/>
          <w:sz w:val="24"/>
          <w:szCs w:val="24"/>
          <w:highlight w:val="none"/>
          <w:lang w:val="en-US" w:eastAsia="zh-CN"/>
        </w:rPr>
        <w:t>8.</w:t>
      </w:r>
      <w:r>
        <w:rPr>
          <w:rFonts w:hint="default" w:ascii="Times New Roman" w:hAnsi="Times New Roman" w:eastAsia="仿宋_GB2312" w:cs="Times New Roman"/>
          <w:b w:val="0"/>
          <w:bCs w:val="0"/>
          <w:sz w:val="24"/>
          <w:szCs w:val="24"/>
          <w:highlight w:val="none"/>
          <w:lang w:val="en-US" w:eastAsia="zh-CN"/>
        </w:rPr>
        <w:t>无围标串标行为承诺函（</w:t>
      </w:r>
      <w:r>
        <w:rPr>
          <w:rFonts w:hint="default" w:ascii="Times New Roman" w:hAnsi="Times New Roman" w:eastAsia="仿宋_GB2312" w:cs="Times New Roman"/>
          <w:sz w:val="24"/>
          <w:szCs w:val="24"/>
          <w:highlight w:val="none"/>
        </w:rPr>
        <w:t>详见</w:t>
      </w:r>
      <w:r>
        <w:rPr>
          <w:rFonts w:hint="default" w:ascii="Times New Roman" w:hAnsi="Times New Roman" w:eastAsia="仿宋_GB2312" w:cs="Times New Roman"/>
          <w:b w:val="0"/>
          <w:bCs w:val="0"/>
          <w:sz w:val="24"/>
          <w:szCs w:val="24"/>
          <w:highlight w:val="none"/>
          <w:lang w:val="en-US" w:eastAsia="zh-CN"/>
        </w:rPr>
        <w:t>附件3）；</w:t>
      </w:r>
    </w:p>
    <w:p w14:paraId="57B99B72">
      <w:pPr>
        <w:pStyle w:val="4"/>
        <w:keepNext w:val="0"/>
        <w:keepLines w:val="0"/>
        <w:pageBreakBefore w:val="0"/>
        <w:shd w:val="clear" w:color="auto" w:fill="auto"/>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highlight w:val="none"/>
          <w:lang w:val="en-US" w:eastAsia="zh-CN"/>
        </w:rPr>
        <w:t>（二）</w:t>
      </w:r>
      <w:r>
        <w:rPr>
          <w:rFonts w:hint="default"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t>以上材料均</w:t>
      </w:r>
      <w:r>
        <w:rPr>
          <w:rFonts w:hint="eastAsia" w:eastAsia="仿宋_GB2312" w:cs="Times New Roman"/>
          <w:b/>
          <w:bCs/>
          <w:color w:val="000000" w:themeColor="text1"/>
          <w:sz w:val="24"/>
          <w:szCs w:val="24"/>
          <w:highlight w:val="none"/>
          <w:lang w:val="en-US" w:eastAsia="zh-CN"/>
          <w14:textFill>
            <w14:solidFill>
              <w14:schemeClr w14:val="tx1"/>
            </w14:solidFill>
          </w14:textFill>
        </w:rPr>
        <w:t>须</w:t>
      </w:r>
      <w:r>
        <w:rPr>
          <w:rFonts w:hint="default"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t>加盖单位公章，</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其它格式文档须转换成PDF格式上传到竞价平台，如材料不完善或未盖单位公章作无效响应处理。</w:t>
      </w:r>
    </w:p>
    <w:p w14:paraId="573744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4"/>
          <w:szCs w:val="24"/>
          <w:lang w:val="en-US" w:eastAsia="zh-CN"/>
        </w:rPr>
        <w:br w:type="page"/>
      </w:r>
      <w:bookmarkStart w:id="9" w:name="_Toc23211"/>
      <w:bookmarkStart w:id="10" w:name="_Toc23071"/>
      <w:r>
        <w:rPr>
          <w:rFonts w:hint="default" w:ascii="Times New Roman" w:hAnsi="Times New Roman" w:eastAsia="仿宋_GB2312" w:cs="Times New Roman"/>
          <w:sz w:val="32"/>
          <w:szCs w:val="32"/>
          <w:lang w:val="en-US" w:eastAsia="zh-CN"/>
        </w:rPr>
        <w:t>附件1：报价表</w:t>
      </w:r>
      <w:bookmarkEnd w:id="9"/>
      <w:bookmarkEnd w:id="10"/>
    </w:p>
    <w:p w14:paraId="2D948309">
      <w:pPr>
        <w:pStyle w:val="29"/>
        <w:spacing w:line="240" w:lineRule="auto"/>
        <w:jc w:val="center"/>
        <w:rPr>
          <w:rFonts w:hint="default" w:ascii="Times New Roman" w:hAnsi="Times New Roman" w:eastAsia="仿宋" w:cs="Times New Roman"/>
          <w:b/>
          <w:bCs/>
          <w:color w:val="000000"/>
          <w:sz w:val="44"/>
          <w:szCs w:val="44"/>
          <w:highlight w:val="none"/>
          <w:u w:val="none"/>
          <w:lang w:val="en-US" w:eastAsia="zh-CN" w:bidi="ar"/>
        </w:rPr>
      </w:pPr>
      <w:r>
        <w:rPr>
          <w:rFonts w:hint="default" w:ascii="Times New Roman" w:hAnsi="Times New Roman" w:eastAsia="仿宋" w:cs="Times New Roman"/>
          <w:b/>
          <w:bCs/>
          <w:color w:val="000000"/>
          <w:sz w:val="44"/>
          <w:szCs w:val="44"/>
          <w:highlight w:val="none"/>
          <w:u w:val="none"/>
          <w:lang w:val="en-US" w:eastAsia="zh-CN" w:bidi="ar"/>
        </w:rPr>
        <w:t>报价表</w:t>
      </w:r>
    </w:p>
    <w:p w14:paraId="73F282D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000000"/>
          <w:kern w:val="0"/>
          <w:sz w:val="24"/>
          <w:u w:val="none"/>
          <w:lang w:val="en-US" w:eastAsia="zh-CN" w:bidi="ar"/>
        </w:rPr>
        <w:t>项目名称：</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学生宿舍家具采购项目</w:t>
      </w:r>
    </w:p>
    <w:tbl>
      <w:tblPr>
        <w:tblStyle w:val="20"/>
        <w:tblW w:w="51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
        <w:gridCol w:w="1214"/>
        <w:gridCol w:w="1268"/>
        <w:gridCol w:w="450"/>
        <w:gridCol w:w="436"/>
        <w:gridCol w:w="791"/>
        <w:gridCol w:w="1214"/>
        <w:gridCol w:w="1214"/>
        <w:gridCol w:w="1145"/>
        <w:gridCol w:w="1229"/>
      </w:tblGrid>
      <w:tr w14:paraId="689C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8A73">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eastAsia="zh-CN"/>
              </w:rPr>
            </w:pPr>
            <w:bookmarkStart w:id="11" w:name="OLE_LINK6" w:colFirst="0" w:colLast="5"/>
            <w:r>
              <w:rPr>
                <w:rFonts w:hint="default" w:ascii="Times New Roman" w:hAnsi="Times New Roman" w:eastAsia="仿宋_GB2312" w:cs="Times New Roman"/>
                <w:i w:val="0"/>
                <w:iCs w:val="0"/>
                <w:color w:val="000000"/>
                <w:sz w:val="24"/>
                <w:szCs w:val="24"/>
                <w:u w:val="none"/>
                <w:lang w:eastAsia="zh-CN"/>
              </w:rPr>
              <w:t>序号</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1979">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val="en-US" w:eastAsia="zh-CN"/>
              </w:rPr>
              <w:t>设备</w:t>
            </w:r>
            <w:r>
              <w:rPr>
                <w:rFonts w:hint="default" w:ascii="Times New Roman" w:hAnsi="Times New Roman" w:eastAsia="仿宋_GB2312" w:cs="Times New Roman"/>
                <w:i w:val="0"/>
                <w:iCs w:val="0"/>
                <w:color w:val="000000"/>
                <w:sz w:val="24"/>
                <w:szCs w:val="24"/>
                <w:u w:val="none"/>
                <w:lang w:eastAsia="zh-CN"/>
              </w:rPr>
              <w:t>名称</w:t>
            </w:r>
          </w:p>
        </w:tc>
        <w:tc>
          <w:tcPr>
            <w:tcW w:w="674" w:type="pct"/>
            <w:tcBorders>
              <w:top w:val="single" w:color="000000" w:sz="4" w:space="0"/>
              <w:left w:val="single" w:color="000000" w:sz="4" w:space="0"/>
              <w:bottom w:val="single" w:color="000000" w:sz="4" w:space="0"/>
              <w:right w:val="nil"/>
            </w:tcBorders>
            <w:shd w:val="clear" w:color="auto" w:fill="auto"/>
            <w:vAlign w:val="center"/>
          </w:tcPr>
          <w:p w14:paraId="297A5E4E">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功能清单</w:t>
            </w:r>
          </w:p>
        </w:tc>
        <w:tc>
          <w:tcPr>
            <w:tcW w:w="239" w:type="pct"/>
            <w:tcBorders>
              <w:top w:val="single" w:color="000000" w:sz="4" w:space="0"/>
              <w:left w:val="single" w:color="000000" w:sz="4" w:space="0"/>
              <w:bottom w:val="single" w:color="000000" w:sz="4" w:space="0"/>
              <w:right w:val="nil"/>
            </w:tcBorders>
            <w:shd w:val="clear" w:color="auto" w:fill="auto"/>
            <w:vAlign w:val="center"/>
          </w:tcPr>
          <w:p w14:paraId="04F22BE4">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数量</w:t>
            </w:r>
          </w:p>
          <w:p w14:paraId="7517510F">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color w:val="000000"/>
                <w:sz w:val="24"/>
                <w:szCs w:val="24"/>
              </w:rPr>
              <w:t>①</w:t>
            </w:r>
          </w:p>
        </w:tc>
        <w:tc>
          <w:tcPr>
            <w:tcW w:w="231" w:type="pct"/>
            <w:tcBorders>
              <w:top w:val="single" w:color="000000" w:sz="4" w:space="0"/>
              <w:left w:val="single" w:color="000000" w:sz="4" w:space="0"/>
              <w:bottom w:val="single" w:color="000000" w:sz="4" w:space="0"/>
              <w:right w:val="nil"/>
            </w:tcBorders>
            <w:shd w:val="clear" w:color="auto" w:fill="auto"/>
            <w:vAlign w:val="center"/>
          </w:tcPr>
          <w:p w14:paraId="1AEDC2D9">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单位</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6F77">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品牌</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7B36">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规格型号</w:t>
            </w: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56F4">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sz w:val="24"/>
                <w:szCs w:val="24"/>
                <w:u w:val="none"/>
                <w:lang w:val="en-US" w:eastAsia="zh-CN"/>
              </w:rPr>
              <w:t>生产厂家</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3512">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单价（</w:t>
            </w:r>
            <w:r>
              <w:rPr>
                <w:rFonts w:hint="default" w:ascii="Times New Roman" w:hAnsi="Times New Roman" w:eastAsia="仿宋_GB2312" w:cs="Times New Roman"/>
                <w:i w:val="0"/>
                <w:iCs w:val="0"/>
                <w:color w:val="000000"/>
                <w:sz w:val="24"/>
                <w:szCs w:val="24"/>
                <w:u w:val="none"/>
                <w:lang w:val="en-US" w:eastAsia="zh-CN"/>
              </w:rPr>
              <w:t>元</w:t>
            </w:r>
            <w:r>
              <w:rPr>
                <w:rFonts w:hint="default" w:ascii="Times New Roman" w:hAnsi="Times New Roman" w:eastAsia="仿宋_GB2312" w:cs="Times New Roman"/>
                <w:i w:val="0"/>
                <w:iCs w:val="0"/>
                <w:color w:val="000000"/>
                <w:sz w:val="24"/>
                <w:szCs w:val="24"/>
                <w:u w:val="none"/>
                <w:lang w:eastAsia="zh-CN"/>
              </w:rPr>
              <w:t>）</w:t>
            </w:r>
          </w:p>
          <w:p w14:paraId="41C3556A">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4"/>
                <w:szCs w:val="24"/>
              </w:rPr>
              <w:t>②</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34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right="0"/>
              <w:jc w:val="center"/>
              <w:textAlignment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val="en-US" w:eastAsia="zh-CN"/>
              </w:rPr>
              <w:t>小计</w:t>
            </w:r>
          </w:p>
          <w:p w14:paraId="206D5E08">
            <w:pPr>
              <w:pStyle w:val="19"/>
              <w:keepNext w:val="0"/>
              <w:keepLines w:val="0"/>
              <w:pageBreakBefore w:val="0"/>
              <w:suppressLineNumbers w:val="0"/>
              <w:kinsoku/>
              <w:wordWrap/>
              <w:overflowPunct/>
              <w:topLinePunct w:val="0"/>
              <w:autoSpaceDE/>
              <w:autoSpaceDN/>
              <w:bidi w:val="0"/>
              <w:adjustRightInd/>
              <w:snapToGrid w:val="0"/>
              <w:spacing w:before="0" w:beforeAutospacing="0" w:afterAutospacing="0" w:line="340" w:lineRule="exact"/>
              <w:ind w:left="0" w:right="0" w:firstLine="0" w:firstLineChars="0"/>
              <w:jc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i w:val="0"/>
                <w:iCs w:val="0"/>
                <w:color w:val="000000"/>
                <w:sz w:val="24"/>
                <w:szCs w:val="24"/>
                <w:u w:val="none"/>
                <w:lang w:eastAsia="zh-CN"/>
              </w:rPr>
              <w:t>（</w:t>
            </w:r>
            <w:r>
              <w:rPr>
                <w:rFonts w:hint="default" w:ascii="Times New Roman" w:hAnsi="Times New Roman" w:eastAsia="仿宋_GB2312" w:cs="Times New Roman"/>
                <w:i w:val="0"/>
                <w:iCs w:val="0"/>
                <w:color w:val="000000"/>
                <w:sz w:val="24"/>
                <w:szCs w:val="24"/>
                <w:u w:val="none"/>
                <w:lang w:val="en-US" w:eastAsia="zh-CN"/>
              </w:rPr>
              <w:t>元</w:t>
            </w:r>
            <w:r>
              <w:rPr>
                <w:rFonts w:hint="default" w:ascii="Times New Roman" w:hAnsi="Times New Roman" w:eastAsia="仿宋_GB2312" w:cs="Times New Roman"/>
                <w:i w:val="0"/>
                <w:iCs w:val="0"/>
                <w:color w:val="000000"/>
                <w:sz w:val="24"/>
                <w:szCs w:val="24"/>
                <w:u w:val="none"/>
                <w:lang w:eastAsia="zh-CN"/>
              </w:rPr>
              <w:t>）</w:t>
            </w:r>
          </w:p>
          <w:p w14:paraId="24EED12E">
            <w:pPr>
              <w:pStyle w:val="19"/>
              <w:keepNext w:val="0"/>
              <w:keepLines w:val="0"/>
              <w:pageBreakBefore w:val="0"/>
              <w:suppressLineNumbers w:val="0"/>
              <w:kinsoku/>
              <w:wordWrap/>
              <w:overflowPunct/>
              <w:topLinePunct w:val="0"/>
              <w:autoSpaceDE/>
              <w:autoSpaceDN/>
              <w:bidi w:val="0"/>
              <w:adjustRightInd/>
              <w:snapToGrid w:val="0"/>
              <w:spacing w:before="0" w:beforeAutospacing="0" w:afterAutospacing="0" w:line="340" w:lineRule="exact"/>
              <w:ind w:left="0" w:right="0" w:firstLine="0" w:firstLineChars="0"/>
              <w:jc w:val="center"/>
              <w:rPr>
                <w:rFonts w:hint="default" w:ascii="Times New Roman" w:hAnsi="Times New Roman" w:eastAsia="仿宋_GB2312" w:cs="Times New Roman"/>
                <w:i w:val="0"/>
                <w:iCs w:val="0"/>
                <w:color w:val="000000"/>
                <w:sz w:val="24"/>
                <w:szCs w:val="24"/>
                <w:u w:val="none"/>
                <w:lang w:eastAsia="zh-CN"/>
              </w:rPr>
            </w:pPr>
            <w:r>
              <w:rPr>
                <w:rFonts w:hint="default" w:ascii="Times New Roman" w:hAnsi="Times New Roman" w:eastAsia="仿宋_GB2312" w:cs="Times New Roman"/>
                <w:color w:val="000000"/>
                <w:sz w:val="24"/>
                <w:szCs w:val="24"/>
              </w:rPr>
              <w:t>③=①×②</w:t>
            </w:r>
          </w:p>
        </w:tc>
      </w:tr>
      <w:tr w14:paraId="2D25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6F53">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1</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F6A4">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74" w:type="pct"/>
            <w:tcBorders>
              <w:top w:val="single" w:color="000000" w:sz="4" w:space="0"/>
              <w:left w:val="single" w:color="000000" w:sz="4" w:space="0"/>
              <w:bottom w:val="single" w:color="000000" w:sz="4" w:space="0"/>
              <w:right w:val="nil"/>
            </w:tcBorders>
            <w:shd w:val="clear" w:color="auto" w:fill="auto"/>
            <w:vAlign w:val="center"/>
          </w:tcPr>
          <w:p w14:paraId="5995D403">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239" w:type="pct"/>
            <w:tcBorders>
              <w:top w:val="single" w:color="000000" w:sz="4" w:space="0"/>
              <w:left w:val="single" w:color="000000" w:sz="4" w:space="0"/>
              <w:bottom w:val="single" w:color="000000" w:sz="4" w:space="0"/>
              <w:right w:val="nil"/>
            </w:tcBorders>
            <w:shd w:val="clear" w:color="auto" w:fill="auto"/>
            <w:vAlign w:val="center"/>
          </w:tcPr>
          <w:p w14:paraId="68EF33C8">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231" w:type="pct"/>
            <w:tcBorders>
              <w:top w:val="single" w:color="000000" w:sz="4" w:space="0"/>
              <w:left w:val="single" w:color="000000" w:sz="4" w:space="0"/>
              <w:bottom w:val="single" w:color="000000" w:sz="4" w:space="0"/>
              <w:right w:val="nil"/>
            </w:tcBorders>
            <w:shd w:val="clear" w:color="auto" w:fill="auto"/>
            <w:vAlign w:val="center"/>
          </w:tcPr>
          <w:p w14:paraId="68555FA5">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7690">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FA7C">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63F7">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6D96">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CBDD">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r>
      <w:tr w14:paraId="1C570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D06AC">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2</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0343">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74" w:type="pct"/>
            <w:tcBorders>
              <w:top w:val="single" w:color="000000" w:sz="4" w:space="0"/>
              <w:left w:val="single" w:color="000000" w:sz="4" w:space="0"/>
              <w:bottom w:val="single" w:color="000000" w:sz="4" w:space="0"/>
              <w:right w:val="nil"/>
            </w:tcBorders>
            <w:shd w:val="clear" w:color="auto" w:fill="auto"/>
            <w:vAlign w:val="center"/>
          </w:tcPr>
          <w:p w14:paraId="65AF63C9">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239" w:type="pct"/>
            <w:tcBorders>
              <w:top w:val="single" w:color="000000" w:sz="4" w:space="0"/>
              <w:left w:val="single" w:color="000000" w:sz="4" w:space="0"/>
              <w:bottom w:val="single" w:color="000000" w:sz="4" w:space="0"/>
              <w:right w:val="nil"/>
            </w:tcBorders>
            <w:shd w:val="clear" w:color="auto" w:fill="auto"/>
            <w:vAlign w:val="center"/>
          </w:tcPr>
          <w:p w14:paraId="759183F9">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231" w:type="pct"/>
            <w:tcBorders>
              <w:top w:val="single" w:color="000000" w:sz="4" w:space="0"/>
              <w:left w:val="single" w:color="000000" w:sz="4" w:space="0"/>
              <w:bottom w:val="single" w:color="000000" w:sz="4" w:space="0"/>
              <w:right w:val="nil"/>
            </w:tcBorders>
            <w:shd w:val="clear" w:color="auto" w:fill="auto"/>
            <w:vAlign w:val="center"/>
          </w:tcPr>
          <w:p w14:paraId="614F8CAE">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11C6">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20C2">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D86E">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8B7A">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78FF">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r>
      <w:tr w14:paraId="564D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A0F1">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3</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E681">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74" w:type="pct"/>
            <w:tcBorders>
              <w:top w:val="single" w:color="000000" w:sz="4" w:space="0"/>
              <w:left w:val="single" w:color="000000" w:sz="4" w:space="0"/>
              <w:bottom w:val="single" w:color="000000" w:sz="4" w:space="0"/>
              <w:right w:val="nil"/>
            </w:tcBorders>
            <w:shd w:val="clear" w:color="auto" w:fill="auto"/>
            <w:vAlign w:val="center"/>
          </w:tcPr>
          <w:p w14:paraId="2391258C">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239" w:type="pct"/>
            <w:tcBorders>
              <w:top w:val="single" w:color="000000" w:sz="4" w:space="0"/>
              <w:left w:val="single" w:color="000000" w:sz="4" w:space="0"/>
              <w:bottom w:val="single" w:color="000000" w:sz="4" w:space="0"/>
              <w:right w:val="nil"/>
            </w:tcBorders>
            <w:shd w:val="clear" w:color="auto" w:fill="auto"/>
            <w:vAlign w:val="center"/>
          </w:tcPr>
          <w:p w14:paraId="4FB8463D">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231" w:type="pct"/>
            <w:tcBorders>
              <w:top w:val="single" w:color="000000" w:sz="4" w:space="0"/>
              <w:left w:val="single" w:color="000000" w:sz="4" w:space="0"/>
              <w:bottom w:val="single" w:color="000000" w:sz="4" w:space="0"/>
              <w:right w:val="nil"/>
            </w:tcBorders>
            <w:shd w:val="clear" w:color="auto" w:fill="auto"/>
            <w:vAlign w:val="center"/>
          </w:tcPr>
          <w:p w14:paraId="70C4334E">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F1B3">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FDFC">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22D0">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AA89">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7A22">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r>
      <w:tr w14:paraId="010E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0556">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eastAsia" w:ascii="Times New Roman" w:hAnsi="Times New Roman" w:eastAsia="仿宋_GB2312" w:cs="Times New Roman"/>
                <w:i w:val="0"/>
                <w:iCs w:val="0"/>
                <w:color w:val="000000"/>
                <w:sz w:val="24"/>
                <w:szCs w:val="24"/>
                <w:u w:val="none"/>
                <w:lang w:val="en-US" w:eastAsia="zh-CN"/>
              </w:rPr>
              <w:t>...</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E078">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74" w:type="pct"/>
            <w:tcBorders>
              <w:top w:val="single" w:color="000000" w:sz="4" w:space="0"/>
              <w:left w:val="single" w:color="000000" w:sz="4" w:space="0"/>
              <w:bottom w:val="single" w:color="000000" w:sz="4" w:space="0"/>
              <w:right w:val="nil"/>
            </w:tcBorders>
            <w:shd w:val="clear" w:color="auto" w:fill="auto"/>
            <w:vAlign w:val="center"/>
          </w:tcPr>
          <w:p w14:paraId="7270A055">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239" w:type="pct"/>
            <w:tcBorders>
              <w:top w:val="single" w:color="000000" w:sz="4" w:space="0"/>
              <w:left w:val="single" w:color="000000" w:sz="4" w:space="0"/>
              <w:bottom w:val="single" w:color="000000" w:sz="4" w:space="0"/>
              <w:right w:val="nil"/>
            </w:tcBorders>
            <w:shd w:val="clear" w:color="auto" w:fill="auto"/>
            <w:vAlign w:val="center"/>
          </w:tcPr>
          <w:p w14:paraId="4A9DD29A">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231" w:type="pct"/>
            <w:tcBorders>
              <w:top w:val="single" w:color="000000" w:sz="4" w:space="0"/>
              <w:left w:val="single" w:color="000000" w:sz="4" w:space="0"/>
              <w:bottom w:val="single" w:color="000000" w:sz="4" w:space="0"/>
              <w:right w:val="nil"/>
            </w:tcBorders>
            <w:shd w:val="clear" w:color="auto" w:fill="auto"/>
            <w:vAlign w:val="center"/>
          </w:tcPr>
          <w:p w14:paraId="55B43DB2">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lang w:val="en-US" w:eastAsia="zh-CN"/>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D0BF">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D416">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16E5">
            <w:pPr>
              <w:keepNext w:val="0"/>
              <w:keepLines w:val="0"/>
              <w:widowControl/>
              <w:suppressLineNumbers w:val="0"/>
              <w:snapToGrid w:val="0"/>
              <w:spacing w:before="0" w:beforeAutospacing="0" w:after="0" w:afterAutospacing="0"/>
              <w:ind w:left="0" w:leftChars="0" w:right="0" w:rightChars="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F8E6">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AFCA">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4"/>
                <w:szCs w:val="24"/>
                <w:u w:val="none"/>
              </w:rPr>
            </w:pPr>
          </w:p>
        </w:tc>
      </w:tr>
      <w:tr w14:paraId="760F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96DA3B">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质量保修期：</w:t>
            </w:r>
            <w:r>
              <w:rPr>
                <w:rFonts w:hint="eastAsia" w:ascii="Times New Roman" w:hAnsi="Times New Roman" w:eastAsia="仿宋_GB2312" w:cs="Times New Roman"/>
                <w:sz w:val="24"/>
                <w:szCs w:val="24"/>
                <w:u w:val="single"/>
                <w:lang w:val="en-US" w:eastAsia="zh-CN"/>
              </w:rPr>
              <w:t xml:space="preserve">     </w:t>
            </w:r>
            <w:r>
              <w:rPr>
                <w:rFonts w:hint="eastAsia" w:ascii="Times New Roman" w:hAnsi="Times New Roman" w:eastAsia="仿宋_GB2312" w:cs="Times New Roman"/>
                <w:sz w:val="24"/>
                <w:szCs w:val="24"/>
                <w:u w:val="none"/>
                <w:lang w:val="en-US" w:eastAsia="zh-CN"/>
              </w:rPr>
              <w:t>年</w:t>
            </w:r>
          </w:p>
        </w:tc>
      </w:tr>
      <w:tr w14:paraId="4D08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10EE48">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合计金额：大写                                小写¥</w:t>
            </w:r>
          </w:p>
        </w:tc>
      </w:tr>
      <w:tr w14:paraId="3315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CB1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jc w:val="left"/>
              <w:textAlignment w:val="auto"/>
              <w:rPr>
                <w:rFonts w:hint="default" w:ascii="Times New Roman" w:hAnsi="Times New Roman" w:eastAsia="仿宋_GB2312" w:cs="Times New Roman"/>
                <w:color w:val="000000"/>
                <w:kern w:val="0"/>
                <w:sz w:val="24"/>
                <w:szCs w:val="24"/>
                <w:highlight w:val="none"/>
                <w:u w:val="none"/>
                <w:lang w:val="en-US" w:eastAsia="zh-CN" w:bidi="ar"/>
              </w:rPr>
            </w:pPr>
            <w:r>
              <w:rPr>
                <w:rFonts w:hint="default" w:ascii="Times New Roman" w:hAnsi="Times New Roman" w:eastAsia="仿宋_GB2312" w:cs="Times New Roman"/>
                <w:color w:val="000000"/>
                <w:kern w:val="0"/>
                <w:sz w:val="24"/>
                <w:szCs w:val="24"/>
                <w:highlight w:val="none"/>
                <w:u w:val="none"/>
                <w:lang w:val="en-US" w:eastAsia="zh-CN" w:bidi="ar"/>
              </w:rPr>
              <w:t>报价要求：</w:t>
            </w:r>
          </w:p>
          <w:p w14:paraId="71F26C3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firstLine="482" w:firstLineChars="200"/>
              <w:jc w:val="left"/>
              <w:textAlignment w:val="auto"/>
              <w:rPr>
                <w:rFonts w:hint="default" w:ascii="Times New Roman" w:hAnsi="Times New Roman" w:eastAsia="仿宋_GB2312" w:cs="Times New Roman"/>
                <w:b/>
                <w:bCs/>
                <w:color w:val="000000"/>
                <w:kern w:val="0"/>
                <w:sz w:val="24"/>
                <w:szCs w:val="24"/>
                <w:highlight w:val="none"/>
                <w:u w:val="none"/>
                <w:lang w:bidi="ar"/>
              </w:rPr>
            </w:pPr>
            <w:r>
              <w:rPr>
                <w:rFonts w:hint="default" w:ascii="Times New Roman" w:hAnsi="Times New Roman" w:eastAsia="仿宋_GB2312" w:cs="Times New Roman"/>
                <w:b/>
                <w:bCs/>
                <w:color w:val="000000"/>
                <w:kern w:val="0"/>
                <w:sz w:val="24"/>
                <w:szCs w:val="24"/>
                <w:highlight w:val="none"/>
                <w:u w:val="none"/>
                <w:lang w:bidi="ar"/>
              </w:rPr>
              <w:t>1、供应商须提供详细的报价清单，包括功能清单、数量、单价、总价</w:t>
            </w:r>
            <w:r>
              <w:rPr>
                <w:rFonts w:hint="eastAsia" w:ascii="Times New Roman" w:hAnsi="Times New Roman" w:eastAsia="仿宋_GB2312" w:cs="Times New Roman"/>
                <w:b/>
                <w:bCs/>
                <w:color w:val="000000"/>
                <w:kern w:val="0"/>
                <w:sz w:val="24"/>
                <w:szCs w:val="24"/>
                <w:highlight w:val="none"/>
                <w:u w:val="none"/>
                <w:lang w:val="en-US" w:eastAsia="zh-CN" w:bidi="ar"/>
              </w:rPr>
              <w:t>等</w:t>
            </w:r>
            <w:r>
              <w:rPr>
                <w:rFonts w:hint="eastAsia" w:ascii="Times New Roman" w:hAnsi="Times New Roman" w:eastAsia="仿宋_GB2312" w:cs="Times New Roman"/>
                <w:b/>
                <w:bCs/>
                <w:color w:val="000000"/>
                <w:kern w:val="0"/>
                <w:sz w:val="24"/>
                <w:szCs w:val="24"/>
                <w:highlight w:val="none"/>
                <w:u w:val="none"/>
                <w:lang w:eastAsia="zh-CN" w:bidi="ar"/>
              </w:rPr>
              <w:t>。</w:t>
            </w:r>
            <w:r>
              <w:rPr>
                <w:rFonts w:hint="default" w:ascii="Times New Roman" w:hAnsi="Times New Roman" w:eastAsia="仿宋_GB2312" w:cs="Times New Roman"/>
                <w:b/>
                <w:bCs/>
                <w:i w:val="0"/>
                <w:iCs w:val="0"/>
                <w:color w:val="000000"/>
                <w:kern w:val="0"/>
                <w:sz w:val="24"/>
                <w:szCs w:val="24"/>
                <w:u w:val="none"/>
                <w:lang w:val="en-US" w:eastAsia="zh-CN" w:bidi="ar"/>
              </w:rPr>
              <w:t>报价应包含</w:t>
            </w:r>
            <w:r>
              <w:rPr>
                <w:rFonts w:hint="eastAsia" w:ascii="Times New Roman" w:hAnsi="Times New Roman" w:eastAsia="仿宋_GB2312" w:cs="Times New Roman"/>
                <w:b/>
                <w:bCs/>
                <w:i w:val="0"/>
                <w:iCs w:val="0"/>
                <w:color w:val="000000"/>
                <w:kern w:val="0"/>
                <w:sz w:val="24"/>
                <w:szCs w:val="24"/>
                <w:u w:val="none"/>
                <w:lang w:val="en-US" w:eastAsia="zh-CN" w:bidi="ar"/>
              </w:rPr>
              <w:t>货款、</w:t>
            </w:r>
            <w:r>
              <w:rPr>
                <w:rFonts w:hint="eastAsia" w:ascii="Times New Roman" w:hAnsi="Times New Roman" w:eastAsia="仿宋_GB2312" w:cs="Times New Roman"/>
                <w:b/>
                <w:bCs/>
                <w:color w:val="000000"/>
                <w:kern w:val="0"/>
                <w:sz w:val="24"/>
                <w:u w:val="none"/>
                <w:lang w:bidi="ar"/>
              </w:rPr>
              <w:t>配件、</w:t>
            </w:r>
            <w:r>
              <w:rPr>
                <w:rFonts w:hint="default" w:ascii="Times New Roman" w:hAnsi="Times New Roman" w:eastAsia="仿宋_GB2312" w:cs="Times New Roman"/>
                <w:b/>
                <w:bCs/>
                <w:i w:val="0"/>
                <w:iCs w:val="0"/>
                <w:color w:val="000000"/>
                <w:kern w:val="0"/>
                <w:sz w:val="24"/>
                <w:szCs w:val="24"/>
                <w:u w:val="none"/>
                <w:lang w:val="en-US" w:eastAsia="zh-CN" w:bidi="ar"/>
              </w:rPr>
              <w:t>税费、安装调试</w:t>
            </w:r>
            <w:r>
              <w:rPr>
                <w:rFonts w:hint="eastAsia" w:ascii="Times New Roman" w:hAnsi="Times New Roman" w:eastAsia="仿宋_GB2312" w:cs="Times New Roman"/>
                <w:b/>
                <w:bCs/>
                <w:i w:val="0"/>
                <w:iCs w:val="0"/>
                <w:color w:val="000000"/>
                <w:kern w:val="0"/>
                <w:sz w:val="24"/>
                <w:szCs w:val="24"/>
                <w:u w:val="none"/>
                <w:lang w:val="en-US" w:eastAsia="zh-CN" w:bidi="ar"/>
              </w:rPr>
              <w:t>、</w:t>
            </w:r>
            <w:r>
              <w:rPr>
                <w:rFonts w:hint="eastAsia" w:ascii="Times New Roman" w:hAnsi="Times New Roman" w:eastAsia="仿宋_GB2312" w:cs="Times New Roman"/>
                <w:b/>
                <w:bCs/>
                <w:color w:val="000000"/>
                <w:kern w:val="0"/>
                <w:sz w:val="24"/>
                <w:u w:val="none"/>
                <w:lang w:bidi="ar"/>
              </w:rPr>
              <w:t>包装、运输、装卸</w:t>
            </w:r>
            <w:r>
              <w:rPr>
                <w:rFonts w:hint="eastAsia" w:ascii="Times New Roman" w:hAnsi="Times New Roman" w:eastAsia="仿宋_GB2312" w:cs="Times New Roman"/>
                <w:b/>
                <w:bCs/>
                <w:i w:val="0"/>
                <w:iCs w:val="0"/>
                <w:color w:val="000000"/>
                <w:kern w:val="0"/>
                <w:sz w:val="24"/>
                <w:szCs w:val="24"/>
                <w:u w:val="none"/>
                <w:lang w:val="en-US" w:eastAsia="zh-CN" w:bidi="ar"/>
              </w:rPr>
              <w:t>、保险、</w:t>
            </w:r>
            <w:r>
              <w:rPr>
                <w:rFonts w:hint="eastAsia" w:ascii="Times New Roman" w:hAnsi="Times New Roman" w:eastAsia="仿宋_GB2312" w:cs="Times New Roman"/>
                <w:b/>
                <w:bCs/>
                <w:color w:val="000000"/>
                <w:kern w:val="0"/>
                <w:sz w:val="24"/>
                <w:u w:val="none"/>
                <w:lang w:bidi="ar"/>
              </w:rPr>
              <w:t>保修、售后服务</w:t>
            </w:r>
            <w:r>
              <w:rPr>
                <w:rFonts w:hint="eastAsia" w:ascii="Times New Roman" w:hAnsi="Times New Roman" w:eastAsia="仿宋_GB2312" w:cs="Times New Roman"/>
                <w:b/>
                <w:bCs/>
                <w:color w:val="000000"/>
                <w:kern w:val="0"/>
                <w:sz w:val="24"/>
                <w:u w:val="none"/>
                <w:lang w:val="en-US" w:eastAsia="zh-CN" w:bidi="ar"/>
              </w:rPr>
              <w:t>、</w:t>
            </w:r>
            <w:r>
              <w:rPr>
                <w:rFonts w:hint="eastAsia" w:ascii="Times New Roman" w:hAnsi="Times New Roman" w:eastAsia="仿宋_GB2312" w:cs="Times New Roman"/>
                <w:b/>
                <w:bCs/>
                <w:color w:val="000000"/>
                <w:kern w:val="0"/>
                <w:sz w:val="24"/>
                <w:u w:val="none"/>
                <w:lang w:bidi="ar"/>
              </w:rPr>
              <w:t>项目整体验收</w:t>
            </w:r>
            <w:r>
              <w:rPr>
                <w:rFonts w:hint="default" w:ascii="Times New Roman" w:hAnsi="Times New Roman" w:eastAsia="仿宋_GB2312" w:cs="Times New Roman"/>
                <w:b/>
                <w:bCs/>
                <w:i w:val="0"/>
                <w:iCs w:val="0"/>
                <w:color w:val="000000"/>
                <w:kern w:val="0"/>
                <w:sz w:val="24"/>
                <w:szCs w:val="24"/>
                <w:u w:val="none"/>
                <w:lang w:val="en-US" w:eastAsia="zh-CN" w:bidi="ar"/>
              </w:rPr>
              <w:t>等所有相关费用</w:t>
            </w:r>
            <w:r>
              <w:rPr>
                <w:rFonts w:hint="default" w:ascii="Times New Roman" w:hAnsi="Times New Roman" w:eastAsia="仿宋_GB2312" w:cs="Times New Roman"/>
                <w:b/>
                <w:bCs/>
                <w:color w:val="000000"/>
                <w:kern w:val="0"/>
                <w:sz w:val="24"/>
                <w:szCs w:val="24"/>
                <w:highlight w:val="none"/>
                <w:u w:val="none"/>
                <w:lang w:bidi="ar"/>
              </w:rPr>
              <w:t>。</w:t>
            </w:r>
          </w:p>
          <w:p w14:paraId="2171594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firstLine="480" w:firstLineChars="200"/>
              <w:jc w:val="left"/>
              <w:textAlignment w:val="auto"/>
              <w:rPr>
                <w:rFonts w:hint="default" w:ascii="Times New Roman" w:hAnsi="Times New Roman" w:eastAsia="仿宋_GB2312" w:cs="Times New Roman"/>
                <w:color w:val="000000"/>
                <w:kern w:val="0"/>
                <w:sz w:val="24"/>
                <w:szCs w:val="24"/>
                <w:highlight w:val="none"/>
                <w:u w:val="none"/>
                <w:lang w:bidi="ar"/>
              </w:rPr>
            </w:pPr>
            <w:r>
              <w:rPr>
                <w:rFonts w:hint="eastAsia" w:ascii="Times New Roman" w:hAnsi="Times New Roman" w:eastAsia="仿宋_GB2312" w:cs="Times New Roman"/>
                <w:color w:val="000000"/>
                <w:kern w:val="0"/>
                <w:sz w:val="24"/>
                <w:szCs w:val="24"/>
                <w:highlight w:val="none"/>
                <w:u w:val="none"/>
                <w:lang w:val="en-US" w:eastAsia="zh-CN" w:bidi="ar"/>
              </w:rPr>
              <w:t>2</w:t>
            </w:r>
            <w:r>
              <w:rPr>
                <w:rFonts w:hint="default" w:ascii="Times New Roman" w:hAnsi="Times New Roman" w:eastAsia="仿宋_GB2312" w:cs="Times New Roman"/>
                <w:color w:val="000000"/>
                <w:kern w:val="0"/>
                <w:sz w:val="24"/>
                <w:szCs w:val="24"/>
                <w:highlight w:val="none"/>
                <w:u w:val="none"/>
                <w:lang w:val="en-US" w:eastAsia="zh-CN" w:bidi="ar"/>
              </w:rPr>
              <w:t>、</w:t>
            </w:r>
            <w:r>
              <w:rPr>
                <w:rFonts w:hint="default" w:ascii="Times New Roman" w:hAnsi="Times New Roman" w:eastAsia="仿宋_GB2312" w:cs="Times New Roman"/>
                <w:color w:val="000000"/>
                <w:kern w:val="0"/>
                <w:sz w:val="24"/>
                <w:szCs w:val="24"/>
                <w:highlight w:val="none"/>
                <w:u w:val="none"/>
                <w:lang w:bidi="ar"/>
              </w:rPr>
              <w:t>报价不得超过本项目的</w:t>
            </w:r>
            <w:r>
              <w:rPr>
                <w:rFonts w:hint="default" w:ascii="Times New Roman" w:hAnsi="Times New Roman" w:eastAsia="仿宋_GB2312" w:cs="Times New Roman"/>
                <w:color w:val="000000"/>
                <w:kern w:val="0"/>
                <w:sz w:val="24"/>
                <w:szCs w:val="24"/>
                <w:highlight w:val="none"/>
                <w:u w:val="none"/>
                <w:lang w:val="en-US" w:eastAsia="zh-CN" w:bidi="ar"/>
              </w:rPr>
              <w:t>最高限价</w:t>
            </w:r>
            <w:r>
              <w:rPr>
                <w:rFonts w:hint="default" w:ascii="Times New Roman" w:hAnsi="Times New Roman" w:eastAsia="仿宋_GB2312" w:cs="Times New Roman"/>
                <w:color w:val="000000"/>
                <w:kern w:val="0"/>
                <w:sz w:val="24"/>
                <w:szCs w:val="24"/>
                <w:highlight w:val="none"/>
                <w:u w:val="none"/>
                <w:lang w:bidi="ar"/>
              </w:rPr>
              <w:t>，否则，报价视为无效</w:t>
            </w:r>
            <w:r>
              <w:rPr>
                <w:rFonts w:hint="default" w:ascii="Times New Roman" w:hAnsi="Times New Roman" w:eastAsia="仿宋_GB2312" w:cs="Times New Roman"/>
                <w:color w:val="000000"/>
                <w:kern w:val="0"/>
                <w:sz w:val="24"/>
                <w:szCs w:val="24"/>
                <w:highlight w:val="none"/>
                <w:u w:val="none"/>
                <w:lang w:val="en-US" w:eastAsia="zh-CN" w:bidi="ar"/>
              </w:rPr>
              <w:t>响应</w:t>
            </w:r>
            <w:r>
              <w:rPr>
                <w:rFonts w:hint="default" w:ascii="Times New Roman" w:hAnsi="Times New Roman" w:eastAsia="仿宋_GB2312" w:cs="Times New Roman"/>
                <w:color w:val="000000"/>
                <w:kern w:val="0"/>
                <w:sz w:val="24"/>
                <w:szCs w:val="24"/>
                <w:highlight w:val="none"/>
                <w:u w:val="none"/>
                <w:lang w:bidi="ar"/>
              </w:rPr>
              <w:t>处理。</w:t>
            </w:r>
          </w:p>
          <w:p w14:paraId="7EAF4E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firstLine="480" w:firstLineChars="200"/>
              <w:jc w:val="left"/>
              <w:textAlignment w:val="auto"/>
              <w:rPr>
                <w:rFonts w:hint="default" w:ascii="Times New Roman" w:hAnsi="Times New Roman" w:eastAsia="仿宋_GB2312" w:cs="Times New Roman"/>
                <w:color w:val="000000"/>
                <w:kern w:val="0"/>
                <w:sz w:val="24"/>
                <w:szCs w:val="24"/>
                <w:highlight w:val="none"/>
                <w:u w:val="none"/>
                <w:lang w:val="en-US" w:eastAsia="zh-CN" w:bidi="ar"/>
              </w:rPr>
            </w:pPr>
            <w:r>
              <w:rPr>
                <w:rFonts w:hint="eastAsia" w:ascii="Times New Roman" w:hAnsi="Times New Roman" w:eastAsia="仿宋_GB2312" w:cs="Times New Roman"/>
                <w:color w:val="000000"/>
                <w:kern w:val="0"/>
                <w:sz w:val="24"/>
                <w:szCs w:val="24"/>
                <w:highlight w:val="none"/>
                <w:u w:val="none"/>
                <w:lang w:val="en-US" w:eastAsia="zh-CN" w:bidi="ar"/>
              </w:rPr>
              <w:t>3</w:t>
            </w:r>
            <w:r>
              <w:rPr>
                <w:rFonts w:hint="default" w:ascii="Times New Roman" w:hAnsi="Times New Roman" w:eastAsia="仿宋_GB2312" w:cs="Times New Roman"/>
                <w:color w:val="000000"/>
                <w:kern w:val="0"/>
                <w:sz w:val="24"/>
                <w:szCs w:val="24"/>
                <w:highlight w:val="none"/>
                <w:u w:val="none"/>
                <w:lang w:val="en-US" w:eastAsia="zh-CN" w:bidi="ar"/>
              </w:rPr>
              <w:t>、所有价格均用人民币表示，单位为元，保留两位小数。</w:t>
            </w:r>
          </w:p>
        </w:tc>
      </w:tr>
      <w:tr w14:paraId="3DD5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3259">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联系人及联系电话：</w:t>
            </w:r>
          </w:p>
        </w:tc>
      </w:tr>
      <w:tr w14:paraId="1627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9D79">
            <w:pPr>
              <w:keepNext w:val="0"/>
              <w:keepLines w:val="0"/>
              <w:widowControl/>
              <w:suppressLineNumbers w:val="0"/>
              <w:snapToGrid w:val="0"/>
              <w:spacing w:before="0" w:beforeAutospacing="0" w:after="0" w:afterAutospacing="0"/>
              <w:ind w:left="0" w:right="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供应商名称（盖章）：</w:t>
            </w:r>
          </w:p>
        </w:tc>
      </w:tr>
      <w:tr w14:paraId="1431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E61E">
            <w:pPr>
              <w:keepNext w:val="0"/>
              <w:keepLines w:val="0"/>
              <w:widowControl/>
              <w:suppressLineNumbers w:val="0"/>
              <w:snapToGrid w:val="0"/>
              <w:spacing w:before="0" w:beforeAutospacing="0" w:after="0" w:afterAutospacing="0"/>
              <w:ind w:left="0" w:right="0"/>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日期：       年    月   日</w:t>
            </w:r>
          </w:p>
        </w:tc>
      </w:tr>
      <w:bookmarkEnd w:id="11"/>
    </w:tbl>
    <w:p w14:paraId="64304317">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1"/>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bookmarkStart w:id="12" w:name="_Toc14021"/>
      <w:bookmarkStart w:id="13" w:name="_Toc9748"/>
      <w:r>
        <w:rPr>
          <w:rFonts w:hint="default" w:ascii="Times New Roman" w:hAnsi="Times New Roman" w:eastAsia="仿宋_GB2312" w:cs="Times New Roman"/>
          <w:sz w:val="32"/>
          <w:szCs w:val="32"/>
          <w:lang w:val="en-US" w:eastAsia="zh-CN"/>
        </w:rPr>
        <w:t>附件2：采购需求响应偏离表</w:t>
      </w:r>
      <w:bookmarkEnd w:id="12"/>
      <w:bookmarkEnd w:id="13"/>
    </w:p>
    <w:p w14:paraId="4A21DCE8">
      <w:pPr>
        <w:spacing w:line="240" w:lineRule="auto"/>
        <w:jc w:val="cente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color w:val="auto"/>
          <w:sz w:val="30"/>
          <w:szCs w:val="30"/>
          <w:highlight w:val="none"/>
          <w:lang w:val="en-US" w:eastAsia="zh-CN"/>
        </w:rPr>
        <w:t>一</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、技术要求偏离表（格式）</w:t>
      </w:r>
    </w:p>
    <w:p w14:paraId="3535C53E">
      <w:pPr>
        <w:spacing w:line="240" w:lineRule="auto"/>
        <w:jc w:val="cente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（注：按采购需求具体条款修改）</w:t>
      </w:r>
    </w:p>
    <w:p w14:paraId="74E6AD93">
      <w:pPr>
        <w:spacing w:line="360" w:lineRule="auto"/>
        <w:rPr>
          <w:rFonts w:hint="default" w:ascii="Times New Roman" w:hAnsi="Times New Roman" w:eastAsia="仿宋_GB2312" w:cs="Times New Roman"/>
          <w:color w:val="auto"/>
          <w:szCs w:val="21"/>
          <w:highlight w:val="none"/>
        </w:rPr>
      </w:pPr>
    </w:p>
    <w:p w14:paraId="01EBB54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auto"/>
          <w:sz w:val="24"/>
          <w:szCs w:val="24"/>
          <w:highlight w:val="none"/>
        </w:rPr>
        <w:t>项目名称：</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学生宿舍家具采购项目</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153"/>
        <w:gridCol w:w="3150"/>
        <w:gridCol w:w="1774"/>
      </w:tblGrid>
      <w:tr w14:paraId="1CD8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984560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项号</w:t>
            </w:r>
          </w:p>
        </w:tc>
        <w:tc>
          <w:tcPr>
            <w:tcW w:w="3153" w:type="dxa"/>
            <w:tcBorders>
              <w:top w:val="single" w:color="auto" w:sz="4" w:space="0"/>
              <w:left w:val="single" w:color="auto" w:sz="4" w:space="0"/>
              <w:right w:val="single" w:color="auto" w:sz="4" w:space="0"/>
            </w:tcBorders>
            <w:noWrap w:val="0"/>
            <w:vAlign w:val="center"/>
          </w:tcPr>
          <w:p w14:paraId="07E3F7A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本项目技术要</w:t>
            </w:r>
            <w:r>
              <w:rPr>
                <w:rFonts w:hint="default" w:ascii="Times New Roman" w:hAnsi="Times New Roman" w:eastAsia="仿宋_GB2312" w:cs="Times New Roman"/>
                <w:color w:val="auto"/>
                <w:sz w:val="24"/>
                <w:szCs w:val="24"/>
                <w:highlight w:val="none"/>
              </w:rPr>
              <w:t>求</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4A1CFDBE">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响应文件承诺</w:t>
            </w:r>
            <w:r>
              <w:rPr>
                <w:rFonts w:hint="default" w:ascii="Times New Roman" w:hAnsi="Times New Roman" w:eastAsia="仿宋_GB2312" w:cs="Times New Roman"/>
                <w:color w:val="auto"/>
                <w:sz w:val="24"/>
                <w:szCs w:val="24"/>
                <w:highlight w:val="none"/>
                <w:lang w:val="en-US" w:eastAsia="zh-CN"/>
              </w:rPr>
              <w:t>的技术</w:t>
            </w:r>
            <w:r>
              <w:rPr>
                <w:rFonts w:hint="eastAsia" w:ascii="Times New Roman" w:hAnsi="Times New Roman" w:eastAsia="仿宋_GB2312" w:cs="Times New Roman"/>
                <w:color w:val="auto"/>
                <w:sz w:val="24"/>
                <w:szCs w:val="24"/>
                <w:highlight w:val="none"/>
                <w:lang w:val="en-US" w:eastAsia="zh-CN"/>
              </w:rPr>
              <w:t>要求</w:t>
            </w:r>
          </w:p>
        </w:tc>
        <w:tc>
          <w:tcPr>
            <w:tcW w:w="1774" w:type="dxa"/>
            <w:tcBorders>
              <w:top w:val="single" w:color="auto" w:sz="4" w:space="0"/>
              <w:left w:val="single" w:color="auto" w:sz="4" w:space="0"/>
              <w:bottom w:val="single" w:color="auto" w:sz="4" w:space="0"/>
              <w:right w:val="single" w:color="auto" w:sz="4" w:space="0"/>
            </w:tcBorders>
            <w:noWrap w:val="0"/>
            <w:vAlign w:val="center"/>
          </w:tcPr>
          <w:p w14:paraId="347EDF5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偏离说明</w:t>
            </w:r>
          </w:p>
        </w:tc>
      </w:tr>
      <w:tr w14:paraId="288F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0B9373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05A8F6FC">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0D40B1F8">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1C5EED16">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r>
      <w:tr w14:paraId="5C8A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410F15E">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074EAE7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72BD293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738831B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r>
      <w:tr w14:paraId="22A1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445C127">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3A8EB543">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3150" w:type="dxa"/>
            <w:tcBorders>
              <w:top w:val="single" w:color="auto" w:sz="4" w:space="0"/>
              <w:left w:val="single" w:color="auto" w:sz="4" w:space="0"/>
              <w:bottom w:val="single" w:color="auto" w:sz="4" w:space="0"/>
              <w:right w:val="single" w:color="auto" w:sz="4" w:space="0"/>
            </w:tcBorders>
            <w:noWrap w:val="0"/>
            <w:vAlign w:val="center"/>
          </w:tcPr>
          <w:p w14:paraId="7F7906E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62E3C881">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rPr>
                <w:rFonts w:hint="default" w:ascii="Times New Roman" w:hAnsi="Times New Roman" w:eastAsia="仿宋_GB2312" w:cs="Times New Roman"/>
                <w:color w:val="auto"/>
                <w:sz w:val="24"/>
                <w:szCs w:val="24"/>
                <w:highlight w:val="none"/>
              </w:rPr>
            </w:pPr>
          </w:p>
        </w:tc>
      </w:tr>
    </w:tbl>
    <w:p w14:paraId="443DC79E">
      <w:pPr>
        <w:pStyle w:val="13"/>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eastAsia="仿宋_GB2312" w:cs="Times New Roman"/>
          <w:color w:val="auto"/>
          <w:sz w:val="24"/>
          <w:szCs w:val="24"/>
          <w:highlight w:val="none"/>
        </w:rPr>
      </w:pPr>
    </w:p>
    <w:p w14:paraId="2E0CAC30">
      <w:pPr>
        <w:pStyle w:val="13"/>
        <w:keepNext w:val="0"/>
        <w:keepLines w:val="0"/>
        <w:pageBreakBefore w:val="0"/>
        <w:kinsoku/>
        <w:wordWrap/>
        <w:overflowPunct/>
        <w:topLinePunct w:val="0"/>
        <w:autoSpaceDE/>
        <w:autoSpaceDN/>
        <w:bidi w:val="0"/>
        <w:adjustRightInd/>
        <w:spacing w:line="240" w:lineRule="auto"/>
        <w:textAlignment w:val="auto"/>
        <w:rPr>
          <w:rFonts w:hint="default" w:ascii="Times New Roman" w:hAnsi="Times New Roman" w:eastAsia="仿宋_GB2312" w:cs="Times New Roman"/>
          <w:color w:val="auto"/>
          <w:sz w:val="24"/>
          <w:szCs w:val="24"/>
          <w:highlight w:val="none"/>
        </w:rPr>
      </w:pPr>
    </w:p>
    <w:p w14:paraId="4DC5A0CC">
      <w:pPr>
        <w:pStyle w:val="9"/>
        <w:keepNext w:val="0"/>
        <w:keepLines w:val="0"/>
        <w:pageBreakBefore w:val="0"/>
        <w:widowControl w:val="0"/>
        <w:kinsoku/>
        <w:wordWrap/>
        <w:overflowPunct/>
        <w:topLinePunct w:val="0"/>
        <w:autoSpaceDE/>
        <w:autoSpaceDN/>
        <w:bidi w:val="0"/>
        <w:adjustRightInd/>
        <w:spacing w:line="240" w:lineRule="auto"/>
        <w:ind w:firstLine="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注：</w:t>
      </w:r>
    </w:p>
    <w:p w14:paraId="09825B6E">
      <w:pPr>
        <w:pStyle w:val="9"/>
        <w:keepNext w:val="0"/>
        <w:keepLines w:val="0"/>
        <w:pageBreakBefore w:val="0"/>
        <w:widowControl w:val="0"/>
        <w:kinsoku/>
        <w:wordWrap/>
        <w:overflowPunct/>
        <w:topLinePunct w:val="0"/>
        <w:autoSpaceDE/>
        <w:autoSpaceDN/>
        <w:bidi w:val="0"/>
        <w:adjustRightInd/>
        <w:snapToGrid/>
        <w:spacing w:line="240" w:lineRule="auto"/>
        <w:ind w:firstLine="464"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说明：应对照</w:t>
      </w:r>
      <w:r>
        <w:rPr>
          <w:rFonts w:hint="eastAsia" w:ascii="仿宋_GB2312" w:hAnsi="仿宋_GB2312" w:eastAsia="仿宋_GB2312" w:cs="仿宋_GB2312"/>
          <w:color w:val="auto"/>
          <w:kern w:val="0"/>
          <w:sz w:val="24"/>
          <w:szCs w:val="24"/>
          <w:highlight w:val="none"/>
          <w:lang w:val="en-US" w:eastAsia="zh-CN"/>
        </w:rPr>
        <w:t>本项目竞价文件</w:t>
      </w:r>
      <w:r>
        <w:rPr>
          <w:rFonts w:hint="eastAsia" w:ascii="仿宋_GB2312" w:hAnsi="仿宋_GB2312" w:eastAsia="仿宋_GB2312" w:cs="仿宋_GB2312"/>
          <w:color w:val="auto"/>
          <w:kern w:val="0"/>
          <w:sz w:val="24"/>
          <w:szCs w:val="24"/>
          <w:highlight w:val="none"/>
        </w:rPr>
        <w:t>中的</w:t>
      </w:r>
      <w:r>
        <w:rPr>
          <w:rFonts w:hint="eastAsia" w:ascii="仿宋_GB2312" w:hAnsi="仿宋_GB2312" w:eastAsia="仿宋_GB2312" w:cs="仿宋_GB2312"/>
          <w:color w:val="auto"/>
          <w:sz w:val="24"/>
          <w:szCs w:val="24"/>
          <w:highlight w:val="none"/>
        </w:rPr>
        <w:t>技术</w:t>
      </w:r>
      <w:r>
        <w:rPr>
          <w:rFonts w:hint="eastAsia" w:ascii="仿宋_GB2312" w:hAnsi="仿宋_GB2312" w:eastAsia="仿宋_GB2312" w:cs="仿宋_GB2312"/>
          <w:color w:val="auto"/>
          <w:sz w:val="24"/>
          <w:szCs w:val="24"/>
          <w:highlight w:val="none"/>
          <w:lang w:val="en-US" w:eastAsia="zh-CN"/>
        </w:rPr>
        <w:t>要求</w:t>
      </w:r>
      <w:r>
        <w:rPr>
          <w:rFonts w:hint="eastAsia" w:ascii="仿宋_GB2312" w:hAnsi="仿宋_GB2312" w:eastAsia="仿宋_GB2312" w:cs="仿宋_GB2312"/>
          <w:color w:val="auto"/>
          <w:sz w:val="24"/>
          <w:szCs w:val="24"/>
          <w:highlight w:val="none"/>
        </w:rPr>
        <w:t>逐条实质性响应，并作出偏离说明。</w:t>
      </w:r>
    </w:p>
    <w:p w14:paraId="28C872B4">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供应商应根据竞标的</w:t>
      </w:r>
      <w:r>
        <w:rPr>
          <w:rFonts w:hint="eastAsia" w:ascii="仿宋_GB2312" w:hAnsi="仿宋_GB2312" w:eastAsia="仿宋_GB2312" w:cs="仿宋_GB2312"/>
          <w:color w:val="auto"/>
          <w:sz w:val="24"/>
          <w:szCs w:val="24"/>
          <w:highlight w:val="none"/>
          <w:lang w:val="en-US" w:eastAsia="zh-CN"/>
        </w:rPr>
        <w:t>技术响应</w:t>
      </w:r>
      <w:r>
        <w:rPr>
          <w:rFonts w:hint="eastAsia" w:ascii="仿宋_GB2312" w:hAnsi="仿宋_GB2312" w:eastAsia="仿宋_GB2312" w:cs="仿宋_GB2312"/>
          <w:color w:val="auto"/>
          <w:sz w:val="24"/>
          <w:szCs w:val="24"/>
          <w:highlight w:val="none"/>
        </w:rPr>
        <w:t>，对照</w:t>
      </w:r>
      <w:r>
        <w:rPr>
          <w:rFonts w:hint="eastAsia" w:ascii="仿宋_GB2312" w:hAnsi="仿宋_GB2312" w:eastAsia="仿宋_GB2312" w:cs="仿宋_GB2312"/>
          <w:color w:val="auto"/>
          <w:kern w:val="0"/>
          <w:sz w:val="24"/>
          <w:szCs w:val="24"/>
          <w:highlight w:val="none"/>
          <w:lang w:val="en-US" w:eastAsia="zh-CN"/>
        </w:rPr>
        <w:t>竞价文件</w:t>
      </w:r>
      <w:r>
        <w:rPr>
          <w:rFonts w:hint="eastAsia" w:ascii="仿宋_GB2312" w:hAnsi="仿宋_GB2312" w:eastAsia="仿宋_GB2312" w:cs="仿宋_GB2312"/>
          <w:color w:val="auto"/>
          <w:sz w:val="24"/>
          <w:szCs w:val="24"/>
          <w:highlight w:val="none"/>
        </w:rPr>
        <w:t>要求，</w:t>
      </w:r>
      <w:r>
        <w:rPr>
          <w:rFonts w:hint="eastAsia" w:ascii="仿宋_GB2312" w:hAnsi="仿宋_GB2312" w:eastAsia="仿宋_GB2312" w:cs="仿宋_GB2312"/>
          <w:color w:val="auto"/>
          <w:sz w:val="24"/>
          <w:szCs w:val="24"/>
          <w:highlight w:val="none"/>
          <w:lang w:val="en-US" w:eastAsia="zh-CN"/>
        </w:rPr>
        <w:t>在</w:t>
      </w:r>
      <w:r>
        <w:rPr>
          <w:rFonts w:hint="eastAsia" w:ascii="仿宋_GB2312" w:hAnsi="仿宋_GB2312" w:eastAsia="仿宋_GB2312" w:cs="仿宋_GB2312"/>
          <w:color w:val="auto"/>
          <w:kern w:val="0"/>
          <w:sz w:val="24"/>
          <w:szCs w:val="24"/>
          <w:highlight w:val="none"/>
        </w:rPr>
        <w:t>“偏离说明”中注明“正偏离”、“负偏离”或者“无偏离”。既不属于“正偏离”也不属于“负偏离”即为“无偏离”。</w:t>
      </w:r>
    </w:p>
    <w:p w14:paraId="366C7209">
      <w:pPr>
        <w:pStyle w:val="9"/>
        <w:keepNext w:val="0"/>
        <w:keepLines w:val="0"/>
        <w:pageBreakBefore w:val="0"/>
        <w:widowControl w:val="0"/>
        <w:kinsoku/>
        <w:wordWrap/>
        <w:overflowPunct/>
        <w:topLinePunct w:val="0"/>
        <w:autoSpaceDE/>
        <w:autoSpaceDN/>
        <w:bidi w:val="0"/>
        <w:adjustRightInd/>
        <w:snapToGrid/>
        <w:spacing w:line="240" w:lineRule="auto"/>
        <w:ind w:firstLine="464" w:firstLineChars="200"/>
        <w:jc w:val="both"/>
        <w:textAlignment w:val="auto"/>
        <w:rPr>
          <w:rFonts w:hint="default" w:ascii="Times New Roman" w:hAnsi="Times New Roman" w:eastAsia="仿宋_GB2312" w:cs="Times New Roman"/>
          <w:color w:val="auto"/>
          <w:sz w:val="24"/>
          <w:szCs w:val="24"/>
          <w:highlight w:val="none"/>
        </w:rPr>
      </w:pPr>
    </w:p>
    <w:p w14:paraId="646B7E3A">
      <w:pPr>
        <w:pStyle w:val="9"/>
        <w:keepNext w:val="0"/>
        <w:keepLines w:val="0"/>
        <w:pageBreakBefore w:val="0"/>
        <w:kinsoku/>
        <w:wordWrap/>
        <w:overflowPunct/>
        <w:topLinePunct w:val="0"/>
        <w:autoSpaceDE/>
        <w:autoSpaceDN/>
        <w:bidi w:val="0"/>
        <w:adjustRightInd/>
        <w:spacing w:line="240" w:lineRule="auto"/>
        <w:ind w:firstLine="0"/>
        <w:textAlignment w:val="auto"/>
        <w:rPr>
          <w:rFonts w:hint="default" w:ascii="Times New Roman" w:hAnsi="Times New Roman" w:eastAsia="仿宋_GB2312" w:cs="Times New Roman"/>
          <w:color w:val="auto"/>
          <w:sz w:val="24"/>
          <w:szCs w:val="24"/>
          <w:highlight w:val="none"/>
        </w:rPr>
      </w:pPr>
    </w:p>
    <w:p w14:paraId="0574EA5C">
      <w:pPr>
        <w:keepNext w:val="0"/>
        <w:keepLines w:val="0"/>
        <w:pageBreakBefore w:val="0"/>
        <w:widowControl w:val="0"/>
        <w:kinsoku/>
        <w:wordWrap/>
        <w:overflowPunct/>
        <w:topLinePunct w:val="0"/>
        <w:autoSpaceDE/>
        <w:autoSpaceDN/>
        <w:bidi w:val="0"/>
        <w:adjustRightInd/>
        <w:snapToGrid w:val="0"/>
        <w:spacing w:before="50" w:after="50" w:line="360" w:lineRule="auto"/>
        <w:ind w:right="-817" w:rightChars="-389"/>
        <w:jc w:val="both"/>
        <w:textAlignment w:val="auto"/>
        <w:rPr>
          <w:rFonts w:hint="default" w:ascii="Times New Roman" w:hAnsi="Times New Roman" w:eastAsia="仿宋_GB2312" w:cs="Times New Roman"/>
          <w:color w:val="auto"/>
          <w:sz w:val="24"/>
          <w:szCs w:val="24"/>
          <w:highlight w:val="none"/>
          <w:u w:val="single"/>
        </w:rPr>
      </w:pPr>
    </w:p>
    <w:p w14:paraId="16145DCB">
      <w:pPr>
        <w:keepNext w:val="0"/>
        <w:keepLines w:val="0"/>
        <w:pageBreakBefore w:val="0"/>
        <w:widowControl w:val="0"/>
        <w:kinsoku/>
        <w:wordWrap/>
        <w:overflowPunct/>
        <w:topLinePunct w:val="0"/>
        <w:autoSpaceDE/>
        <w:autoSpaceDN/>
        <w:bidi w:val="0"/>
        <w:adjustRightInd/>
        <w:snapToGrid w:val="0"/>
        <w:spacing w:before="50" w:after="50" w:line="360" w:lineRule="auto"/>
        <w:ind w:left="2523" w:leftChars="0" w:right="-817" w:rightChars="-389" w:firstLine="420" w:firstLineChars="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w:t>
      </w:r>
      <w:r>
        <w:rPr>
          <w:rFonts w:hint="default" w:ascii="Times New Roman" w:hAnsi="Times New Roman" w:eastAsia="仿宋_GB2312" w:cs="Times New Roman"/>
          <w:color w:val="auto"/>
          <w:sz w:val="24"/>
          <w:szCs w:val="24"/>
          <w:highlight w:val="none"/>
          <w:lang w:val="en-US" w:eastAsia="zh-CN"/>
        </w:rPr>
        <w:t>名称</w:t>
      </w: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盖章</w:t>
      </w:r>
      <w:r>
        <w:rPr>
          <w:rFonts w:hint="default" w:ascii="Times New Roman" w:hAnsi="Times New Roman" w:eastAsia="仿宋_GB2312" w:cs="Times New Roman"/>
          <w:color w:val="auto"/>
          <w:sz w:val="24"/>
          <w:szCs w:val="24"/>
          <w:highlight w:val="none"/>
        </w:rPr>
        <w:t>）：</w:t>
      </w:r>
    </w:p>
    <w:p w14:paraId="0CF5ABAC">
      <w:pPr>
        <w:keepNext w:val="0"/>
        <w:keepLines w:val="0"/>
        <w:pageBreakBefore w:val="0"/>
        <w:widowControl w:val="0"/>
        <w:kinsoku/>
        <w:wordWrap/>
        <w:overflowPunct/>
        <w:topLinePunct w:val="0"/>
        <w:autoSpaceDE/>
        <w:autoSpaceDN/>
        <w:bidi w:val="0"/>
        <w:adjustRightInd/>
        <w:snapToGrid w:val="0"/>
        <w:spacing w:before="50" w:after="50" w:line="360" w:lineRule="auto"/>
        <w:ind w:left="2523" w:leftChars="0" w:right="-817" w:rightChars="-389" w:firstLine="420" w:firstLineChars="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日期：</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年</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 xml:space="preserve"> 月</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日</w:t>
      </w:r>
    </w:p>
    <w:p w14:paraId="7634000E">
      <w:pPr>
        <w:rPr>
          <w:rFonts w:hint="default" w:ascii="Times New Roman" w:hAnsi="Times New Roman" w:eastAsia="仿宋_GB2312" w:cs="Times New Roman"/>
          <w:sz w:val="24"/>
          <w:szCs w:val="24"/>
        </w:rPr>
      </w:pPr>
    </w:p>
    <w:p w14:paraId="0723F896">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14:paraId="77C7FFDA">
      <w:pPr>
        <w:spacing w:line="240" w:lineRule="auto"/>
        <w:jc w:val="cente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二、商务要求偏离表（格式）</w:t>
      </w:r>
    </w:p>
    <w:p w14:paraId="7FFE58BF">
      <w:pPr>
        <w:spacing w:line="240" w:lineRule="auto"/>
        <w:jc w:val="cente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（注：按采购需求具体条款修改）</w:t>
      </w:r>
    </w:p>
    <w:p w14:paraId="66142224">
      <w:pPr>
        <w:snapToGrid w:val="0"/>
        <w:spacing w:before="50"/>
        <w:jc w:val="left"/>
        <w:rPr>
          <w:rFonts w:hint="default" w:ascii="Times New Roman" w:hAnsi="Times New Roman" w:eastAsia="仿宋_GB2312" w:cs="Times New Roman"/>
          <w:color w:val="auto"/>
          <w:sz w:val="24"/>
          <w:highlight w:val="none"/>
        </w:rPr>
      </w:pPr>
    </w:p>
    <w:p w14:paraId="251B84E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bCs/>
          <w:color w:val="auto"/>
          <w:sz w:val="24"/>
          <w:szCs w:val="24"/>
          <w:highlight w:val="none"/>
        </w:rPr>
        <w:t>项目名称：</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学生宿舍家具采购项目</w:t>
      </w:r>
    </w:p>
    <w:p w14:paraId="4D9FCB09">
      <w:pPr>
        <w:keepNext w:val="0"/>
        <w:keepLines w:val="0"/>
        <w:pageBreakBefore w:val="0"/>
        <w:widowControl w:val="0"/>
        <w:kinsoku/>
        <w:wordWrap/>
        <w:overflowPunct/>
        <w:topLinePunct w:val="0"/>
        <w:autoSpaceDE/>
        <w:autoSpaceDN/>
        <w:bidi w:val="0"/>
        <w:adjustRightInd/>
        <w:snapToGrid w:val="0"/>
        <w:spacing w:before="50" w:line="240" w:lineRule="auto"/>
        <w:jc w:val="left"/>
        <w:textAlignment w:val="auto"/>
        <w:rPr>
          <w:rFonts w:hint="default" w:ascii="Times New Roman" w:hAnsi="Times New Roman" w:eastAsia="仿宋_GB2312" w:cs="Times New Roman"/>
          <w:color w:val="auto"/>
          <w:sz w:val="24"/>
          <w:szCs w:val="24"/>
          <w:highlight w:val="none"/>
          <w:u w:val="single"/>
        </w:rPr>
      </w:pPr>
    </w:p>
    <w:tbl>
      <w:tblPr>
        <w:tblStyle w:val="20"/>
        <w:tblpPr w:leftFromText="180" w:rightFromText="180" w:vertAnchor="text" w:horzAnchor="margin" w:tblpX="1" w:tblpY="-9"/>
        <w:tblOverlap w:val="never"/>
        <w:tblW w:w="894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1"/>
        <w:gridCol w:w="3308"/>
        <w:gridCol w:w="3333"/>
        <w:gridCol w:w="1350"/>
      </w:tblGrid>
      <w:tr w14:paraId="6FB6E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14:paraId="48D040AC">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项号</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0BFE9E5F">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本项目</w:t>
            </w:r>
            <w:r>
              <w:rPr>
                <w:rFonts w:hint="default" w:ascii="Times New Roman" w:hAnsi="Times New Roman" w:eastAsia="仿宋_GB2312" w:cs="Times New Roman"/>
                <w:color w:val="auto"/>
                <w:sz w:val="24"/>
                <w:szCs w:val="24"/>
                <w:highlight w:val="none"/>
              </w:rPr>
              <w:t>的商务</w:t>
            </w:r>
            <w:r>
              <w:rPr>
                <w:rFonts w:hint="default" w:ascii="Times New Roman" w:hAnsi="Times New Roman" w:eastAsia="仿宋_GB2312" w:cs="Times New Roman"/>
                <w:color w:val="auto"/>
                <w:sz w:val="24"/>
                <w:szCs w:val="24"/>
                <w:highlight w:val="none"/>
                <w:lang w:val="en-US" w:eastAsia="zh-CN"/>
              </w:rPr>
              <w:t>要</w:t>
            </w:r>
            <w:r>
              <w:rPr>
                <w:rFonts w:hint="default" w:ascii="Times New Roman" w:hAnsi="Times New Roman" w:eastAsia="仿宋_GB2312" w:cs="Times New Roman"/>
                <w:color w:val="auto"/>
                <w:sz w:val="24"/>
                <w:szCs w:val="24"/>
                <w:highlight w:val="none"/>
              </w:rPr>
              <w:t>求</w:t>
            </w:r>
          </w:p>
        </w:tc>
        <w:tc>
          <w:tcPr>
            <w:tcW w:w="3333" w:type="dxa"/>
            <w:tcBorders>
              <w:top w:val="single" w:color="auto" w:sz="4" w:space="0"/>
              <w:left w:val="single" w:color="auto" w:sz="4" w:space="0"/>
              <w:bottom w:val="single" w:color="auto" w:sz="4" w:space="0"/>
              <w:right w:val="single" w:color="auto" w:sz="4" w:space="0"/>
            </w:tcBorders>
            <w:noWrap w:val="0"/>
            <w:vAlign w:val="center"/>
          </w:tcPr>
          <w:p w14:paraId="5DE0DE3C">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响应文件承诺的商务</w:t>
            </w:r>
            <w:r>
              <w:rPr>
                <w:rFonts w:hint="eastAsia" w:ascii="Times New Roman" w:hAnsi="Times New Roman" w:eastAsia="仿宋_GB2312" w:cs="Times New Roman"/>
                <w:color w:val="auto"/>
                <w:sz w:val="24"/>
                <w:szCs w:val="24"/>
                <w:highlight w:val="none"/>
                <w:lang w:val="en-US" w:eastAsia="zh-CN"/>
              </w:rPr>
              <w:t>要求</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EEB5E9C">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偏离说明</w:t>
            </w:r>
          </w:p>
        </w:tc>
      </w:tr>
      <w:tr w14:paraId="62368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14:paraId="763CF7A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3C0C5E9D">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59C1793D">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768512B">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r>
      <w:tr w14:paraId="525CD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14:paraId="24D1429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27515E55">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7613FAB6">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43" w:right="0"/>
              <w:jc w:val="center"/>
              <w:textAlignment w:val="auto"/>
              <w:rPr>
                <w:rFonts w:hint="default" w:ascii="Times New Roman" w:hAnsi="Times New Roman" w:eastAsia="仿宋_GB2312" w:cs="Times New Roman"/>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88E1D30">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43" w:right="0"/>
              <w:jc w:val="center"/>
              <w:textAlignment w:val="auto"/>
              <w:rPr>
                <w:rFonts w:hint="default" w:ascii="Times New Roman" w:hAnsi="Times New Roman" w:eastAsia="仿宋_GB2312" w:cs="Times New Roman"/>
                <w:color w:val="auto"/>
                <w:sz w:val="24"/>
                <w:szCs w:val="24"/>
                <w:highlight w:val="none"/>
              </w:rPr>
            </w:pPr>
          </w:p>
        </w:tc>
      </w:tr>
      <w:tr w14:paraId="5CD08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14:paraId="214718C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w:t>
            </w:r>
          </w:p>
        </w:tc>
        <w:tc>
          <w:tcPr>
            <w:tcW w:w="3308" w:type="dxa"/>
            <w:tcBorders>
              <w:top w:val="single" w:color="auto" w:sz="4" w:space="0"/>
              <w:left w:val="single" w:color="auto" w:sz="4" w:space="0"/>
              <w:bottom w:val="single" w:color="auto" w:sz="4" w:space="0"/>
              <w:right w:val="single" w:color="auto" w:sz="4" w:space="0"/>
            </w:tcBorders>
            <w:noWrap w:val="0"/>
            <w:vAlign w:val="center"/>
          </w:tcPr>
          <w:p w14:paraId="71D9AA30">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3333" w:type="dxa"/>
            <w:tcBorders>
              <w:top w:val="single" w:color="auto" w:sz="4" w:space="0"/>
              <w:left w:val="single" w:color="auto" w:sz="4" w:space="0"/>
              <w:bottom w:val="single" w:color="auto" w:sz="4" w:space="0"/>
              <w:right w:val="single" w:color="auto" w:sz="4" w:space="0"/>
            </w:tcBorders>
            <w:noWrap w:val="0"/>
            <w:vAlign w:val="center"/>
          </w:tcPr>
          <w:p w14:paraId="66D5366D">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93D708A">
            <w:pPr>
              <w:keepNext w:val="0"/>
              <w:keepLines w:val="0"/>
              <w:pageBreakBefore w:val="0"/>
              <w:widowControl w:val="0"/>
              <w:suppressLineNumbers w:val="0"/>
              <w:kinsoku/>
              <w:wordWrap/>
              <w:overflowPunct/>
              <w:topLinePunct w:val="0"/>
              <w:autoSpaceDE/>
              <w:autoSpaceDN/>
              <w:bidi w:val="0"/>
              <w:adjustRightInd/>
              <w:snapToGrid w:val="0"/>
              <w:spacing w:before="0" w:beforeLines="50" w:beforeAutospacing="0" w:after="0" w:afterAutospacing="0" w:line="240" w:lineRule="auto"/>
              <w:ind w:left="0" w:right="0"/>
              <w:jc w:val="center"/>
              <w:textAlignment w:val="auto"/>
              <w:rPr>
                <w:rFonts w:hint="default" w:ascii="Times New Roman" w:hAnsi="Times New Roman" w:eastAsia="仿宋_GB2312" w:cs="Times New Roman"/>
                <w:color w:val="auto"/>
                <w:sz w:val="24"/>
                <w:szCs w:val="24"/>
                <w:highlight w:val="none"/>
              </w:rPr>
            </w:pPr>
          </w:p>
        </w:tc>
      </w:tr>
    </w:tbl>
    <w:p w14:paraId="5585C68A">
      <w:pPr>
        <w:pStyle w:val="7"/>
        <w:keepNext w:val="0"/>
        <w:keepLines w:val="0"/>
        <w:pageBreakBefore w:val="0"/>
        <w:widowControl w:val="0"/>
        <w:kinsoku/>
        <w:wordWrap/>
        <w:overflowPunct/>
        <w:topLinePunct w:val="0"/>
        <w:autoSpaceDE/>
        <w:autoSpaceDN/>
        <w:bidi w:val="0"/>
        <w:adjustRightInd/>
        <w:spacing w:after="0" w:line="240" w:lineRule="auto"/>
        <w:jc w:val="both"/>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注：</w:t>
      </w:r>
    </w:p>
    <w:p w14:paraId="572C6578">
      <w:pPr>
        <w:pStyle w:val="7"/>
        <w:keepNext w:val="0"/>
        <w:keepLines w:val="0"/>
        <w:pageBreakBefore w:val="0"/>
        <w:widowControl w:val="0"/>
        <w:kinsoku/>
        <w:wordWrap/>
        <w:overflowPunct/>
        <w:topLinePunct w:val="0"/>
        <w:autoSpaceDE/>
        <w:autoSpaceDN/>
        <w:bidi w:val="0"/>
        <w:adjustRightInd/>
        <w:spacing w:after="0" w:line="240" w:lineRule="auto"/>
        <w:ind w:firstLine="480" w:firstLineChars="200"/>
        <w:jc w:val="both"/>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说明：应对照</w:t>
      </w:r>
      <w:r>
        <w:rPr>
          <w:rFonts w:hint="eastAsia" w:ascii="仿宋_GB2312" w:hAnsi="仿宋_GB2312" w:eastAsia="仿宋_GB2312" w:cs="仿宋_GB2312"/>
          <w:color w:val="auto"/>
          <w:kern w:val="0"/>
          <w:sz w:val="24"/>
          <w:szCs w:val="24"/>
          <w:highlight w:val="none"/>
          <w:lang w:val="en-US" w:eastAsia="zh-CN"/>
        </w:rPr>
        <w:t>本项目竞价文件</w:t>
      </w:r>
      <w:r>
        <w:rPr>
          <w:rFonts w:hint="eastAsia" w:ascii="仿宋_GB2312" w:hAnsi="仿宋_GB2312" w:eastAsia="仿宋_GB2312" w:cs="仿宋_GB2312"/>
          <w:color w:val="auto"/>
          <w:kern w:val="0"/>
          <w:sz w:val="24"/>
          <w:szCs w:val="24"/>
          <w:highlight w:val="none"/>
        </w:rPr>
        <w:t>中的商务</w:t>
      </w:r>
      <w:r>
        <w:rPr>
          <w:rFonts w:hint="eastAsia" w:ascii="仿宋_GB2312" w:hAnsi="仿宋_GB2312" w:eastAsia="仿宋_GB2312" w:cs="仿宋_GB2312"/>
          <w:color w:val="auto"/>
          <w:kern w:val="0"/>
          <w:sz w:val="24"/>
          <w:szCs w:val="24"/>
          <w:highlight w:val="none"/>
          <w:lang w:val="en-US" w:eastAsia="zh-CN"/>
        </w:rPr>
        <w:t>要求</w:t>
      </w:r>
      <w:r>
        <w:rPr>
          <w:rFonts w:hint="eastAsia" w:ascii="仿宋_GB2312" w:hAnsi="仿宋_GB2312" w:eastAsia="仿宋_GB2312" w:cs="仿宋_GB2312"/>
          <w:color w:val="auto"/>
          <w:kern w:val="0"/>
          <w:sz w:val="24"/>
          <w:szCs w:val="24"/>
          <w:highlight w:val="none"/>
        </w:rPr>
        <w:t>逐条实质性响应，并作出偏离说明。</w:t>
      </w:r>
    </w:p>
    <w:p w14:paraId="0C3EA80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2</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供应商应根据自身的承诺，对照</w:t>
      </w:r>
      <w:r>
        <w:rPr>
          <w:rFonts w:hint="eastAsia" w:ascii="仿宋_GB2312" w:hAnsi="仿宋_GB2312" w:eastAsia="仿宋_GB2312" w:cs="仿宋_GB2312"/>
          <w:color w:val="auto"/>
          <w:kern w:val="0"/>
          <w:sz w:val="24"/>
          <w:szCs w:val="24"/>
          <w:highlight w:val="none"/>
          <w:lang w:val="en-US" w:eastAsia="zh-CN"/>
        </w:rPr>
        <w:t>竞价文件</w:t>
      </w:r>
      <w:r>
        <w:rPr>
          <w:rFonts w:hint="eastAsia" w:ascii="仿宋_GB2312" w:hAnsi="仿宋_GB2312" w:eastAsia="仿宋_GB2312" w:cs="仿宋_GB2312"/>
          <w:color w:val="auto"/>
          <w:kern w:val="0"/>
          <w:sz w:val="24"/>
          <w:szCs w:val="24"/>
          <w:highlight w:val="none"/>
        </w:rPr>
        <w:t>要求在“偏离说明”中注明“正偏离”、“负偏离”或者“无偏离”。既不属于“正偏离”也不属于“负偏离”即为“无偏离”。</w:t>
      </w:r>
    </w:p>
    <w:p w14:paraId="153A1B8E">
      <w:pPr>
        <w:keepNext w:val="0"/>
        <w:keepLines w:val="0"/>
        <w:pageBreakBefore w:val="0"/>
        <w:widowControl w:val="0"/>
        <w:kinsoku/>
        <w:wordWrap/>
        <w:overflowPunct/>
        <w:topLinePunct w:val="0"/>
        <w:autoSpaceDE/>
        <w:autoSpaceDN/>
        <w:bidi w:val="0"/>
        <w:adjustRightInd/>
        <w:snapToGrid w:val="0"/>
        <w:spacing w:before="50" w:line="240" w:lineRule="auto"/>
        <w:ind w:firstLine="480" w:firstLineChars="200"/>
        <w:jc w:val="left"/>
        <w:textAlignment w:val="auto"/>
        <w:rPr>
          <w:rFonts w:hint="default" w:ascii="Times New Roman" w:hAnsi="Times New Roman" w:eastAsia="仿宋_GB2312" w:cs="Times New Roman"/>
          <w:color w:val="auto"/>
          <w:sz w:val="24"/>
          <w:szCs w:val="24"/>
          <w:highlight w:val="none"/>
        </w:rPr>
      </w:pPr>
    </w:p>
    <w:p w14:paraId="6E209DD7">
      <w:pPr>
        <w:keepNext w:val="0"/>
        <w:keepLines w:val="0"/>
        <w:pageBreakBefore w:val="0"/>
        <w:widowControl w:val="0"/>
        <w:kinsoku/>
        <w:wordWrap/>
        <w:overflowPunct/>
        <w:topLinePunct w:val="0"/>
        <w:autoSpaceDE/>
        <w:autoSpaceDN/>
        <w:bidi w:val="0"/>
        <w:adjustRightInd/>
        <w:snapToGrid w:val="0"/>
        <w:spacing w:before="50" w:after="50" w:line="240" w:lineRule="auto"/>
        <w:ind w:right="-817" w:rightChars="-389" w:firstLine="960" w:firstLineChars="400"/>
        <w:textAlignment w:val="auto"/>
        <w:rPr>
          <w:rFonts w:hint="default" w:ascii="Times New Roman" w:hAnsi="Times New Roman" w:eastAsia="仿宋_GB2312" w:cs="Times New Roman"/>
          <w:color w:val="auto"/>
          <w:sz w:val="24"/>
          <w:szCs w:val="24"/>
          <w:highlight w:val="none"/>
        </w:rPr>
      </w:pPr>
    </w:p>
    <w:p w14:paraId="70961724">
      <w:pPr>
        <w:keepNext w:val="0"/>
        <w:keepLines w:val="0"/>
        <w:pageBreakBefore w:val="0"/>
        <w:widowControl w:val="0"/>
        <w:kinsoku/>
        <w:wordWrap/>
        <w:overflowPunct/>
        <w:topLinePunct w:val="0"/>
        <w:autoSpaceDE/>
        <w:autoSpaceDN/>
        <w:bidi w:val="0"/>
        <w:adjustRightInd/>
        <w:snapToGrid w:val="0"/>
        <w:spacing w:before="50" w:after="50" w:line="240" w:lineRule="auto"/>
        <w:ind w:right="-817" w:rightChars="-389" w:firstLine="960" w:firstLineChars="400"/>
        <w:textAlignment w:val="auto"/>
        <w:rPr>
          <w:rFonts w:hint="default" w:ascii="Times New Roman" w:hAnsi="Times New Roman" w:eastAsia="仿宋_GB2312" w:cs="Times New Roman"/>
          <w:color w:val="auto"/>
          <w:sz w:val="24"/>
          <w:szCs w:val="24"/>
          <w:highlight w:val="none"/>
        </w:rPr>
      </w:pPr>
    </w:p>
    <w:p w14:paraId="046CCB8E">
      <w:pPr>
        <w:keepNext w:val="0"/>
        <w:keepLines w:val="0"/>
        <w:pageBreakBefore w:val="0"/>
        <w:widowControl w:val="0"/>
        <w:kinsoku/>
        <w:wordWrap/>
        <w:overflowPunct/>
        <w:topLinePunct w:val="0"/>
        <w:autoSpaceDE/>
        <w:autoSpaceDN/>
        <w:bidi w:val="0"/>
        <w:adjustRightInd/>
        <w:snapToGrid w:val="0"/>
        <w:spacing w:before="50" w:after="50" w:line="360" w:lineRule="auto"/>
        <w:ind w:left="2942" w:leftChars="0" w:right="-817" w:rightChars="-389" w:firstLine="420" w:firstLineChars="0"/>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供应商</w:t>
      </w:r>
      <w:r>
        <w:rPr>
          <w:rFonts w:hint="default" w:ascii="Times New Roman" w:hAnsi="Times New Roman" w:eastAsia="仿宋_GB2312" w:cs="Times New Roman"/>
          <w:color w:val="auto"/>
          <w:sz w:val="24"/>
          <w:szCs w:val="24"/>
          <w:highlight w:val="none"/>
          <w:lang w:val="en-US" w:eastAsia="zh-CN"/>
        </w:rPr>
        <w:t>名称</w:t>
      </w:r>
      <w:r>
        <w:rPr>
          <w:rFonts w:hint="default" w:ascii="Times New Roman" w:hAnsi="Times New Roman" w:eastAsia="仿宋_GB2312" w:cs="Times New Roman"/>
          <w:color w:val="auto"/>
          <w:sz w:val="24"/>
          <w:szCs w:val="24"/>
          <w:highlight w:val="none"/>
        </w:rPr>
        <w:t>（</w:t>
      </w:r>
      <w:r>
        <w:rPr>
          <w:rFonts w:hint="eastAsia" w:ascii="Times New Roman" w:hAnsi="Times New Roman" w:eastAsia="仿宋_GB2312" w:cs="Times New Roman"/>
          <w:color w:val="auto"/>
          <w:sz w:val="24"/>
          <w:szCs w:val="24"/>
          <w:highlight w:val="none"/>
          <w:lang w:val="en-US" w:eastAsia="zh-CN"/>
        </w:rPr>
        <w:t>盖章</w:t>
      </w:r>
      <w:r>
        <w:rPr>
          <w:rFonts w:hint="default" w:ascii="Times New Roman" w:hAnsi="Times New Roman" w:eastAsia="仿宋_GB2312" w:cs="Times New Roman"/>
          <w:color w:val="auto"/>
          <w:sz w:val="24"/>
          <w:szCs w:val="24"/>
          <w:highlight w:val="none"/>
        </w:rPr>
        <w:t>）：</w:t>
      </w:r>
    </w:p>
    <w:p w14:paraId="246606C0">
      <w:pPr>
        <w:keepNext w:val="0"/>
        <w:keepLines w:val="0"/>
        <w:pageBreakBefore w:val="0"/>
        <w:widowControl w:val="0"/>
        <w:kinsoku/>
        <w:wordWrap/>
        <w:overflowPunct/>
        <w:topLinePunct w:val="0"/>
        <w:autoSpaceDE/>
        <w:autoSpaceDN/>
        <w:bidi w:val="0"/>
        <w:adjustRightInd/>
        <w:snapToGrid w:val="0"/>
        <w:spacing w:before="50" w:after="50" w:line="360" w:lineRule="auto"/>
        <w:ind w:left="2942" w:leftChars="0" w:right="-817" w:rightChars="-389" w:firstLine="420" w:firstLineChars="0"/>
        <w:jc w:val="both"/>
        <w:textAlignment w:val="auto"/>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color w:val="auto"/>
          <w:sz w:val="24"/>
          <w:szCs w:val="24"/>
          <w:highlight w:val="none"/>
        </w:rPr>
        <w:t>日期：</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年</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月</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日</w:t>
      </w:r>
    </w:p>
    <w:p w14:paraId="3708FFD4">
      <w:pPr>
        <w:jc w:val="both"/>
        <w:rPr>
          <w:rFonts w:hint="default" w:ascii="Times New Roman" w:hAnsi="Times New Roman" w:eastAsia="仿宋_GB2312" w:cs="Times New Roman"/>
          <w:sz w:val="24"/>
          <w:szCs w:val="24"/>
        </w:rPr>
      </w:pPr>
    </w:p>
    <w:p w14:paraId="13EFEB41">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14:paraId="0D1620A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default" w:ascii="Times New Roman" w:hAnsi="Times New Roman" w:eastAsia="仿宋_GB2312" w:cs="Times New Roman"/>
          <w:sz w:val="32"/>
          <w:szCs w:val="32"/>
          <w:lang w:val="en-US" w:eastAsia="zh-CN"/>
        </w:rPr>
      </w:pPr>
      <w:bookmarkStart w:id="14" w:name="_Toc23225"/>
      <w:bookmarkStart w:id="15" w:name="_Toc4244"/>
      <w:r>
        <w:rPr>
          <w:rFonts w:hint="default" w:ascii="Times New Roman" w:hAnsi="Times New Roman" w:eastAsia="仿宋_GB2312" w:cs="Times New Roman"/>
          <w:sz w:val="32"/>
          <w:szCs w:val="32"/>
          <w:lang w:val="en-US" w:eastAsia="zh-CN"/>
        </w:rPr>
        <w:t>附件3：无围标串标行为承诺函</w:t>
      </w:r>
      <w:bookmarkEnd w:id="14"/>
      <w:bookmarkEnd w:id="15"/>
    </w:p>
    <w:p w14:paraId="2BBA4B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z w:val="32"/>
          <w:szCs w:val="32"/>
          <w:lang w:val="en-US" w:eastAsia="zh-CN"/>
        </w:rPr>
      </w:pPr>
    </w:p>
    <w:p w14:paraId="6C32661D">
      <w:pPr>
        <w:snapToGrid w:val="0"/>
        <w:spacing w:before="50" w:after="120" w:afterLines="5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供应商参加本项目无围标串标行为的承诺函</w:t>
      </w:r>
    </w:p>
    <w:p w14:paraId="74B3C76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default" w:ascii="Times New Roman" w:hAnsi="Times New Roman" w:eastAsia="仿宋_GB2312" w:cs="Times New Roman"/>
          <w:szCs w:val="21"/>
        </w:rPr>
      </w:pPr>
    </w:p>
    <w:p w14:paraId="2FC31C7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一、我方承诺无下列相互串通</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标的情形：</w:t>
      </w:r>
    </w:p>
    <w:p w14:paraId="5751FB7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1.不同供应商的响应文件由同一单位或者个人编制；或者不同供应商报名的IP地址一致的；</w:t>
      </w:r>
    </w:p>
    <w:p w14:paraId="2536CCE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2.不同供应商委托同一单位或者个人办理</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标事宜；</w:t>
      </w:r>
    </w:p>
    <w:p w14:paraId="32EF90F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3.不同的供应商的响应文件载明的项目管理员为同一个人；</w:t>
      </w:r>
    </w:p>
    <w:p w14:paraId="7E36A98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4.不同供应商的响应文件异常一致或者</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标报价呈规律性差异；</w:t>
      </w:r>
    </w:p>
    <w:p w14:paraId="5C17C06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5.不同供应商的响应文件相互混装；</w:t>
      </w:r>
    </w:p>
    <w:p w14:paraId="1CC61FD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6.不同供应商的</w:t>
      </w:r>
      <w:r>
        <w:rPr>
          <w:rFonts w:hint="default" w:ascii="Times New Roman" w:hAnsi="Times New Roman" w:eastAsia="仿宋_GB2312" w:cs="Times New Roman"/>
          <w:sz w:val="24"/>
          <w:szCs w:val="24"/>
          <w:lang w:val="en-US" w:eastAsia="zh-CN"/>
        </w:rPr>
        <w:t>竞标</w:t>
      </w:r>
      <w:r>
        <w:rPr>
          <w:rFonts w:hint="default" w:ascii="Times New Roman" w:hAnsi="Times New Roman" w:eastAsia="仿宋_GB2312" w:cs="Times New Roman"/>
          <w:sz w:val="24"/>
          <w:szCs w:val="24"/>
        </w:rPr>
        <w:t>保证金从同一单位或者个人账户转出。</w:t>
      </w:r>
    </w:p>
    <w:p w14:paraId="4FE9C72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二、我方承诺无下列恶意串通的情形：</w:t>
      </w:r>
    </w:p>
    <w:p w14:paraId="3AA8A13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1.供应商直接或者间接从采购人处获得其他供应商的相关信息并修改其响应文件；</w:t>
      </w:r>
    </w:p>
    <w:p w14:paraId="6841C2E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2.供应商按照采购人的授意撤换、修改响应文件；</w:t>
      </w:r>
    </w:p>
    <w:p w14:paraId="1FEFFF9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3.供应商之间协商报价、技术方案等响应文件的实质性内容；</w:t>
      </w:r>
    </w:p>
    <w:p w14:paraId="7702990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4.属于同一集团、协会、商会等组织成员的供应商按照该组织要求协同参加政府采购活动；</w:t>
      </w:r>
    </w:p>
    <w:p w14:paraId="6A9701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5.供应商之间事先约定一致抬高或者压低</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标报价，或者在</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标项目中事先约定轮流以高价位或者低价位</w:t>
      </w:r>
      <w:r>
        <w:rPr>
          <w:rFonts w:hint="default" w:ascii="Times New Roman" w:hAnsi="Times New Roman" w:eastAsia="仿宋_GB2312" w:cs="Times New Roman"/>
          <w:sz w:val="24"/>
          <w:szCs w:val="24"/>
          <w:lang w:eastAsia="zh-CN"/>
        </w:rPr>
        <w:t>成交</w:t>
      </w:r>
      <w:r>
        <w:rPr>
          <w:rFonts w:hint="default" w:ascii="Times New Roman" w:hAnsi="Times New Roman" w:eastAsia="仿宋_GB2312" w:cs="Times New Roman"/>
          <w:sz w:val="24"/>
          <w:szCs w:val="24"/>
        </w:rPr>
        <w:t>，或者事先约定由某一特定供应商</w:t>
      </w:r>
      <w:r>
        <w:rPr>
          <w:rFonts w:hint="default" w:ascii="Times New Roman" w:hAnsi="Times New Roman" w:eastAsia="仿宋_GB2312" w:cs="Times New Roman"/>
          <w:sz w:val="24"/>
          <w:szCs w:val="24"/>
          <w:lang w:val="en-US" w:eastAsia="zh-CN"/>
        </w:rPr>
        <w:t>成交</w:t>
      </w:r>
      <w:r>
        <w:rPr>
          <w:rFonts w:hint="default" w:ascii="Times New Roman" w:hAnsi="Times New Roman" w:eastAsia="仿宋_GB2312" w:cs="Times New Roman"/>
          <w:sz w:val="24"/>
          <w:szCs w:val="24"/>
        </w:rPr>
        <w:t>，然后再参加</w:t>
      </w:r>
      <w:r>
        <w:rPr>
          <w:rFonts w:hint="default" w:ascii="Times New Roman" w:hAnsi="Times New Roman" w:eastAsia="仿宋_GB2312" w:cs="Times New Roman"/>
          <w:sz w:val="24"/>
          <w:szCs w:val="24"/>
          <w:lang w:val="en-US" w:eastAsia="zh-CN"/>
        </w:rPr>
        <w:t>竞</w:t>
      </w:r>
      <w:r>
        <w:rPr>
          <w:rFonts w:hint="default" w:ascii="Times New Roman" w:hAnsi="Times New Roman" w:eastAsia="仿宋_GB2312" w:cs="Times New Roman"/>
          <w:sz w:val="24"/>
          <w:szCs w:val="24"/>
        </w:rPr>
        <w:t>标；</w:t>
      </w:r>
    </w:p>
    <w:p w14:paraId="0EBEE5B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6.供应商之间商定部分供应商放弃参加政府采购活动或者放弃</w:t>
      </w:r>
      <w:r>
        <w:rPr>
          <w:rFonts w:hint="default" w:ascii="Times New Roman" w:hAnsi="Times New Roman" w:eastAsia="仿宋_GB2312" w:cs="Times New Roman"/>
          <w:sz w:val="24"/>
          <w:szCs w:val="24"/>
          <w:lang w:eastAsia="zh-CN"/>
        </w:rPr>
        <w:t>成交</w:t>
      </w:r>
      <w:r>
        <w:rPr>
          <w:rFonts w:hint="default" w:ascii="Times New Roman" w:hAnsi="Times New Roman" w:eastAsia="仿宋_GB2312" w:cs="Times New Roman"/>
          <w:sz w:val="24"/>
          <w:szCs w:val="24"/>
        </w:rPr>
        <w:t>；</w:t>
      </w:r>
    </w:p>
    <w:p w14:paraId="054F5AA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7.供应商与采购人之间、供应商相互之间，为谋求特定供应商</w:t>
      </w:r>
      <w:r>
        <w:rPr>
          <w:rFonts w:hint="default" w:ascii="Times New Roman" w:hAnsi="Times New Roman" w:eastAsia="仿宋_GB2312" w:cs="Times New Roman"/>
          <w:sz w:val="24"/>
          <w:szCs w:val="24"/>
          <w:lang w:eastAsia="zh-CN"/>
        </w:rPr>
        <w:t>成交</w:t>
      </w:r>
      <w:r>
        <w:rPr>
          <w:rFonts w:hint="default" w:ascii="Times New Roman" w:hAnsi="Times New Roman" w:eastAsia="仿宋_GB2312" w:cs="Times New Roman"/>
          <w:sz w:val="24"/>
          <w:szCs w:val="24"/>
        </w:rPr>
        <w:t>或者排斥其他供应商的其他串通行为。</w:t>
      </w:r>
    </w:p>
    <w:p w14:paraId="33A0CE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以上情形一经核查属实，我方愿意承担一切后果，并不再寻求任何旨在减轻或者免除法律责任的辩解。</w:t>
      </w:r>
    </w:p>
    <w:p w14:paraId="33CF7FE4">
      <w:pPr>
        <w:snapToGrid w:val="0"/>
        <w:spacing w:before="50" w:after="120" w:afterLines="5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供应商名称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盖</w:t>
      </w:r>
      <w:r>
        <w:rPr>
          <w:rFonts w:hint="default" w:ascii="Times New Roman" w:hAnsi="Times New Roman" w:eastAsia="仿宋_GB2312" w:cs="Times New Roman"/>
          <w:sz w:val="24"/>
          <w:szCs w:val="24"/>
        </w:rPr>
        <w:t>章</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w:t>
      </w:r>
    </w:p>
    <w:p w14:paraId="4D4C3231">
      <w:pPr>
        <w:snapToGrid w:val="0"/>
        <w:spacing w:before="50" w:after="120" w:afterLines="5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日期：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 xml:space="preserve"> 年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月   日</w:t>
      </w:r>
    </w:p>
    <w:p w14:paraId="3E009ADC">
      <w:pPr>
        <w:jc w:val="both"/>
        <w:rPr>
          <w:rFonts w:hint="default" w:ascii="Times New Roman" w:hAnsi="Times New Roman" w:eastAsia="仿宋_GB2312" w:cs="Times New Roman"/>
          <w:color w:val="auto"/>
          <w:sz w:val="24"/>
          <w:highlight w:val="none"/>
        </w:rPr>
      </w:pPr>
    </w:p>
    <w:sectPr>
      <w:footerReference r:id="rId6" w:type="default"/>
      <w:pgSz w:w="11906" w:h="16838"/>
      <w:pgMar w:top="2098" w:right="1474" w:bottom="1984" w:left="1588"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0CAEA5-2F7C-44F2-A7F2-875468ED19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2DE521EB-A7D9-4514-8ACB-FC70215FD903}"/>
  </w:font>
  <w:font w:name="仿宋_GB2312">
    <w:panose1 w:val="02010609030101010101"/>
    <w:charset w:val="86"/>
    <w:family w:val="modern"/>
    <w:pitch w:val="default"/>
    <w:sig w:usb0="00000001" w:usb1="080E0000" w:usb2="00000000" w:usb3="00000000" w:csb0="00040000" w:csb1="00000000"/>
    <w:embedRegular r:id="rId3" w:fontKey="{014610D7-FFEB-4E1E-AED7-232A193979B7}"/>
  </w:font>
  <w:font w:name="仿宋">
    <w:panose1 w:val="02010609060101010101"/>
    <w:charset w:val="86"/>
    <w:family w:val="modern"/>
    <w:pitch w:val="default"/>
    <w:sig w:usb0="800002BF" w:usb1="38CF7CFA" w:usb2="00000016" w:usb3="00000000" w:csb0="00040001" w:csb1="00000000"/>
    <w:embedRegular r:id="rId4" w:fontKey="{9C175084-3BAF-4170-BBA3-5B55811C01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366A5">
    <w:pPr>
      <w:pStyle w:val="13"/>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E704">
    <w:pPr>
      <w:pStyle w:val="13"/>
      <w:tabs>
        <w:tab w:val="center" w:pos="442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070C5">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9070C5">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YWEwMTE4ZmE4OTIzMjFiZWVlZmM4MGY2NjNkODQifQ=="/>
  </w:docVars>
  <w:rsids>
    <w:rsidRoot w:val="4842321E"/>
    <w:rsid w:val="00002B82"/>
    <w:rsid w:val="00003D36"/>
    <w:rsid w:val="000319FE"/>
    <w:rsid w:val="000320BC"/>
    <w:rsid w:val="0004565C"/>
    <w:rsid w:val="00050455"/>
    <w:rsid w:val="00080DB4"/>
    <w:rsid w:val="00081CD3"/>
    <w:rsid w:val="00084163"/>
    <w:rsid w:val="00094C3C"/>
    <w:rsid w:val="000960DA"/>
    <w:rsid w:val="000B0923"/>
    <w:rsid w:val="000B6D55"/>
    <w:rsid w:val="000B76CB"/>
    <w:rsid w:val="000C378D"/>
    <w:rsid w:val="000D106C"/>
    <w:rsid w:val="000D4534"/>
    <w:rsid w:val="000E5A59"/>
    <w:rsid w:val="000F77E2"/>
    <w:rsid w:val="00102546"/>
    <w:rsid w:val="0010752F"/>
    <w:rsid w:val="00131B98"/>
    <w:rsid w:val="00164F3A"/>
    <w:rsid w:val="00170458"/>
    <w:rsid w:val="0019447E"/>
    <w:rsid w:val="001C1D73"/>
    <w:rsid w:val="001D60B5"/>
    <w:rsid w:val="001D6316"/>
    <w:rsid w:val="001F3C2A"/>
    <w:rsid w:val="0020781E"/>
    <w:rsid w:val="00222259"/>
    <w:rsid w:val="00235F74"/>
    <w:rsid w:val="00247B65"/>
    <w:rsid w:val="00295EF3"/>
    <w:rsid w:val="002D1917"/>
    <w:rsid w:val="002D4FBC"/>
    <w:rsid w:val="00305CE7"/>
    <w:rsid w:val="00315873"/>
    <w:rsid w:val="00320C0B"/>
    <w:rsid w:val="00336C76"/>
    <w:rsid w:val="00357D71"/>
    <w:rsid w:val="00360812"/>
    <w:rsid w:val="00361D49"/>
    <w:rsid w:val="003811AB"/>
    <w:rsid w:val="00385F90"/>
    <w:rsid w:val="003A5B4B"/>
    <w:rsid w:val="003A7CFA"/>
    <w:rsid w:val="003C3CFD"/>
    <w:rsid w:val="003D11CA"/>
    <w:rsid w:val="003D275D"/>
    <w:rsid w:val="003E0164"/>
    <w:rsid w:val="003E1C44"/>
    <w:rsid w:val="003E2E74"/>
    <w:rsid w:val="004302BF"/>
    <w:rsid w:val="0044030B"/>
    <w:rsid w:val="00443007"/>
    <w:rsid w:val="00466C04"/>
    <w:rsid w:val="004C7179"/>
    <w:rsid w:val="004F3EAB"/>
    <w:rsid w:val="00541A26"/>
    <w:rsid w:val="0055439D"/>
    <w:rsid w:val="00557373"/>
    <w:rsid w:val="00561B45"/>
    <w:rsid w:val="005837D7"/>
    <w:rsid w:val="00592A4A"/>
    <w:rsid w:val="005B14BB"/>
    <w:rsid w:val="005C59B2"/>
    <w:rsid w:val="005D59A9"/>
    <w:rsid w:val="005E0C9A"/>
    <w:rsid w:val="005F560A"/>
    <w:rsid w:val="00620092"/>
    <w:rsid w:val="00626747"/>
    <w:rsid w:val="006317E8"/>
    <w:rsid w:val="00633F4F"/>
    <w:rsid w:val="0063723D"/>
    <w:rsid w:val="006477A9"/>
    <w:rsid w:val="00683DC6"/>
    <w:rsid w:val="00686EA0"/>
    <w:rsid w:val="006A7791"/>
    <w:rsid w:val="006B56B8"/>
    <w:rsid w:val="006D3E46"/>
    <w:rsid w:val="006D4AB2"/>
    <w:rsid w:val="006D5AAB"/>
    <w:rsid w:val="00725244"/>
    <w:rsid w:val="0072687E"/>
    <w:rsid w:val="00730E6F"/>
    <w:rsid w:val="00730E85"/>
    <w:rsid w:val="00753DB4"/>
    <w:rsid w:val="00755943"/>
    <w:rsid w:val="00756919"/>
    <w:rsid w:val="00775E36"/>
    <w:rsid w:val="00782636"/>
    <w:rsid w:val="007D1F64"/>
    <w:rsid w:val="007E7781"/>
    <w:rsid w:val="0080563F"/>
    <w:rsid w:val="00816BCE"/>
    <w:rsid w:val="0081797E"/>
    <w:rsid w:val="00825F8F"/>
    <w:rsid w:val="008459A6"/>
    <w:rsid w:val="00866AC1"/>
    <w:rsid w:val="00876866"/>
    <w:rsid w:val="008814BF"/>
    <w:rsid w:val="00884FA8"/>
    <w:rsid w:val="008901D3"/>
    <w:rsid w:val="00891AF9"/>
    <w:rsid w:val="00894169"/>
    <w:rsid w:val="008951F8"/>
    <w:rsid w:val="008B050B"/>
    <w:rsid w:val="008B7C17"/>
    <w:rsid w:val="008C19B4"/>
    <w:rsid w:val="008C50A2"/>
    <w:rsid w:val="008F1FFC"/>
    <w:rsid w:val="00900D49"/>
    <w:rsid w:val="00901804"/>
    <w:rsid w:val="00930629"/>
    <w:rsid w:val="00941CD4"/>
    <w:rsid w:val="00966533"/>
    <w:rsid w:val="0097695D"/>
    <w:rsid w:val="00977B14"/>
    <w:rsid w:val="00993709"/>
    <w:rsid w:val="009A5BCF"/>
    <w:rsid w:val="009D1B39"/>
    <w:rsid w:val="00A054D7"/>
    <w:rsid w:val="00A24B95"/>
    <w:rsid w:val="00A33173"/>
    <w:rsid w:val="00A4392A"/>
    <w:rsid w:val="00A44546"/>
    <w:rsid w:val="00A65E83"/>
    <w:rsid w:val="00A978F5"/>
    <w:rsid w:val="00AC242A"/>
    <w:rsid w:val="00AD23B8"/>
    <w:rsid w:val="00AF3C58"/>
    <w:rsid w:val="00B20D9C"/>
    <w:rsid w:val="00B5181C"/>
    <w:rsid w:val="00B854CB"/>
    <w:rsid w:val="00B92ED2"/>
    <w:rsid w:val="00B97E34"/>
    <w:rsid w:val="00BD06C6"/>
    <w:rsid w:val="00BE1F7D"/>
    <w:rsid w:val="00BE344B"/>
    <w:rsid w:val="00BE7B28"/>
    <w:rsid w:val="00C13CF3"/>
    <w:rsid w:val="00C20551"/>
    <w:rsid w:val="00C20562"/>
    <w:rsid w:val="00C44BDC"/>
    <w:rsid w:val="00C7061C"/>
    <w:rsid w:val="00C7130C"/>
    <w:rsid w:val="00C71CEA"/>
    <w:rsid w:val="00C94FEF"/>
    <w:rsid w:val="00C95BC2"/>
    <w:rsid w:val="00CB2CDC"/>
    <w:rsid w:val="00D01B38"/>
    <w:rsid w:val="00D035E1"/>
    <w:rsid w:val="00D116E2"/>
    <w:rsid w:val="00D52D51"/>
    <w:rsid w:val="00D550B3"/>
    <w:rsid w:val="00DA3864"/>
    <w:rsid w:val="00DC253F"/>
    <w:rsid w:val="00E0166D"/>
    <w:rsid w:val="00E15CEE"/>
    <w:rsid w:val="00E3068F"/>
    <w:rsid w:val="00E46989"/>
    <w:rsid w:val="00E50ECA"/>
    <w:rsid w:val="00E92458"/>
    <w:rsid w:val="00ED118B"/>
    <w:rsid w:val="00EF0161"/>
    <w:rsid w:val="00EF07CF"/>
    <w:rsid w:val="00EF531B"/>
    <w:rsid w:val="00F06CEF"/>
    <w:rsid w:val="00F12373"/>
    <w:rsid w:val="00F31827"/>
    <w:rsid w:val="00F531BD"/>
    <w:rsid w:val="00F53621"/>
    <w:rsid w:val="00F63371"/>
    <w:rsid w:val="00F63BA1"/>
    <w:rsid w:val="00F64E89"/>
    <w:rsid w:val="00F7083D"/>
    <w:rsid w:val="00F9178B"/>
    <w:rsid w:val="00FC765C"/>
    <w:rsid w:val="018207C5"/>
    <w:rsid w:val="01883901"/>
    <w:rsid w:val="01AE3E2E"/>
    <w:rsid w:val="01B10E90"/>
    <w:rsid w:val="01B110AA"/>
    <w:rsid w:val="01B8793A"/>
    <w:rsid w:val="01BB14C9"/>
    <w:rsid w:val="01E2091D"/>
    <w:rsid w:val="01F01803"/>
    <w:rsid w:val="020E2058"/>
    <w:rsid w:val="023754C7"/>
    <w:rsid w:val="02582656"/>
    <w:rsid w:val="02743824"/>
    <w:rsid w:val="0297204E"/>
    <w:rsid w:val="02D0730E"/>
    <w:rsid w:val="03345AEF"/>
    <w:rsid w:val="03503B2F"/>
    <w:rsid w:val="03A025F2"/>
    <w:rsid w:val="03AC38D7"/>
    <w:rsid w:val="03CD5B84"/>
    <w:rsid w:val="03CD68A7"/>
    <w:rsid w:val="0419517A"/>
    <w:rsid w:val="042B2897"/>
    <w:rsid w:val="04322036"/>
    <w:rsid w:val="047121E0"/>
    <w:rsid w:val="04BB7970"/>
    <w:rsid w:val="05033049"/>
    <w:rsid w:val="050D65F7"/>
    <w:rsid w:val="05137EF8"/>
    <w:rsid w:val="051F100F"/>
    <w:rsid w:val="054D733B"/>
    <w:rsid w:val="055661F0"/>
    <w:rsid w:val="057E3888"/>
    <w:rsid w:val="05854693"/>
    <w:rsid w:val="05A4108E"/>
    <w:rsid w:val="05AF1F5A"/>
    <w:rsid w:val="060E1B42"/>
    <w:rsid w:val="066B4833"/>
    <w:rsid w:val="069468A4"/>
    <w:rsid w:val="0694697B"/>
    <w:rsid w:val="06FD090F"/>
    <w:rsid w:val="07091040"/>
    <w:rsid w:val="07126147"/>
    <w:rsid w:val="072127A5"/>
    <w:rsid w:val="07465DF0"/>
    <w:rsid w:val="0760312E"/>
    <w:rsid w:val="07904FD7"/>
    <w:rsid w:val="079C6722"/>
    <w:rsid w:val="07CF228A"/>
    <w:rsid w:val="07D71075"/>
    <w:rsid w:val="07DE245C"/>
    <w:rsid w:val="07DF2EFF"/>
    <w:rsid w:val="07EC66DC"/>
    <w:rsid w:val="080A78AC"/>
    <w:rsid w:val="080E0C5C"/>
    <w:rsid w:val="081245BB"/>
    <w:rsid w:val="084F4F97"/>
    <w:rsid w:val="08747B85"/>
    <w:rsid w:val="0883402C"/>
    <w:rsid w:val="088C017B"/>
    <w:rsid w:val="09234D8A"/>
    <w:rsid w:val="09246226"/>
    <w:rsid w:val="0929192A"/>
    <w:rsid w:val="0938499B"/>
    <w:rsid w:val="094A70CA"/>
    <w:rsid w:val="097B2A69"/>
    <w:rsid w:val="097C04AF"/>
    <w:rsid w:val="0995305F"/>
    <w:rsid w:val="09C921E2"/>
    <w:rsid w:val="09F61F49"/>
    <w:rsid w:val="0A137DA3"/>
    <w:rsid w:val="0A2A6CA9"/>
    <w:rsid w:val="0A49667D"/>
    <w:rsid w:val="0A580FA7"/>
    <w:rsid w:val="0A805ABD"/>
    <w:rsid w:val="0A8235E3"/>
    <w:rsid w:val="0AB1120B"/>
    <w:rsid w:val="0B421CFA"/>
    <w:rsid w:val="0B6E1DBA"/>
    <w:rsid w:val="0B73117E"/>
    <w:rsid w:val="0B7D5782"/>
    <w:rsid w:val="0B9375CE"/>
    <w:rsid w:val="0BA12D80"/>
    <w:rsid w:val="0BB4180A"/>
    <w:rsid w:val="0BF81BC9"/>
    <w:rsid w:val="0C0C47D6"/>
    <w:rsid w:val="0C184D0B"/>
    <w:rsid w:val="0C3D7D20"/>
    <w:rsid w:val="0C497DF0"/>
    <w:rsid w:val="0C6531BD"/>
    <w:rsid w:val="0C802428"/>
    <w:rsid w:val="0C915179"/>
    <w:rsid w:val="0CB451D3"/>
    <w:rsid w:val="0CEB0443"/>
    <w:rsid w:val="0D002EE5"/>
    <w:rsid w:val="0D062A3C"/>
    <w:rsid w:val="0D0E3BFD"/>
    <w:rsid w:val="0E176291"/>
    <w:rsid w:val="0E8356DE"/>
    <w:rsid w:val="0EA91E00"/>
    <w:rsid w:val="0F164FE6"/>
    <w:rsid w:val="0F2F7C4B"/>
    <w:rsid w:val="0F3D21CF"/>
    <w:rsid w:val="0F6C5E1D"/>
    <w:rsid w:val="0F9C5147"/>
    <w:rsid w:val="0FCD3553"/>
    <w:rsid w:val="0FFE0154"/>
    <w:rsid w:val="103C2738"/>
    <w:rsid w:val="104109F1"/>
    <w:rsid w:val="106354FC"/>
    <w:rsid w:val="106D17D3"/>
    <w:rsid w:val="109466F5"/>
    <w:rsid w:val="10CC380A"/>
    <w:rsid w:val="10ED1EFF"/>
    <w:rsid w:val="10EE74A4"/>
    <w:rsid w:val="10FC5772"/>
    <w:rsid w:val="110537D2"/>
    <w:rsid w:val="111550ED"/>
    <w:rsid w:val="11301FEB"/>
    <w:rsid w:val="117439BB"/>
    <w:rsid w:val="1184238E"/>
    <w:rsid w:val="118E0AC0"/>
    <w:rsid w:val="11B06C88"/>
    <w:rsid w:val="11C235F9"/>
    <w:rsid w:val="11EC3989"/>
    <w:rsid w:val="12011292"/>
    <w:rsid w:val="122B4561"/>
    <w:rsid w:val="12370063"/>
    <w:rsid w:val="12503FC7"/>
    <w:rsid w:val="12527D3F"/>
    <w:rsid w:val="127055BE"/>
    <w:rsid w:val="12852B26"/>
    <w:rsid w:val="12DE5B33"/>
    <w:rsid w:val="12F82EE7"/>
    <w:rsid w:val="132E59EB"/>
    <w:rsid w:val="13415560"/>
    <w:rsid w:val="13651CF4"/>
    <w:rsid w:val="136B79DB"/>
    <w:rsid w:val="13731426"/>
    <w:rsid w:val="13835DB8"/>
    <w:rsid w:val="13C01585"/>
    <w:rsid w:val="13D80718"/>
    <w:rsid w:val="13E95774"/>
    <w:rsid w:val="13ED4A6C"/>
    <w:rsid w:val="142A662C"/>
    <w:rsid w:val="143F5EA0"/>
    <w:rsid w:val="1472623B"/>
    <w:rsid w:val="14A0359C"/>
    <w:rsid w:val="14AC7E19"/>
    <w:rsid w:val="14B7657F"/>
    <w:rsid w:val="14C75FAD"/>
    <w:rsid w:val="14CA0061"/>
    <w:rsid w:val="14EC447B"/>
    <w:rsid w:val="14FC21E4"/>
    <w:rsid w:val="15023C9F"/>
    <w:rsid w:val="151632A6"/>
    <w:rsid w:val="15537304"/>
    <w:rsid w:val="15542020"/>
    <w:rsid w:val="156C736A"/>
    <w:rsid w:val="15811882"/>
    <w:rsid w:val="15AE34DE"/>
    <w:rsid w:val="15CD54C7"/>
    <w:rsid w:val="160017DE"/>
    <w:rsid w:val="16247228"/>
    <w:rsid w:val="16815C4D"/>
    <w:rsid w:val="17296D27"/>
    <w:rsid w:val="172D2B29"/>
    <w:rsid w:val="174F6F43"/>
    <w:rsid w:val="1773391C"/>
    <w:rsid w:val="17807E6D"/>
    <w:rsid w:val="17A5161D"/>
    <w:rsid w:val="17B51DCF"/>
    <w:rsid w:val="17DF4AC8"/>
    <w:rsid w:val="18714C97"/>
    <w:rsid w:val="18DA0A8E"/>
    <w:rsid w:val="191230C8"/>
    <w:rsid w:val="191B47DE"/>
    <w:rsid w:val="194608FB"/>
    <w:rsid w:val="19531A30"/>
    <w:rsid w:val="19B7430E"/>
    <w:rsid w:val="19F677A5"/>
    <w:rsid w:val="1A576082"/>
    <w:rsid w:val="1A6175CC"/>
    <w:rsid w:val="1A69031C"/>
    <w:rsid w:val="1A7876FB"/>
    <w:rsid w:val="1A7B3004"/>
    <w:rsid w:val="1A8F3928"/>
    <w:rsid w:val="1A9058A9"/>
    <w:rsid w:val="1A9A6251"/>
    <w:rsid w:val="1A9D6217"/>
    <w:rsid w:val="1AA72BF2"/>
    <w:rsid w:val="1AC1786A"/>
    <w:rsid w:val="1B0429AA"/>
    <w:rsid w:val="1B071E00"/>
    <w:rsid w:val="1B100C11"/>
    <w:rsid w:val="1B1C6BDA"/>
    <w:rsid w:val="1B99208C"/>
    <w:rsid w:val="1BCB4041"/>
    <w:rsid w:val="1C146065"/>
    <w:rsid w:val="1C4C4F36"/>
    <w:rsid w:val="1C5F3692"/>
    <w:rsid w:val="1C8A3F10"/>
    <w:rsid w:val="1D2251D7"/>
    <w:rsid w:val="1D266454"/>
    <w:rsid w:val="1D351586"/>
    <w:rsid w:val="1D416A6B"/>
    <w:rsid w:val="1DC92238"/>
    <w:rsid w:val="1DED5754"/>
    <w:rsid w:val="1E3D18A3"/>
    <w:rsid w:val="1E4C5F8A"/>
    <w:rsid w:val="1E6E4153"/>
    <w:rsid w:val="1EEB7551"/>
    <w:rsid w:val="1EF87ECE"/>
    <w:rsid w:val="1F185E6D"/>
    <w:rsid w:val="1F237179"/>
    <w:rsid w:val="1F345BBF"/>
    <w:rsid w:val="1F374207"/>
    <w:rsid w:val="1F6410B2"/>
    <w:rsid w:val="1F6F7D4A"/>
    <w:rsid w:val="1F9B6256"/>
    <w:rsid w:val="1FBF453A"/>
    <w:rsid w:val="1FC11BBB"/>
    <w:rsid w:val="1FED554B"/>
    <w:rsid w:val="201B2522"/>
    <w:rsid w:val="205541E0"/>
    <w:rsid w:val="20656AEC"/>
    <w:rsid w:val="206C2341"/>
    <w:rsid w:val="20E92FDE"/>
    <w:rsid w:val="20F0255A"/>
    <w:rsid w:val="213F7D4F"/>
    <w:rsid w:val="2152696C"/>
    <w:rsid w:val="216A585C"/>
    <w:rsid w:val="217E2E45"/>
    <w:rsid w:val="21D7200F"/>
    <w:rsid w:val="21EC56D6"/>
    <w:rsid w:val="22682C67"/>
    <w:rsid w:val="228C2DF9"/>
    <w:rsid w:val="22DA7292"/>
    <w:rsid w:val="22E744D4"/>
    <w:rsid w:val="22ED0263"/>
    <w:rsid w:val="230C3F3A"/>
    <w:rsid w:val="23294AEC"/>
    <w:rsid w:val="232F365D"/>
    <w:rsid w:val="233B1D39"/>
    <w:rsid w:val="239009F3"/>
    <w:rsid w:val="24005451"/>
    <w:rsid w:val="2402754C"/>
    <w:rsid w:val="241412F8"/>
    <w:rsid w:val="24421CB3"/>
    <w:rsid w:val="246179B9"/>
    <w:rsid w:val="24977C2F"/>
    <w:rsid w:val="252314D2"/>
    <w:rsid w:val="253F0B12"/>
    <w:rsid w:val="254302D9"/>
    <w:rsid w:val="25551FFC"/>
    <w:rsid w:val="25A0096A"/>
    <w:rsid w:val="25CD4216"/>
    <w:rsid w:val="25D33F3B"/>
    <w:rsid w:val="25DB78DE"/>
    <w:rsid w:val="25F62593"/>
    <w:rsid w:val="263F63D5"/>
    <w:rsid w:val="264B2FCC"/>
    <w:rsid w:val="264C5A5E"/>
    <w:rsid w:val="266122C8"/>
    <w:rsid w:val="26BB5D6E"/>
    <w:rsid w:val="26F434D5"/>
    <w:rsid w:val="271433BD"/>
    <w:rsid w:val="273B3040"/>
    <w:rsid w:val="275B0FEC"/>
    <w:rsid w:val="278A0C53"/>
    <w:rsid w:val="27DC05AC"/>
    <w:rsid w:val="27FD31A7"/>
    <w:rsid w:val="28422604"/>
    <w:rsid w:val="28441CEF"/>
    <w:rsid w:val="28615A5E"/>
    <w:rsid w:val="28D56B7C"/>
    <w:rsid w:val="28D61932"/>
    <w:rsid w:val="29071D43"/>
    <w:rsid w:val="29313C6C"/>
    <w:rsid w:val="2964687E"/>
    <w:rsid w:val="296748E0"/>
    <w:rsid w:val="296A37EA"/>
    <w:rsid w:val="296E7531"/>
    <w:rsid w:val="29806A05"/>
    <w:rsid w:val="29E410BF"/>
    <w:rsid w:val="2A6603D4"/>
    <w:rsid w:val="2A695D49"/>
    <w:rsid w:val="2A726D79"/>
    <w:rsid w:val="2AA84549"/>
    <w:rsid w:val="2AB770D7"/>
    <w:rsid w:val="2AC64967"/>
    <w:rsid w:val="2AD37AD3"/>
    <w:rsid w:val="2AF91248"/>
    <w:rsid w:val="2B22254D"/>
    <w:rsid w:val="2B2623C8"/>
    <w:rsid w:val="2B4B5D61"/>
    <w:rsid w:val="2B512E32"/>
    <w:rsid w:val="2B85488A"/>
    <w:rsid w:val="2B927FEA"/>
    <w:rsid w:val="2BC058C2"/>
    <w:rsid w:val="2BC7234C"/>
    <w:rsid w:val="2C0010B8"/>
    <w:rsid w:val="2C394249"/>
    <w:rsid w:val="2C4D1A3C"/>
    <w:rsid w:val="2C646681"/>
    <w:rsid w:val="2C70332B"/>
    <w:rsid w:val="2C731138"/>
    <w:rsid w:val="2C7B6101"/>
    <w:rsid w:val="2C845337"/>
    <w:rsid w:val="2C886BE0"/>
    <w:rsid w:val="2CA3146B"/>
    <w:rsid w:val="2CDB4092"/>
    <w:rsid w:val="2CF41434"/>
    <w:rsid w:val="2D2579D8"/>
    <w:rsid w:val="2D744BB6"/>
    <w:rsid w:val="2D77569E"/>
    <w:rsid w:val="2D7E489C"/>
    <w:rsid w:val="2DB61663"/>
    <w:rsid w:val="2DE47F8D"/>
    <w:rsid w:val="2E110657"/>
    <w:rsid w:val="2E2C5F43"/>
    <w:rsid w:val="2E331512"/>
    <w:rsid w:val="2E4D203A"/>
    <w:rsid w:val="2E5B7B24"/>
    <w:rsid w:val="2E607FB5"/>
    <w:rsid w:val="2E816075"/>
    <w:rsid w:val="2F330C1E"/>
    <w:rsid w:val="2F387523"/>
    <w:rsid w:val="2F511CE2"/>
    <w:rsid w:val="2F5E167A"/>
    <w:rsid w:val="2F77273B"/>
    <w:rsid w:val="2F94108C"/>
    <w:rsid w:val="2FAD43AF"/>
    <w:rsid w:val="2FF85DA6"/>
    <w:rsid w:val="2FF96D68"/>
    <w:rsid w:val="301F0CB3"/>
    <w:rsid w:val="30423A22"/>
    <w:rsid w:val="308D6C59"/>
    <w:rsid w:val="309A6DBC"/>
    <w:rsid w:val="309B0AC2"/>
    <w:rsid w:val="30B3714D"/>
    <w:rsid w:val="30DA11D4"/>
    <w:rsid w:val="317E69A8"/>
    <w:rsid w:val="3183101B"/>
    <w:rsid w:val="31920534"/>
    <w:rsid w:val="3195334D"/>
    <w:rsid w:val="31BB7F0B"/>
    <w:rsid w:val="31BF7613"/>
    <w:rsid w:val="31DD34E1"/>
    <w:rsid w:val="31F4050F"/>
    <w:rsid w:val="32790CE2"/>
    <w:rsid w:val="32C1089D"/>
    <w:rsid w:val="32C60625"/>
    <w:rsid w:val="32CB34CA"/>
    <w:rsid w:val="32E717F7"/>
    <w:rsid w:val="32EE265E"/>
    <w:rsid w:val="331B7990"/>
    <w:rsid w:val="333026B8"/>
    <w:rsid w:val="33AF6948"/>
    <w:rsid w:val="33DE722D"/>
    <w:rsid w:val="33DE77D3"/>
    <w:rsid w:val="340135DC"/>
    <w:rsid w:val="341823D3"/>
    <w:rsid w:val="343B3CD7"/>
    <w:rsid w:val="344B020D"/>
    <w:rsid w:val="34806536"/>
    <w:rsid w:val="349E2F7E"/>
    <w:rsid w:val="34CC52D7"/>
    <w:rsid w:val="34CE57C4"/>
    <w:rsid w:val="34E15227"/>
    <w:rsid w:val="350554CF"/>
    <w:rsid w:val="35265625"/>
    <w:rsid w:val="35380BBF"/>
    <w:rsid w:val="35535D37"/>
    <w:rsid w:val="357A4D33"/>
    <w:rsid w:val="35A81DCB"/>
    <w:rsid w:val="35DC0D3B"/>
    <w:rsid w:val="35E054DE"/>
    <w:rsid w:val="3627310D"/>
    <w:rsid w:val="36663A75"/>
    <w:rsid w:val="366B331A"/>
    <w:rsid w:val="367479D5"/>
    <w:rsid w:val="369E0EF6"/>
    <w:rsid w:val="37020B82"/>
    <w:rsid w:val="37290ED0"/>
    <w:rsid w:val="374D5F17"/>
    <w:rsid w:val="37895702"/>
    <w:rsid w:val="37A43C3F"/>
    <w:rsid w:val="37C6213B"/>
    <w:rsid w:val="37D548FB"/>
    <w:rsid w:val="38052277"/>
    <w:rsid w:val="38155F64"/>
    <w:rsid w:val="38413CC7"/>
    <w:rsid w:val="38521F98"/>
    <w:rsid w:val="38523D46"/>
    <w:rsid w:val="38787C50"/>
    <w:rsid w:val="38C56589"/>
    <w:rsid w:val="397F11FB"/>
    <w:rsid w:val="39A30504"/>
    <w:rsid w:val="39B24DB4"/>
    <w:rsid w:val="39BD0B31"/>
    <w:rsid w:val="39FC040D"/>
    <w:rsid w:val="39FE4185"/>
    <w:rsid w:val="3A325479"/>
    <w:rsid w:val="3A606ED9"/>
    <w:rsid w:val="3A6F0C0B"/>
    <w:rsid w:val="3A773F37"/>
    <w:rsid w:val="3A815468"/>
    <w:rsid w:val="3A894ACD"/>
    <w:rsid w:val="3AF84809"/>
    <w:rsid w:val="3B00140F"/>
    <w:rsid w:val="3B3B1569"/>
    <w:rsid w:val="3B7F4E52"/>
    <w:rsid w:val="3B874950"/>
    <w:rsid w:val="3BCA4233"/>
    <w:rsid w:val="3BEB13FE"/>
    <w:rsid w:val="3C016BB8"/>
    <w:rsid w:val="3C104AE7"/>
    <w:rsid w:val="3C265C15"/>
    <w:rsid w:val="3C4F4F72"/>
    <w:rsid w:val="3CC648DB"/>
    <w:rsid w:val="3CFB6F01"/>
    <w:rsid w:val="3D3305EA"/>
    <w:rsid w:val="3D4A3C13"/>
    <w:rsid w:val="3D8C5F4C"/>
    <w:rsid w:val="3DB152CD"/>
    <w:rsid w:val="3DB61CB9"/>
    <w:rsid w:val="3DF34633"/>
    <w:rsid w:val="3DFD29A6"/>
    <w:rsid w:val="3E0E52A2"/>
    <w:rsid w:val="3E1321D0"/>
    <w:rsid w:val="3E290DDA"/>
    <w:rsid w:val="3E2E2B5F"/>
    <w:rsid w:val="3E5D5797"/>
    <w:rsid w:val="3E776821"/>
    <w:rsid w:val="3EB326ED"/>
    <w:rsid w:val="3EF44BA8"/>
    <w:rsid w:val="3F0C0B8A"/>
    <w:rsid w:val="3F3F333C"/>
    <w:rsid w:val="3F406FEE"/>
    <w:rsid w:val="3F5A4210"/>
    <w:rsid w:val="3F762A0F"/>
    <w:rsid w:val="3F8B2E06"/>
    <w:rsid w:val="3FC165F6"/>
    <w:rsid w:val="3FC840B3"/>
    <w:rsid w:val="3FCE560E"/>
    <w:rsid w:val="3FF46083"/>
    <w:rsid w:val="40186C21"/>
    <w:rsid w:val="403862CA"/>
    <w:rsid w:val="406D1E7C"/>
    <w:rsid w:val="4089002C"/>
    <w:rsid w:val="40A92971"/>
    <w:rsid w:val="40AE5843"/>
    <w:rsid w:val="40BA6883"/>
    <w:rsid w:val="40D35433"/>
    <w:rsid w:val="40DF6392"/>
    <w:rsid w:val="416E1DE3"/>
    <w:rsid w:val="41902978"/>
    <w:rsid w:val="423B584A"/>
    <w:rsid w:val="42442951"/>
    <w:rsid w:val="42622E5C"/>
    <w:rsid w:val="42B11027"/>
    <w:rsid w:val="42D44852"/>
    <w:rsid w:val="42E87C58"/>
    <w:rsid w:val="42EE0043"/>
    <w:rsid w:val="4314528D"/>
    <w:rsid w:val="43244B72"/>
    <w:rsid w:val="43912211"/>
    <w:rsid w:val="43DB12F9"/>
    <w:rsid w:val="43F414D3"/>
    <w:rsid w:val="43FB78C1"/>
    <w:rsid w:val="44004F9E"/>
    <w:rsid w:val="441E279A"/>
    <w:rsid w:val="445E2CA4"/>
    <w:rsid w:val="445F1B41"/>
    <w:rsid w:val="44BA514C"/>
    <w:rsid w:val="44D02BC2"/>
    <w:rsid w:val="44F01DE7"/>
    <w:rsid w:val="44FF7003"/>
    <w:rsid w:val="45372C41"/>
    <w:rsid w:val="456711F3"/>
    <w:rsid w:val="45CE019B"/>
    <w:rsid w:val="45CE04E0"/>
    <w:rsid w:val="4614088C"/>
    <w:rsid w:val="461E25B0"/>
    <w:rsid w:val="462E1484"/>
    <w:rsid w:val="463B7C5D"/>
    <w:rsid w:val="468147CF"/>
    <w:rsid w:val="469338E5"/>
    <w:rsid w:val="46977170"/>
    <w:rsid w:val="46A47E62"/>
    <w:rsid w:val="46B04A59"/>
    <w:rsid w:val="470B7B0C"/>
    <w:rsid w:val="473D70BD"/>
    <w:rsid w:val="475E6263"/>
    <w:rsid w:val="47784949"/>
    <w:rsid w:val="47854741"/>
    <w:rsid w:val="478D38B6"/>
    <w:rsid w:val="478F5BBF"/>
    <w:rsid w:val="47D12ED9"/>
    <w:rsid w:val="48164A17"/>
    <w:rsid w:val="48335942"/>
    <w:rsid w:val="4842321E"/>
    <w:rsid w:val="485A1120"/>
    <w:rsid w:val="485B2F9A"/>
    <w:rsid w:val="486F26F2"/>
    <w:rsid w:val="48D6451F"/>
    <w:rsid w:val="48F71FEF"/>
    <w:rsid w:val="490F76E6"/>
    <w:rsid w:val="494861C4"/>
    <w:rsid w:val="49520049"/>
    <w:rsid w:val="495C76EC"/>
    <w:rsid w:val="495E079C"/>
    <w:rsid w:val="49603A34"/>
    <w:rsid w:val="49611768"/>
    <w:rsid w:val="49667475"/>
    <w:rsid w:val="497221F3"/>
    <w:rsid w:val="497C50C6"/>
    <w:rsid w:val="498B1FE2"/>
    <w:rsid w:val="49935F6C"/>
    <w:rsid w:val="499F5FF1"/>
    <w:rsid w:val="49AE764E"/>
    <w:rsid w:val="49B951EA"/>
    <w:rsid w:val="49D235B3"/>
    <w:rsid w:val="49D240AF"/>
    <w:rsid w:val="4A217144"/>
    <w:rsid w:val="4A3638B6"/>
    <w:rsid w:val="4A3A0A47"/>
    <w:rsid w:val="4AA3361B"/>
    <w:rsid w:val="4AAB2722"/>
    <w:rsid w:val="4AAD2B5B"/>
    <w:rsid w:val="4AC2736B"/>
    <w:rsid w:val="4AC40AD3"/>
    <w:rsid w:val="4B6A2DFE"/>
    <w:rsid w:val="4B81329E"/>
    <w:rsid w:val="4BA15B30"/>
    <w:rsid w:val="4BB6166F"/>
    <w:rsid w:val="4BF0487F"/>
    <w:rsid w:val="4C272ABE"/>
    <w:rsid w:val="4C310596"/>
    <w:rsid w:val="4C316B4B"/>
    <w:rsid w:val="4C8757D4"/>
    <w:rsid w:val="4D116D76"/>
    <w:rsid w:val="4D1E7C86"/>
    <w:rsid w:val="4D2145E1"/>
    <w:rsid w:val="4D6E2F78"/>
    <w:rsid w:val="4D9F6B46"/>
    <w:rsid w:val="4DA44BEC"/>
    <w:rsid w:val="4DA92202"/>
    <w:rsid w:val="4DBE4C88"/>
    <w:rsid w:val="4DE03FA4"/>
    <w:rsid w:val="4DF112C3"/>
    <w:rsid w:val="4E004962"/>
    <w:rsid w:val="4E004DF1"/>
    <w:rsid w:val="4E1165BA"/>
    <w:rsid w:val="4E8F13F8"/>
    <w:rsid w:val="4ED230A2"/>
    <w:rsid w:val="4EDB63EB"/>
    <w:rsid w:val="4F080100"/>
    <w:rsid w:val="4F167659"/>
    <w:rsid w:val="4F99271D"/>
    <w:rsid w:val="4FA146E2"/>
    <w:rsid w:val="4FC11A85"/>
    <w:rsid w:val="4FC6709B"/>
    <w:rsid w:val="500C05BB"/>
    <w:rsid w:val="500E27F0"/>
    <w:rsid w:val="502D5F1A"/>
    <w:rsid w:val="504557C4"/>
    <w:rsid w:val="504D50C7"/>
    <w:rsid w:val="506B16A2"/>
    <w:rsid w:val="507C775A"/>
    <w:rsid w:val="50A672F7"/>
    <w:rsid w:val="50C524A2"/>
    <w:rsid w:val="51761E72"/>
    <w:rsid w:val="5176239B"/>
    <w:rsid w:val="51A5275E"/>
    <w:rsid w:val="51AC406F"/>
    <w:rsid w:val="51ED3AED"/>
    <w:rsid w:val="51FE269D"/>
    <w:rsid w:val="521A1920"/>
    <w:rsid w:val="521C02F9"/>
    <w:rsid w:val="522D3402"/>
    <w:rsid w:val="524266D4"/>
    <w:rsid w:val="524547A9"/>
    <w:rsid w:val="52601BF3"/>
    <w:rsid w:val="527C7EE5"/>
    <w:rsid w:val="528254FE"/>
    <w:rsid w:val="52A7138E"/>
    <w:rsid w:val="52AB4326"/>
    <w:rsid w:val="52FB2297"/>
    <w:rsid w:val="531620E8"/>
    <w:rsid w:val="533407C0"/>
    <w:rsid w:val="535E49CF"/>
    <w:rsid w:val="53901E9A"/>
    <w:rsid w:val="539B25ED"/>
    <w:rsid w:val="53B76A5D"/>
    <w:rsid w:val="53C32BA4"/>
    <w:rsid w:val="53C33A31"/>
    <w:rsid w:val="5429409D"/>
    <w:rsid w:val="544374C2"/>
    <w:rsid w:val="545253A1"/>
    <w:rsid w:val="549053A9"/>
    <w:rsid w:val="54AB3B10"/>
    <w:rsid w:val="55716130"/>
    <w:rsid w:val="55D336EB"/>
    <w:rsid w:val="55FF0B5D"/>
    <w:rsid w:val="56552EF1"/>
    <w:rsid w:val="565F5B54"/>
    <w:rsid w:val="567E0FA0"/>
    <w:rsid w:val="56B0323A"/>
    <w:rsid w:val="56D54068"/>
    <w:rsid w:val="56F8775C"/>
    <w:rsid w:val="57004872"/>
    <w:rsid w:val="573A75A8"/>
    <w:rsid w:val="57527466"/>
    <w:rsid w:val="575B456D"/>
    <w:rsid w:val="58164938"/>
    <w:rsid w:val="58202087"/>
    <w:rsid w:val="58637354"/>
    <w:rsid w:val="587C0588"/>
    <w:rsid w:val="589D5B99"/>
    <w:rsid w:val="58AB3744"/>
    <w:rsid w:val="58C0256E"/>
    <w:rsid w:val="58F05189"/>
    <w:rsid w:val="58F5279F"/>
    <w:rsid w:val="59074536"/>
    <w:rsid w:val="591C1821"/>
    <w:rsid w:val="593A6034"/>
    <w:rsid w:val="595E20F3"/>
    <w:rsid w:val="597A21FF"/>
    <w:rsid w:val="59E808B2"/>
    <w:rsid w:val="5A230187"/>
    <w:rsid w:val="5A2F08D3"/>
    <w:rsid w:val="5A3E3CD2"/>
    <w:rsid w:val="5A517EA9"/>
    <w:rsid w:val="5A762750"/>
    <w:rsid w:val="5A963B0E"/>
    <w:rsid w:val="5AB65AD5"/>
    <w:rsid w:val="5AC60B49"/>
    <w:rsid w:val="5B0975FE"/>
    <w:rsid w:val="5B1C04B7"/>
    <w:rsid w:val="5B353327"/>
    <w:rsid w:val="5B6D2E51"/>
    <w:rsid w:val="5B8A46DC"/>
    <w:rsid w:val="5BA23038"/>
    <w:rsid w:val="5BE15701"/>
    <w:rsid w:val="5C2B6801"/>
    <w:rsid w:val="5C3A6E47"/>
    <w:rsid w:val="5C533A65"/>
    <w:rsid w:val="5C7A62FF"/>
    <w:rsid w:val="5C8E0F41"/>
    <w:rsid w:val="5C990788"/>
    <w:rsid w:val="5CC46711"/>
    <w:rsid w:val="5D096819"/>
    <w:rsid w:val="5D1F428F"/>
    <w:rsid w:val="5D755C5D"/>
    <w:rsid w:val="5D901114"/>
    <w:rsid w:val="5E265C84"/>
    <w:rsid w:val="5E272791"/>
    <w:rsid w:val="5E5E7634"/>
    <w:rsid w:val="5E9076C8"/>
    <w:rsid w:val="5EA556B7"/>
    <w:rsid w:val="5EB033F0"/>
    <w:rsid w:val="5EB5737E"/>
    <w:rsid w:val="5F072393"/>
    <w:rsid w:val="5F3F5B3D"/>
    <w:rsid w:val="5F555A6F"/>
    <w:rsid w:val="5F8147D6"/>
    <w:rsid w:val="5FAF1783"/>
    <w:rsid w:val="5FC0498B"/>
    <w:rsid w:val="5FE707B8"/>
    <w:rsid w:val="5FF41BF7"/>
    <w:rsid w:val="60012D9F"/>
    <w:rsid w:val="6022031E"/>
    <w:rsid w:val="6058433C"/>
    <w:rsid w:val="606E390F"/>
    <w:rsid w:val="60784F9D"/>
    <w:rsid w:val="60C018E5"/>
    <w:rsid w:val="60D672B7"/>
    <w:rsid w:val="61110C5D"/>
    <w:rsid w:val="61471BB1"/>
    <w:rsid w:val="615F53D6"/>
    <w:rsid w:val="61E55557"/>
    <w:rsid w:val="623460E6"/>
    <w:rsid w:val="625C54C6"/>
    <w:rsid w:val="62B85E11"/>
    <w:rsid w:val="6315416A"/>
    <w:rsid w:val="631B360D"/>
    <w:rsid w:val="632B3555"/>
    <w:rsid w:val="633B34A5"/>
    <w:rsid w:val="6351180B"/>
    <w:rsid w:val="63514259"/>
    <w:rsid w:val="635975DF"/>
    <w:rsid w:val="637B1AF3"/>
    <w:rsid w:val="63844E4C"/>
    <w:rsid w:val="63991332"/>
    <w:rsid w:val="63E15972"/>
    <w:rsid w:val="63ED3361"/>
    <w:rsid w:val="64164EF8"/>
    <w:rsid w:val="648C67BD"/>
    <w:rsid w:val="649171E4"/>
    <w:rsid w:val="64E1790F"/>
    <w:rsid w:val="650E5143"/>
    <w:rsid w:val="6549634D"/>
    <w:rsid w:val="654B55FB"/>
    <w:rsid w:val="655F7B2C"/>
    <w:rsid w:val="65C36362"/>
    <w:rsid w:val="65CB4FB4"/>
    <w:rsid w:val="65E564DC"/>
    <w:rsid w:val="663012BB"/>
    <w:rsid w:val="668655B1"/>
    <w:rsid w:val="67162803"/>
    <w:rsid w:val="67491583"/>
    <w:rsid w:val="67577000"/>
    <w:rsid w:val="675B3718"/>
    <w:rsid w:val="677156E7"/>
    <w:rsid w:val="677E50F3"/>
    <w:rsid w:val="67994B4A"/>
    <w:rsid w:val="679A3C07"/>
    <w:rsid w:val="67B90814"/>
    <w:rsid w:val="68115A04"/>
    <w:rsid w:val="681B0513"/>
    <w:rsid w:val="6832131A"/>
    <w:rsid w:val="68336E40"/>
    <w:rsid w:val="6885769C"/>
    <w:rsid w:val="689203D7"/>
    <w:rsid w:val="68AB6624"/>
    <w:rsid w:val="68CC31AA"/>
    <w:rsid w:val="692E2178"/>
    <w:rsid w:val="6937147B"/>
    <w:rsid w:val="693C01EC"/>
    <w:rsid w:val="69554D01"/>
    <w:rsid w:val="69847953"/>
    <w:rsid w:val="69AE2C22"/>
    <w:rsid w:val="6A022F6E"/>
    <w:rsid w:val="6A2469E6"/>
    <w:rsid w:val="6A996801"/>
    <w:rsid w:val="6AB46DD1"/>
    <w:rsid w:val="6AC52BC0"/>
    <w:rsid w:val="6B040D28"/>
    <w:rsid w:val="6B351CE3"/>
    <w:rsid w:val="6B446CFF"/>
    <w:rsid w:val="6B6D4417"/>
    <w:rsid w:val="6B713F07"/>
    <w:rsid w:val="6B80414A"/>
    <w:rsid w:val="6B9C3D2F"/>
    <w:rsid w:val="6BCB0F1F"/>
    <w:rsid w:val="6BD732BE"/>
    <w:rsid w:val="6C031C4E"/>
    <w:rsid w:val="6C872359"/>
    <w:rsid w:val="6C9F78B1"/>
    <w:rsid w:val="6CAF3738"/>
    <w:rsid w:val="6CB63947"/>
    <w:rsid w:val="6CF02CA1"/>
    <w:rsid w:val="6D1B443A"/>
    <w:rsid w:val="6D321A85"/>
    <w:rsid w:val="6D9C34C8"/>
    <w:rsid w:val="6DA1793F"/>
    <w:rsid w:val="6DAC4A4F"/>
    <w:rsid w:val="6DCD0993"/>
    <w:rsid w:val="6DFB0BB9"/>
    <w:rsid w:val="6E12058F"/>
    <w:rsid w:val="6E3842D7"/>
    <w:rsid w:val="6EDD18B4"/>
    <w:rsid w:val="6EE67135"/>
    <w:rsid w:val="6EE95631"/>
    <w:rsid w:val="6EED3999"/>
    <w:rsid w:val="6F306514"/>
    <w:rsid w:val="6F5173BE"/>
    <w:rsid w:val="6F5778B8"/>
    <w:rsid w:val="6F5E6337"/>
    <w:rsid w:val="6F735570"/>
    <w:rsid w:val="6F7A7103"/>
    <w:rsid w:val="6F8B7922"/>
    <w:rsid w:val="6FA32AFD"/>
    <w:rsid w:val="703A5210"/>
    <w:rsid w:val="707B11AC"/>
    <w:rsid w:val="707E2250"/>
    <w:rsid w:val="70962F46"/>
    <w:rsid w:val="70CB1694"/>
    <w:rsid w:val="70E46F2A"/>
    <w:rsid w:val="70E97060"/>
    <w:rsid w:val="70F5012F"/>
    <w:rsid w:val="716A57FC"/>
    <w:rsid w:val="71A0414B"/>
    <w:rsid w:val="71DF60AF"/>
    <w:rsid w:val="71E96AFD"/>
    <w:rsid w:val="71F80647"/>
    <w:rsid w:val="72134361"/>
    <w:rsid w:val="723A75D9"/>
    <w:rsid w:val="725F759D"/>
    <w:rsid w:val="7295497F"/>
    <w:rsid w:val="72966949"/>
    <w:rsid w:val="72BF46B2"/>
    <w:rsid w:val="72DC01FB"/>
    <w:rsid w:val="7315786E"/>
    <w:rsid w:val="73267CCD"/>
    <w:rsid w:val="733068B4"/>
    <w:rsid w:val="73361117"/>
    <w:rsid w:val="733E1A35"/>
    <w:rsid w:val="73673E3F"/>
    <w:rsid w:val="739509AF"/>
    <w:rsid w:val="73AD7AA7"/>
    <w:rsid w:val="73CA0460"/>
    <w:rsid w:val="73E13BF4"/>
    <w:rsid w:val="73EC0443"/>
    <w:rsid w:val="73F76F74"/>
    <w:rsid w:val="73F85683"/>
    <w:rsid w:val="73FB4CB6"/>
    <w:rsid w:val="73FC3B5D"/>
    <w:rsid w:val="741C4FC7"/>
    <w:rsid w:val="742A7ABE"/>
    <w:rsid w:val="74582485"/>
    <w:rsid w:val="7479207F"/>
    <w:rsid w:val="74A0760B"/>
    <w:rsid w:val="74B67EA4"/>
    <w:rsid w:val="750477ED"/>
    <w:rsid w:val="75094CC7"/>
    <w:rsid w:val="7513602F"/>
    <w:rsid w:val="75286F45"/>
    <w:rsid w:val="75383CE8"/>
    <w:rsid w:val="75726CE2"/>
    <w:rsid w:val="7577036C"/>
    <w:rsid w:val="758C1402"/>
    <w:rsid w:val="75AB2F20"/>
    <w:rsid w:val="75CA0DE4"/>
    <w:rsid w:val="767D47F8"/>
    <w:rsid w:val="767F6363"/>
    <w:rsid w:val="772365E6"/>
    <w:rsid w:val="77416805"/>
    <w:rsid w:val="778C3F1C"/>
    <w:rsid w:val="77A40FA6"/>
    <w:rsid w:val="77D3326F"/>
    <w:rsid w:val="77DD5FBE"/>
    <w:rsid w:val="781B5927"/>
    <w:rsid w:val="78281DF2"/>
    <w:rsid w:val="783C6553"/>
    <w:rsid w:val="785173F2"/>
    <w:rsid w:val="78912930"/>
    <w:rsid w:val="789254BD"/>
    <w:rsid w:val="78BA1277"/>
    <w:rsid w:val="78F41CD4"/>
    <w:rsid w:val="790C5AA0"/>
    <w:rsid w:val="792425C0"/>
    <w:rsid w:val="7931273F"/>
    <w:rsid w:val="79534D3E"/>
    <w:rsid w:val="79A85861"/>
    <w:rsid w:val="7A1C472E"/>
    <w:rsid w:val="7A226439"/>
    <w:rsid w:val="7A230972"/>
    <w:rsid w:val="7A2C2ADB"/>
    <w:rsid w:val="7A724670"/>
    <w:rsid w:val="7A984BA3"/>
    <w:rsid w:val="7ADC57A5"/>
    <w:rsid w:val="7AE2272C"/>
    <w:rsid w:val="7B0F1874"/>
    <w:rsid w:val="7B465705"/>
    <w:rsid w:val="7B784E3E"/>
    <w:rsid w:val="7B8A01BE"/>
    <w:rsid w:val="7BE40BE0"/>
    <w:rsid w:val="7BE44282"/>
    <w:rsid w:val="7C09670F"/>
    <w:rsid w:val="7C451393"/>
    <w:rsid w:val="7C6563CB"/>
    <w:rsid w:val="7C7C095E"/>
    <w:rsid w:val="7C945CA8"/>
    <w:rsid w:val="7CCF5A44"/>
    <w:rsid w:val="7CD92EB0"/>
    <w:rsid w:val="7CFC5BAD"/>
    <w:rsid w:val="7D1C608E"/>
    <w:rsid w:val="7D1E5AB3"/>
    <w:rsid w:val="7D3F3E2B"/>
    <w:rsid w:val="7D515A44"/>
    <w:rsid w:val="7D5E37F1"/>
    <w:rsid w:val="7D8A3487"/>
    <w:rsid w:val="7DFD162B"/>
    <w:rsid w:val="7E1C4873"/>
    <w:rsid w:val="7E257FEC"/>
    <w:rsid w:val="7E6D67B0"/>
    <w:rsid w:val="7EA06B86"/>
    <w:rsid w:val="7ED91ACF"/>
    <w:rsid w:val="7EFE3136"/>
    <w:rsid w:val="7F47533B"/>
    <w:rsid w:val="7F5434CC"/>
    <w:rsid w:val="7F673200"/>
    <w:rsid w:val="7F985D5A"/>
    <w:rsid w:val="7FCE7723"/>
    <w:rsid w:val="7FD02973"/>
    <w:rsid w:val="7FDB709F"/>
    <w:rsid w:val="7FFD17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qFormat="1" w:uiPriority="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99" w:semiHidden="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qFormat="1" w:uiPriority="0" w:name="HTML Cite"/>
    <w:lsdException w:uiPriority="0" w:name="HTML Code"/>
    <w:lsdException w:qFormat="1" w:uiPriority="0" w:name="HTML Definition"/>
    <w:lsdException w:uiPriority="0" w:name="HTML Keyboard"/>
    <w:lsdException w:uiPriority="0" w:name="HTML Preformatted"/>
    <w:lsdException w:uiPriority="0" w:name="HTML Sample"/>
    <w:lsdException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0" w:lineRule="exact"/>
      <w:jc w:val="center"/>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42"/>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unhideWhenUsed/>
    <w:qFormat/>
    <w:uiPriority w:val="99"/>
    <w:pPr>
      <w:ind w:firstLine="420"/>
    </w:pPr>
    <w:rPr>
      <w:rFonts w:ascii="Times New Roman" w:hAnsi="Times New Roman" w:eastAsia="宋体" w:cs="Times New Roman"/>
      <w:szCs w:val="20"/>
    </w:rPr>
  </w:style>
  <w:style w:type="paragraph" w:styleId="5">
    <w:name w:val="annotation text"/>
    <w:basedOn w:val="1"/>
    <w:semiHidden/>
    <w:unhideWhenUsed/>
    <w:qFormat/>
    <w:uiPriority w:val="0"/>
    <w:pPr>
      <w:jc w:val="left"/>
    </w:pPr>
  </w:style>
  <w:style w:type="paragraph" w:styleId="6">
    <w:name w:val="index 6"/>
    <w:basedOn w:val="1"/>
    <w:next w:val="1"/>
    <w:qFormat/>
    <w:uiPriority w:val="0"/>
    <w:pPr>
      <w:ind w:left="1000" w:leftChars="1000"/>
    </w:pPr>
  </w:style>
  <w:style w:type="paragraph" w:styleId="7">
    <w:name w:val="Body Text 3"/>
    <w:basedOn w:val="1"/>
    <w:qFormat/>
    <w:uiPriority w:val="99"/>
    <w:pPr>
      <w:spacing w:after="120"/>
    </w:pPr>
    <w:rPr>
      <w:sz w:val="16"/>
      <w:szCs w:val="16"/>
    </w:rPr>
  </w:style>
  <w:style w:type="paragraph" w:styleId="8">
    <w:name w:val="Body Text"/>
    <w:basedOn w:val="1"/>
    <w:qFormat/>
    <w:uiPriority w:val="0"/>
    <w:pPr>
      <w:spacing w:after="120"/>
    </w:pPr>
    <w:rPr>
      <w:rFonts w:ascii="Calibri" w:hAnsi="Calibri" w:cs="Times New Roman"/>
    </w:rPr>
  </w:style>
  <w:style w:type="paragraph" w:styleId="9">
    <w:name w:val="Body Text Indent"/>
    <w:basedOn w:val="1"/>
    <w:next w:val="10"/>
    <w:qFormat/>
    <w:uiPriority w:val="0"/>
    <w:pPr>
      <w:spacing w:line="200" w:lineRule="exact"/>
      <w:ind w:firstLine="301"/>
    </w:pPr>
    <w:rPr>
      <w:rFonts w:hAnsi="Courier New"/>
      <w:spacing w:val="-4"/>
      <w:sz w:val="18"/>
      <w:szCs w:val="20"/>
    </w:rPr>
  </w:style>
  <w:style w:type="paragraph" w:styleId="10">
    <w:name w:val="Body Text First Indent 2"/>
    <w:basedOn w:val="9"/>
    <w:next w:val="1"/>
    <w:qFormat/>
    <w:uiPriority w:val="0"/>
    <w:pPr>
      <w:spacing w:line="360" w:lineRule="auto"/>
      <w:ind w:firstLine="0"/>
    </w:pPr>
    <w:rPr>
      <w:sz w:val="24"/>
    </w:rPr>
  </w:style>
  <w:style w:type="paragraph" w:styleId="11">
    <w:name w:val="Plain Text"/>
    <w:basedOn w:val="1"/>
    <w:qFormat/>
    <w:uiPriority w:val="0"/>
    <w:rPr>
      <w:rFonts w:ascii="宋体" w:hAnsi="Courier New"/>
      <w:szCs w:val="20"/>
    </w:rPr>
  </w:style>
  <w:style w:type="paragraph" w:styleId="12">
    <w:name w:val="Date"/>
    <w:basedOn w:val="1"/>
    <w:next w:val="1"/>
    <w:link w:val="32"/>
    <w:qFormat/>
    <w:uiPriority w:val="0"/>
    <w:pPr>
      <w:ind w:left="100" w:leftChars="2500"/>
    </w:pPr>
  </w:style>
  <w:style w:type="paragraph" w:styleId="13">
    <w:name w:val="footer"/>
    <w:basedOn w:val="1"/>
    <w:link w:val="39"/>
    <w:qFormat/>
    <w:uiPriority w:val="0"/>
    <w:pPr>
      <w:tabs>
        <w:tab w:val="center" w:pos="4153"/>
        <w:tab w:val="right" w:pos="8306"/>
      </w:tabs>
      <w:snapToGrid w:val="0"/>
      <w:jc w:val="left"/>
    </w:pPr>
    <w:rPr>
      <w:sz w:val="18"/>
      <w:szCs w:val="18"/>
    </w:rPr>
  </w:style>
  <w:style w:type="paragraph" w:styleId="14">
    <w:name w:val="header"/>
    <w:basedOn w:val="1"/>
    <w:link w:val="38"/>
    <w:qFormat/>
    <w:uiPriority w:val="0"/>
    <w:pPr>
      <w:pBdr>
        <w:bottom w:val="single" w:color="auto" w:sz="6" w:space="1"/>
      </w:pBdr>
      <w:tabs>
        <w:tab w:val="center" w:pos="4153"/>
        <w:tab w:val="right" w:pos="8306"/>
      </w:tabs>
      <w:snapToGrid w:val="0"/>
    </w:pPr>
    <w:rPr>
      <w:sz w:val="18"/>
      <w:szCs w:val="18"/>
    </w:rPr>
  </w:style>
  <w:style w:type="paragraph" w:styleId="15">
    <w:name w:val="toc 1"/>
    <w:basedOn w:val="1"/>
    <w:next w:val="1"/>
    <w:semiHidden/>
    <w:unhideWhenUsed/>
    <w:qFormat/>
    <w:uiPriority w:val="0"/>
  </w:style>
  <w:style w:type="paragraph" w:styleId="16">
    <w:name w:val="toc 2"/>
    <w:basedOn w:val="1"/>
    <w:next w:val="1"/>
    <w:semiHidden/>
    <w:unhideWhenUsed/>
    <w:qFormat/>
    <w:uiPriority w:val="0"/>
    <w:pPr>
      <w:ind w:left="420" w:leftChars="200"/>
    </w:pPr>
  </w:style>
  <w:style w:type="paragraph" w:styleId="17">
    <w:name w:val="Normal (Web)"/>
    <w:basedOn w:val="1"/>
    <w:semiHidden/>
    <w:unhideWhenUsed/>
    <w:qFormat/>
    <w:uiPriority w:val="0"/>
    <w:rPr>
      <w:sz w:val="24"/>
    </w:rPr>
  </w:style>
  <w:style w:type="paragraph" w:styleId="18">
    <w:name w:val="Title"/>
    <w:basedOn w:val="1"/>
    <w:next w:val="1"/>
    <w:qFormat/>
    <w:uiPriority w:val="0"/>
    <w:pPr>
      <w:widowControl/>
      <w:spacing w:before="720"/>
    </w:pPr>
    <w:rPr>
      <w:caps/>
      <w:color w:val="4F81BD"/>
      <w:spacing w:val="10"/>
      <w:kern w:val="28"/>
      <w:sz w:val="52"/>
      <w:szCs w:val="52"/>
      <w:lang w:eastAsia="en-US" w:bidi="en-US"/>
    </w:rPr>
  </w:style>
  <w:style w:type="paragraph" w:styleId="19">
    <w:name w:val="Body Text First Indent"/>
    <w:basedOn w:val="8"/>
    <w:qFormat/>
    <w:uiPriority w:val="0"/>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0"/>
    <w:rPr>
      <w:rFonts w:hint="eastAsia" w:ascii="微软雅黑" w:hAnsi="微软雅黑" w:eastAsia="微软雅黑" w:cs="微软雅黑"/>
      <w:color w:val="000000"/>
      <w:u w:val="none"/>
    </w:rPr>
  </w:style>
  <w:style w:type="character" w:styleId="24">
    <w:name w:val="Emphasis"/>
    <w:basedOn w:val="22"/>
    <w:qFormat/>
    <w:uiPriority w:val="0"/>
  </w:style>
  <w:style w:type="character" w:styleId="25">
    <w:name w:val="HTML Definition"/>
    <w:basedOn w:val="22"/>
    <w:semiHidden/>
    <w:unhideWhenUsed/>
    <w:qFormat/>
    <w:uiPriority w:val="0"/>
  </w:style>
  <w:style w:type="character" w:styleId="26">
    <w:name w:val="HTML Variable"/>
    <w:basedOn w:val="22"/>
    <w:semiHidden/>
    <w:unhideWhenUsed/>
    <w:qFormat/>
    <w:uiPriority w:val="0"/>
  </w:style>
  <w:style w:type="character" w:styleId="27">
    <w:name w:val="Hyperlink"/>
    <w:basedOn w:val="22"/>
    <w:semiHidden/>
    <w:unhideWhenUsed/>
    <w:qFormat/>
    <w:uiPriority w:val="0"/>
    <w:rPr>
      <w:rFonts w:ascii="微软雅黑" w:hAnsi="微软雅黑" w:eastAsia="微软雅黑" w:cs="微软雅黑"/>
      <w:color w:val="000000"/>
      <w:u w:val="none"/>
    </w:rPr>
  </w:style>
  <w:style w:type="character" w:styleId="28">
    <w:name w:val="HTML Cite"/>
    <w:basedOn w:val="22"/>
    <w:semiHidden/>
    <w:unhideWhenUsed/>
    <w:qFormat/>
    <w:uiPriority w:val="0"/>
  </w:style>
  <w:style w:type="paragraph" w:customStyle="1" w:styleId="29">
    <w:name w:val="表格文字"/>
    <w:basedOn w:val="1"/>
    <w:qFormat/>
    <w:uiPriority w:val="0"/>
    <w:pPr>
      <w:spacing w:before="25" w:after="25"/>
      <w:jc w:val="left"/>
    </w:pPr>
    <w:rPr>
      <w:bCs/>
      <w:spacing w:val="10"/>
      <w:kern w:val="0"/>
      <w:sz w:val="24"/>
      <w:szCs w:val="20"/>
    </w:rPr>
  </w:style>
  <w:style w:type="character" w:customStyle="1" w:styleId="30">
    <w:name w:val="页眉 Char"/>
    <w:basedOn w:val="22"/>
    <w:link w:val="14"/>
    <w:qFormat/>
    <w:uiPriority w:val="0"/>
    <w:rPr>
      <w:kern w:val="2"/>
      <w:sz w:val="18"/>
      <w:szCs w:val="18"/>
    </w:rPr>
  </w:style>
  <w:style w:type="character" w:customStyle="1" w:styleId="31">
    <w:name w:val="页脚 Char"/>
    <w:basedOn w:val="22"/>
    <w:link w:val="13"/>
    <w:qFormat/>
    <w:uiPriority w:val="0"/>
    <w:rPr>
      <w:kern w:val="2"/>
      <w:sz w:val="18"/>
      <w:szCs w:val="18"/>
    </w:rPr>
  </w:style>
  <w:style w:type="character" w:customStyle="1" w:styleId="32">
    <w:name w:val="日期 Char"/>
    <w:basedOn w:val="22"/>
    <w:link w:val="12"/>
    <w:qFormat/>
    <w:uiPriority w:val="0"/>
    <w:rPr>
      <w:kern w:val="2"/>
      <w:sz w:val="21"/>
      <w:szCs w:val="24"/>
    </w:rPr>
  </w:style>
  <w:style w:type="paragraph" w:customStyle="1" w:styleId="33">
    <w:name w:val="_Style 23"/>
    <w:basedOn w:val="1"/>
    <w:next w:val="1"/>
    <w:qFormat/>
    <w:uiPriority w:val="0"/>
    <w:pPr>
      <w:pBdr>
        <w:bottom w:val="single" w:color="auto" w:sz="6" w:space="1"/>
      </w:pBdr>
      <w:jc w:val="center"/>
    </w:pPr>
    <w:rPr>
      <w:rFonts w:ascii="Arial" w:eastAsia="宋体"/>
      <w:vanish/>
      <w:sz w:val="16"/>
    </w:rPr>
  </w:style>
  <w:style w:type="character" w:customStyle="1" w:styleId="34">
    <w:name w:val="text-over1"/>
    <w:basedOn w:val="22"/>
    <w:qFormat/>
    <w:uiPriority w:val="0"/>
  </w:style>
  <w:style w:type="character" w:customStyle="1" w:styleId="35">
    <w:name w:val="first-child"/>
    <w:basedOn w:val="22"/>
    <w:qFormat/>
    <w:uiPriority w:val="0"/>
  </w:style>
  <w:style w:type="character" w:customStyle="1" w:styleId="36">
    <w:name w:val="layui-this"/>
    <w:basedOn w:val="22"/>
    <w:qFormat/>
    <w:uiPriority w:val="0"/>
    <w:rPr>
      <w:bdr w:val="single" w:color="EEEEEE" w:sz="6" w:space="0"/>
      <w:shd w:val="clear" w:fill="FFFFFF"/>
    </w:rPr>
  </w:style>
  <w:style w:type="character" w:customStyle="1" w:styleId="37">
    <w:name w:val="text-over"/>
    <w:basedOn w:val="22"/>
    <w:qFormat/>
    <w:uiPriority w:val="0"/>
    <w:rPr>
      <w:color w:val="8A6AED"/>
    </w:rPr>
  </w:style>
  <w:style w:type="character" w:customStyle="1" w:styleId="38">
    <w:name w:val="页眉 字符"/>
    <w:basedOn w:val="22"/>
    <w:link w:val="14"/>
    <w:qFormat/>
    <w:uiPriority w:val="0"/>
    <w:rPr>
      <w:kern w:val="2"/>
      <w:sz w:val="18"/>
      <w:szCs w:val="18"/>
    </w:rPr>
  </w:style>
  <w:style w:type="character" w:customStyle="1" w:styleId="39">
    <w:name w:val="页脚 字符"/>
    <w:basedOn w:val="22"/>
    <w:link w:val="13"/>
    <w:qFormat/>
    <w:uiPriority w:val="0"/>
    <w:rPr>
      <w:kern w:val="2"/>
      <w:sz w:val="18"/>
      <w:szCs w:val="18"/>
    </w:rPr>
  </w:style>
  <w:style w:type="paragraph" w:styleId="40">
    <w:name w:val="List Paragraph"/>
    <w:basedOn w:val="1"/>
    <w:qFormat/>
    <w:uiPriority w:val="34"/>
    <w:pPr>
      <w:ind w:firstLine="420" w:firstLineChars="200"/>
    </w:pPr>
  </w:style>
  <w:style w:type="paragraph" w:customStyle="1" w:styleId="41">
    <w:name w:val="正文-公1"/>
    <w:basedOn w:val="1"/>
    <w:qFormat/>
    <w:uiPriority w:val="0"/>
    <w:rPr>
      <w:rFonts w:ascii="Times New Roman" w:hAnsi="Times New Roman"/>
    </w:rPr>
  </w:style>
  <w:style w:type="character" w:customStyle="1" w:styleId="42">
    <w:name w:val="标题 2 字符"/>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5206</Words>
  <Characters>5471</Characters>
  <Lines>7</Lines>
  <Paragraphs>1</Paragraphs>
  <TotalTime>2</TotalTime>
  <ScaleCrop>false</ScaleCrop>
  <LinksUpToDate>false</LinksUpToDate>
  <CharactersWithSpaces>5583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2024-05-14T02:32:00Z</dcterms:created>
  <dc:creator>Administrator</dc:creator>
  <cp:lastModifiedBy>莫艳杰</cp:lastModifiedBy>
  <cp:lastPrinted>2024-10-31T08:58:00Z</cp:lastPrinted>
  <dcterms:modified xsi:type="dcterms:W3CDTF">2026-06-12T03:02:06Z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D04FB5E0C0DF43AB8E2082347CA04816_13</vt:lpwstr>
  </property>
  <property fmtid="{D5CDD505-2E9C-101B-9397-08002B2CF9AE}" pid="4" name="KSOTemplateDocerSaveRecord">
    <vt:lpwstr>eyJoZGlkIjoiNGNjM2MxZjhmZDU5NWY4NDkwOWJiNzBiMWI3OTVjMTAiLCJ1c2VySWQiOiIxMDc4MTE5Njk2In0=</vt:lpwstr>
  </property>
</Properties>
</file>