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027F2">
      <w:pPr>
        <w:numPr>
          <w:ilvl w:val="0"/>
          <w:numId w:val="0"/>
        </w:numPr>
        <w:spacing w:line="600" w:lineRule="exact"/>
        <w:jc w:val="center"/>
        <w:outlineLvl w:val="0"/>
        <w:rPr>
          <w:rFonts w:hint="eastAsia" w:ascii="宋体" w:hAnsi="宋体" w:cs="宋体"/>
          <w:b/>
          <w:sz w:val="44"/>
          <w:szCs w:val="44"/>
        </w:rPr>
      </w:pPr>
      <w:bookmarkStart w:id="0" w:name="_Toc28968"/>
      <w:bookmarkStart w:id="1" w:name="_Toc6310"/>
      <w:bookmarkStart w:id="2" w:name="_Toc20872"/>
      <w:bookmarkStart w:id="3" w:name="_Toc15307"/>
      <w:r>
        <w:rPr>
          <w:rFonts w:hint="eastAsia" w:ascii="宋体" w:hAnsi="宋体" w:cs="宋体"/>
          <w:b/>
          <w:kern w:val="2"/>
          <w:sz w:val="44"/>
          <w:szCs w:val="44"/>
          <w:lang w:val="en-US" w:eastAsia="zh-CN" w:bidi="ar-SA"/>
        </w:rPr>
        <w:t xml:space="preserve"> </w:t>
      </w:r>
      <w:r>
        <w:rPr>
          <w:rFonts w:hint="eastAsia" w:ascii="宋体" w:hAnsi="宋体" w:cs="宋体"/>
          <w:b/>
          <w:sz w:val="44"/>
          <w:szCs w:val="44"/>
        </w:rPr>
        <w:t>采购需求</w:t>
      </w:r>
      <w:bookmarkEnd w:id="0"/>
      <w:bookmarkEnd w:id="1"/>
      <w:bookmarkEnd w:id="2"/>
      <w:bookmarkEnd w:id="3"/>
    </w:p>
    <w:p w14:paraId="1F065FC5">
      <w:pPr>
        <w:spacing w:line="380" w:lineRule="exact"/>
        <w:ind w:left="6" w:firstLine="431"/>
        <w:rPr>
          <w:rFonts w:hint="eastAsia" w:ascii="宋体" w:hAnsi="宋体" w:eastAsia="宋体"/>
          <w:b/>
          <w:bCs/>
          <w:szCs w:val="21"/>
          <w:lang w:val="en-US" w:eastAsia="zh-CN"/>
        </w:rPr>
      </w:pPr>
      <w:r>
        <w:rPr>
          <w:rFonts w:hint="eastAsia" w:ascii="宋体" w:hAnsi="宋体"/>
          <w:b/>
          <w:bCs/>
          <w:szCs w:val="21"/>
          <w:lang w:val="en-US" w:eastAsia="zh-CN"/>
        </w:rPr>
        <w:t>一、说明：</w:t>
      </w:r>
    </w:p>
    <w:p w14:paraId="0150721B">
      <w:pPr>
        <w:spacing w:line="380" w:lineRule="exact"/>
        <w:ind w:left="6" w:firstLine="431"/>
        <w:rPr>
          <w:rFonts w:hint="eastAsia" w:ascii="宋体" w:hAnsi="宋体" w:eastAsia="宋体"/>
          <w:b/>
          <w:bCs/>
          <w:szCs w:val="21"/>
          <w:lang w:eastAsia="zh-CN"/>
        </w:rPr>
      </w:pPr>
      <w:r>
        <w:rPr>
          <w:rFonts w:hint="eastAsia" w:ascii="宋体" w:hAnsi="宋体"/>
          <w:b/>
          <w:bCs/>
          <w:szCs w:val="21"/>
        </w:rPr>
        <w:t>1.为落实政府采购政策需满足的要求</w:t>
      </w:r>
      <w:r>
        <w:rPr>
          <w:rFonts w:hint="eastAsia" w:ascii="宋体" w:hAnsi="宋体"/>
          <w:b/>
          <w:bCs/>
          <w:szCs w:val="21"/>
          <w:lang w:eastAsia="zh-CN"/>
        </w:rPr>
        <w:t>：</w:t>
      </w:r>
    </w:p>
    <w:p w14:paraId="566B8C51">
      <w:pPr>
        <w:spacing w:line="380" w:lineRule="exact"/>
        <w:ind w:left="6" w:firstLine="431"/>
        <w:rPr>
          <w:rFonts w:hint="eastAsia" w:ascii="宋体" w:hAnsi="宋体"/>
          <w:b/>
          <w:bCs/>
          <w:szCs w:val="21"/>
        </w:rPr>
      </w:pPr>
      <w:r>
        <w:rPr>
          <w:rFonts w:hint="eastAsia" w:ascii="宋体" w:hAnsi="宋体"/>
          <w:b/>
          <w:bCs/>
          <w:szCs w:val="21"/>
        </w:rPr>
        <w:t>（1）本采购文件所称中小企业必须符合《政府采购促进中小企业发展管理办法》（财库〔2020〕46号）的规定。</w:t>
      </w:r>
    </w:p>
    <w:p w14:paraId="08CA35A8">
      <w:pPr>
        <w:spacing w:line="380" w:lineRule="exact"/>
        <w:ind w:left="6" w:firstLine="431"/>
        <w:rPr>
          <w:rFonts w:hint="eastAsia" w:ascii="宋体" w:hAnsi="宋体"/>
          <w:b/>
          <w:bCs/>
          <w:szCs w:val="21"/>
        </w:rPr>
      </w:pPr>
      <w:r>
        <w:rPr>
          <w:rFonts w:hint="eastAsia" w:ascii="宋体" w:hAnsi="宋体"/>
          <w:b/>
          <w:bCs/>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hint="eastAsia"/>
          <w:spacing w:val="2"/>
          <w:lang w:eastAsia="zh-CN"/>
        </w:rPr>
        <w:t>★</w:t>
      </w:r>
      <w:r>
        <w:rPr>
          <w:rFonts w:hint="eastAsia" w:ascii="宋体" w:hAnsi="宋体"/>
          <w:b/>
          <w:bCs/>
          <w:szCs w:val="21"/>
        </w:rPr>
        <w:t>”的，供应商必须在响应文件中提供所竞标产品的节能产品认证证书复印件（加盖供应商电子签章），否则响应文件按无效处理。如本项目包含的货物属于品目清单内非标注“</w:t>
      </w:r>
      <w:r>
        <w:rPr>
          <w:rFonts w:hint="eastAsia"/>
          <w:spacing w:val="2"/>
          <w:lang w:eastAsia="zh-CN"/>
        </w:rPr>
        <w:t>▲</w:t>
      </w:r>
      <w:r>
        <w:rPr>
          <w:rFonts w:hint="eastAsia" w:ascii="宋体" w:hAnsi="宋体"/>
          <w:b/>
          <w:bCs/>
          <w:szCs w:val="21"/>
        </w:rPr>
        <w:t>”的产品时，应优先采购。</w:t>
      </w:r>
    </w:p>
    <w:p w14:paraId="191DD2EA">
      <w:pPr>
        <w:spacing w:line="380" w:lineRule="exact"/>
        <w:ind w:left="6" w:firstLine="431"/>
        <w:rPr>
          <w:rFonts w:hint="eastAsia" w:ascii="宋体" w:hAnsi="宋体"/>
          <w:b/>
          <w:bCs/>
          <w:szCs w:val="21"/>
        </w:rPr>
      </w:pPr>
      <w:r>
        <w:rPr>
          <w:rFonts w:hint="eastAsia" w:ascii="宋体" w:hAnsi="宋体"/>
          <w:b/>
          <w:bCs/>
          <w:szCs w:val="21"/>
        </w:rPr>
        <w:t>2.“实质性要求”是指采购需求中带“▲”的条款或者不能负偏离的条款或者已经指明不满足按响应文件按无效处理的条款。</w:t>
      </w:r>
    </w:p>
    <w:p w14:paraId="6429B19D">
      <w:pPr>
        <w:spacing w:line="380" w:lineRule="exact"/>
        <w:ind w:left="6" w:firstLine="431"/>
        <w:rPr>
          <w:rFonts w:hint="eastAsia" w:ascii="宋体" w:hAnsi="宋体"/>
          <w:b/>
          <w:bCs/>
          <w:szCs w:val="21"/>
        </w:rPr>
      </w:pPr>
      <w:r>
        <w:rPr>
          <w:rFonts w:hint="eastAsia" w:ascii="宋体" w:hAnsi="宋体"/>
          <w:b/>
          <w:bCs/>
          <w:szCs w:val="21"/>
        </w:rPr>
        <w:t>3.“采购</w:t>
      </w:r>
      <w:r>
        <w:rPr>
          <w:rFonts w:hint="eastAsia" w:ascii="宋体" w:hAnsi="宋体"/>
          <w:b/>
          <w:bCs/>
          <w:szCs w:val="21"/>
          <w:lang w:val="en-US" w:eastAsia="zh-CN"/>
        </w:rPr>
        <w:t>需求</w:t>
      </w:r>
      <w:r>
        <w:rPr>
          <w:rFonts w:hint="eastAsia" w:ascii="宋体" w:hAnsi="宋体"/>
          <w:b/>
          <w:bCs/>
          <w:szCs w:val="21"/>
        </w:rPr>
        <w:t>”仅起参考作用，投标人可选用其他产品替代，但这些替代的品牌型号要实质上相当于或优于参考技术参数性能（配置）要求。</w:t>
      </w:r>
    </w:p>
    <w:p w14:paraId="0850EA4F">
      <w:pPr>
        <w:spacing w:line="380" w:lineRule="exact"/>
        <w:ind w:left="6" w:firstLine="431"/>
        <w:rPr>
          <w:rFonts w:hint="eastAsia" w:ascii="宋体" w:hAnsi="宋体"/>
          <w:b/>
          <w:bCs/>
          <w:szCs w:val="21"/>
        </w:rPr>
      </w:pPr>
      <w:r>
        <w:rPr>
          <w:rFonts w:hint="eastAsia" w:ascii="宋体" w:hAnsi="宋体"/>
          <w:b/>
          <w:bCs/>
          <w:szCs w:val="21"/>
        </w:rPr>
        <w:t>4.“采购</w:t>
      </w:r>
      <w:r>
        <w:rPr>
          <w:rFonts w:hint="eastAsia" w:ascii="宋体" w:hAnsi="宋体"/>
          <w:b/>
          <w:bCs/>
          <w:szCs w:val="21"/>
          <w:lang w:val="en-US" w:eastAsia="zh-CN"/>
        </w:rPr>
        <w:t>需求</w:t>
      </w:r>
      <w:r>
        <w:rPr>
          <w:rFonts w:hint="eastAsia" w:ascii="宋体" w:hAnsi="宋体"/>
          <w:b/>
          <w:bCs/>
          <w:szCs w:val="21"/>
        </w:rPr>
        <w:t>”不明确或有误的，请以详细正确的技术参数及配置同时填写投标报价表和技术响应表。</w:t>
      </w:r>
    </w:p>
    <w:p w14:paraId="76CF4049">
      <w:pPr>
        <w:spacing w:line="380" w:lineRule="exact"/>
        <w:ind w:left="6" w:firstLine="431"/>
        <w:rPr>
          <w:rFonts w:hint="eastAsia" w:ascii="宋体" w:hAnsi="宋体"/>
          <w:b/>
          <w:bCs/>
          <w:szCs w:val="21"/>
        </w:rPr>
      </w:pPr>
      <w:r>
        <w:rPr>
          <w:rFonts w:hint="eastAsia" w:ascii="宋体" w:hAnsi="宋体"/>
          <w:b/>
          <w:bCs/>
          <w:szCs w:val="21"/>
        </w:rPr>
        <w:t>5.凡在“采购</w:t>
      </w:r>
      <w:r>
        <w:rPr>
          <w:rFonts w:hint="eastAsia" w:ascii="宋体" w:hAnsi="宋体"/>
          <w:b/>
          <w:bCs/>
          <w:szCs w:val="21"/>
          <w:lang w:val="en-US" w:eastAsia="zh-CN"/>
        </w:rPr>
        <w:t>需求</w:t>
      </w:r>
      <w:r>
        <w:rPr>
          <w:rFonts w:hint="eastAsia" w:ascii="宋体" w:hAnsi="宋体"/>
          <w:b/>
          <w:bCs/>
          <w:szCs w:val="21"/>
        </w:rPr>
        <w:t>”中表述为“标配”或“标准配置”的设备，投标人应在投标文件中将其标配参数详细列明。</w:t>
      </w:r>
    </w:p>
    <w:p w14:paraId="38DF06A1">
      <w:pPr>
        <w:spacing w:line="380" w:lineRule="exact"/>
        <w:ind w:left="6" w:firstLine="431"/>
        <w:rPr>
          <w:rFonts w:hint="eastAsia" w:ascii="宋体" w:hAnsi="宋体"/>
          <w:b/>
          <w:bCs/>
          <w:szCs w:val="21"/>
        </w:rPr>
      </w:pPr>
      <w:r>
        <w:rPr>
          <w:rFonts w:hint="eastAsia" w:ascii="宋体" w:hAnsi="宋体"/>
          <w:b/>
          <w:bCs/>
          <w:szCs w:val="21"/>
        </w:rPr>
        <w:t>6.投标人所投标的产品必须是符合国家和行业标准的全新产品，所提供的货物或服务必须符合国家和行业标准。</w:t>
      </w:r>
    </w:p>
    <w:p w14:paraId="1CB3D9FE">
      <w:pPr>
        <w:spacing w:line="380" w:lineRule="exact"/>
        <w:ind w:left="6" w:firstLine="431"/>
        <w:rPr>
          <w:rFonts w:hint="eastAsia" w:ascii="宋体" w:hAnsi="宋体"/>
          <w:b/>
          <w:bCs/>
          <w:szCs w:val="21"/>
        </w:rPr>
      </w:pPr>
      <w:r>
        <w:rPr>
          <w:rFonts w:hint="eastAsia" w:ascii="宋体" w:hAnsi="宋体"/>
          <w:b/>
          <w:bCs/>
          <w:szCs w:val="21"/>
          <w:lang w:val="en-US" w:eastAsia="zh-CN"/>
        </w:rPr>
        <w:t>7</w:t>
      </w:r>
      <w:r>
        <w:rPr>
          <w:rFonts w:hint="eastAsia" w:ascii="宋体" w:hAnsi="宋体"/>
          <w:b/>
          <w:bCs/>
          <w:szCs w:val="21"/>
        </w:rPr>
        <w:t>.采购</w:t>
      </w:r>
      <w:r>
        <w:rPr>
          <w:rFonts w:hint="eastAsia" w:ascii="宋体" w:hAnsi="宋体"/>
          <w:b/>
          <w:bCs/>
          <w:szCs w:val="21"/>
          <w:lang w:val="en-US" w:eastAsia="zh-CN"/>
        </w:rPr>
        <w:t>需求</w:t>
      </w:r>
      <w:r>
        <w:rPr>
          <w:rFonts w:hint="eastAsia" w:ascii="宋体" w:hAnsi="宋体"/>
          <w:b/>
          <w:bCs/>
          <w:szCs w:val="21"/>
        </w:rPr>
        <w:t>应视为保证涉及设备运行所需的最低要求；如有遗漏，投标人投标时应在投标文件中予以补充；否则，一旦</w:t>
      </w:r>
      <w:r>
        <w:rPr>
          <w:rFonts w:hint="eastAsia" w:ascii="宋体" w:hAnsi="宋体"/>
          <w:b/>
          <w:bCs/>
          <w:szCs w:val="21"/>
          <w:lang w:val="en-US" w:eastAsia="zh-CN"/>
        </w:rPr>
        <w:t>成交</w:t>
      </w:r>
      <w:r>
        <w:rPr>
          <w:rFonts w:hint="eastAsia" w:ascii="宋体" w:hAnsi="宋体"/>
          <w:b/>
          <w:bCs/>
          <w:szCs w:val="21"/>
        </w:rPr>
        <w:t>将视为投标人认同遗漏部分并免费提供。</w:t>
      </w:r>
    </w:p>
    <w:p w14:paraId="580426DC">
      <w:pPr>
        <w:spacing w:line="380" w:lineRule="exact"/>
        <w:ind w:left="6" w:firstLine="431"/>
        <w:rPr>
          <w:rFonts w:hint="eastAsia" w:ascii="宋体" w:hAnsi="宋体"/>
          <w:b/>
          <w:bCs/>
          <w:szCs w:val="21"/>
        </w:rPr>
      </w:pPr>
      <w:r>
        <w:rPr>
          <w:rFonts w:hint="eastAsia" w:ascii="宋体" w:hAnsi="宋体"/>
          <w:b/>
          <w:bCs/>
          <w:szCs w:val="21"/>
          <w:lang w:val="en-US" w:eastAsia="zh-CN"/>
        </w:rPr>
        <w:t>8</w:t>
      </w:r>
      <w:r>
        <w:rPr>
          <w:rFonts w:hint="eastAsia" w:ascii="宋体" w:hAnsi="宋体"/>
          <w:b/>
          <w:bCs/>
          <w:szCs w:val="21"/>
        </w:rPr>
        <w:t>.投标人投标时应在投标文件中对“</w:t>
      </w:r>
      <w:r>
        <w:rPr>
          <w:rFonts w:hint="eastAsia" w:ascii="宋体" w:hAnsi="宋体"/>
          <w:b/>
          <w:bCs/>
          <w:szCs w:val="21"/>
          <w:lang w:val="en-US" w:eastAsia="zh-CN"/>
        </w:rPr>
        <w:t>采购需求</w:t>
      </w:r>
      <w:r>
        <w:rPr>
          <w:rFonts w:hint="eastAsia" w:ascii="宋体" w:hAnsi="宋体"/>
          <w:b/>
          <w:bCs/>
          <w:szCs w:val="21"/>
        </w:rPr>
        <w:t>”中所有内容逐条响应并一一对应。</w:t>
      </w:r>
    </w:p>
    <w:p w14:paraId="6198D63B">
      <w:pPr>
        <w:spacing w:line="380" w:lineRule="exact"/>
        <w:ind w:left="6" w:firstLine="431"/>
        <w:rPr>
          <w:rFonts w:hint="eastAsia" w:ascii="宋体" w:hAnsi="宋体"/>
          <w:b/>
          <w:bCs/>
          <w:szCs w:val="21"/>
        </w:rPr>
      </w:pPr>
      <w:r>
        <w:rPr>
          <w:rFonts w:hint="eastAsia" w:ascii="宋体" w:hAnsi="宋体"/>
          <w:b/>
          <w:bCs/>
          <w:szCs w:val="21"/>
          <w:lang w:val="en-US" w:eastAsia="zh-CN"/>
        </w:rPr>
        <w:t>9</w:t>
      </w:r>
      <w:r>
        <w:rPr>
          <w:rFonts w:hint="eastAsia" w:ascii="宋体" w:hAnsi="宋体"/>
          <w:b/>
          <w:bCs/>
          <w:szCs w:val="21"/>
        </w:rPr>
        <w:t>.供应商应根据自身实际情况如实响应谈判文件，不得仅将谈判文件内容简单复制粘贴作为竞标响应。</w:t>
      </w:r>
    </w:p>
    <w:p w14:paraId="4600F4B7">
      <w:pPr>
        <w:spacing w:line="380" w:lineRule="exact"/>
        <w:ind w:left="6" w:firstLine="431"/>
        <w:rPr>
          <w:rFonts w:hint="eastAsia" w:ascii="宋体" w:hAnsi="宋体"/>
          <w:b/>
          <w:bCs/>
          <w:szCs w:val="21"/>
        </w:rPr>
      </w:pPr>
      <w:r>
        <w:rPr>
          <w:rFonts w:hint="eastAsia" w:ascii="宋体" w:hAnsi="宋体"/>
          <w:b/>
          <w:bCs/>
          <w:szCs w:val="21"/>
        </w:rPr>
        <w:t>1</w:t>
      </w:r>
      <w:r>
        <w:rPr>
          <w:rFonts w:hint="eastAsia" w:ascii="宋体" w:hAnsi="宋体"/>
          <w:b/>
          <w:bCs/>
          <w:szCs w:val="21"/>
          <w:lang w:val="en-US" w:eastAsia="zh-CN"/>
        </w:rPr>
        <w:t>0</w:t>
      </w:r>
      <w:r>
        <w:rPr>
          <w:rFonts w:hint="eastAsia" w:ascii="宋体" w:hAnsi="宋体"/>
          <w:b/>
          <w:bCs/>
          <w:szCs w:val="21"/>
        </w:rPr>
        <w:t>.供应商必须自行为其竞标产品侵犯他人的知识产权或者专利成果的行为承担相应法律责任。</w:t>
      </w:r>
    </w:p>
    <w:p w14:paraId="5C6B5C49">
      <w:pPr>
        <w:spacing w:line="380" w:lineRule="exact"/>
        <w:ind w:left="6" w:firstLine="431"/>
        <w:rPr>
          <w:rFonts w:hint="eastAsia" w:ascii="宋体" w:hAnsi="宋体" w:eastAsia="宋体" w:cs="Times New Roman"/>
          <w:b/>
          <w:bCs/>
          <w:kern w:val="2"/>
          <w:sz w:val="21"/>
          <w:szCs w:val="21"/>
          <w:lang w:val="en-US" w:eastAsia="zh-CN" w:bidi="ar-SA"/>
        </w:rPr>
      </w:pPr>
      <w:r>
        <w:rPr>
          <w:rFonts w:hint="eastAsia" w:ascii="宋体" w:hAnsi="宋体"/>
          <w:b/>
          <w:bCs/>
          <w:szCs w:val="21"/>
          <w:lang w:val="en-US" w:eastAsia="zh-CN"/>
        </w:rPr>
        <w:t>11.</w:t>
      </w:r>
      <w:r>
        <w:rPr>
          <w:rFonts w:hint="eastAsia" w:ascii="宋体" w:hAnsi="宋体"/>
          <w:b/>
          <w:bCs/>
          <w:szCs w:val="21"/>
        </w:rPr>
        <w:t>本项目标的所属行业均为：</w:t>
      </w:r>
      <w:r>
        <w:rPr>
          <w:rFonts w:hint="eastAsia" w:ascii="宋体" w:hAnsi="宋体"/>
          <w:b/>
          <w:bCs/>
          <w:szCs w:val="21"/>
          <w:u w:val="single"/>
        </w:rPr>
        <w:t xml:space="preserve"> 工业 </w:t>
      </w:r>
      <w:r>
        <w:rPr>
          <w:rFonts w:hint="eastAsia" w:ascii="宋体" w:hAnsi="宋体"/>
          <w:b/>
          <w:bCs/>
          <w:szCs w:val="21"/>
        </w:rPr>
        <w:t>；划分依据：《关于印发中小企业划型标准规定的通知》（工信部联企业[2011]300号）</w:t>
      </w:r>
      <w:r>
        <w:rPr>
          <w:rFonts w:hint="eastAsia" w:ascii="宋体" w:hAnsi="宋体"/>
          <w:b/>
          <w:bCs/>
          <w:szCs w:val="21"/>
          <w:lang w:eastAsia="zh-CN"/>
        </w:rPr>
        <w:t>。</w:t>
      </w:r>
    </w:p>
    <w:p w14:paraId="56ADB89B">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lang w:val="en-US" w:eastAsia="zh-CN"/>
        </w:rPr>
      </w:pPr>
    </w:p>
    <w:p w14:paraId="4CFAFAAC">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eastAsia" w:ascii="宋体" w:hAnsi="宋体" w:cs="宋体"/>
          <w:b/>
          <w:bCs w:val="0"/>
          <w:color w:val="auto"/>
          <w:kern w:val="0"/>
          <w:szCs w:val="21"/>
          <w:lang w:val="en-US" w:eastAsia="zh-CN"/>
        </w:rPr>
      </w:pPr>
    </w:p>
    <w:p w14:paraId="39DD546C">
      <w:pPr>
        <w:pStyle w:val="3"/>
        <w:keepNext w:val="0"/>
        <w:keepLines w:val="0"/>
        <w:pageBreakBefore w:val="0"/>
        <w:widowControl w:val="0"/>
        <w:kinsoku/>
        <w:wordWrap/>
        <w:overflowPunct/>
        <w:topLinePunct w:val="0"/>
        <w:autoSpaceDE/>
        <w:autoSpaceDN/>
        <w:bidi w:val="0"/>
        <w:adjustRightInd/>
        <w:snapToGrid/>
        <w:spacing w:line="340" w:lineRule="exact"/>
        <w:ind w:firstLine="422" w:firstLineChars="200"/>
        <w:textAlignment w:val="auto"/>
        <w:rPr>
          <w:rFonts w:hint="default" w:ascii="宋体" w:hAnsi="宋体" w:cs="宋体"/>
          <w:b/>
          <w:bCs w:val="0"/>
          <w:color w:val="auto"/>
          <w:kern w:val="0"/>
          <w:szCs w:val="21"/>
          <w:lang w:val="en-US" w:eastAsia="zh-CN"/>
        </w:rPr>
      </w:pPr>
      <w:r>
        <w:rPr>
          <w:rFonts w:hint="eastAsia" w:ascii="宋体" w:hAnsi="宋体" w:cs="宋体"/>
          <w:b/>
          <w:bCs w:val="0"/>
          <w:color w:val="auto"/>
          <w:kern w:val="0"/>
          <w:szCs w:val="21"/>
          <w:lang w:val="en-US" w:eastAsia="zh-CN"/>
        </w:rPr>
        <w:t>二、1.项目预算价：650000.00元</w:t>
      </w:r>
    </w:p>
    <w:p w14:paraId="47DDC65D">
      <w:pPr>
        <w:pStyle w:val="3"/>
        <w:keepNext w:val="0"/>
        <w:keepLines w:val="0"/>
        <w:pageBreakBefore w:val="0"/>
        <w:widowControl w:val="0"/>
        <w:kinsoku/>
        <w:wordWrap/>
        <w:overflowPunct/>
        <w:topLinePunct w:val="0"/>
        <w:autoSpaceDE/>
        <w:autoSpaceDN/>
        <w:bidi w:val="0"/>
        <w:adjustRightInd/>
        <w:snapToGrid/>
        <w:spacing w:line="340" w:lineRule="exact"/>
        <w:ind w:firstLine="843" w:firstLineChars="400"/>
        <w:textAlignment w:val="auto"/>
        <w:rPr>
          <w:rFonts w:hint="eastAsia" w:ascii="宋体" w:hAnsi="宋体" w:eastAsia="宋体" w:cs="宋体"/>
          <w:b/>
          <w:bCs w:val="0"/>
          <w:color w:val="auto"/>
          <w:kern w:val="0"/>
          <w:sz w:val="21"/>
          <w:szCs w:val="21"/>
          <w:lang w:val="en-US" w:eastAsia="zh-CN" w:bidi="ar-SA"/>
        </w:rPr>
      </w:pPr>
      <w:r>
        <w:rPr>
          <w:rFonts w:hint="eastAsia" w:ascii="宋体" w:hAnsi="宋体" w:cs="宋体"/>
          <w:b/>
          <w:bCs w:val="0"/>
          <w:color w:val="auto"/>
          <w:kern w:val="0"/>
          <w:sz w:val="21"/>
          <w:szCs w:val="21"/>
          <w:lang w:val="en-US" w:eastAsia="zh-CN" w:bidi="ar-SA"/>
        </w:rPr>
        <w:t>2</w:t>
      </w:r>
      <w:r>
        <w:rPr>
          <w:rFonts w:hint="eastAsia" w:ascii="宋体" w:hAnsi="宋体" w:eastAsia="宋体" w:cs="宋体"/>
          <w:b/>
          <w:bCs w:val="0"/>
          <w:color w:val="auto"/>
          <w:kern w:val="0"/>
          <w:sz w:val="21"/>
          <w:szCs w:val="21"/>
          <w:lang w:val="en-US" w:eastAsia="zh-CN" w:bidi="ar-SA"/>
        </w:rPr>
        <w:t>.核心产品：</w:t>
      </w:r>
      <w:r>
        <w:rPr>
          <w:rFonts w:hint="eastAsia" w:ascii="宋体" w:hAnsi="宋体" w:eastAsia="宋体" w:cs="宋体"/>
          <w:b/>
          <w:bCs w:val="0"/>
          <w:color w:val="auto"/>
          <w:kern w:val="0"/>
          <w:sz w:val="21"/>
          <w:szCs w:val="21"/>
          <w:highlight w:val="none"/>
          <w:lang w:val="en-US" w:eastAsia="zh-CN" w:bidi="ar-SA"/>
        </w:rPr>
        <w:t>采购需求表</w:t>
      </w:r>
      <w:r>
        <w:rPr>
          <w:rFonts w:hint="eastAsia"/>
          <w:color w:val="auto"/>
          <w:sz w:val="22"/>
          <w:szCs w:val="22"/>
          <w:highlight w:val="none"/>
          <w:lang w:val="en-US" w:eastAsia="zh-CN"/>
        </w:rPr>
        <w:t>一</w:t>
      </w:r>
      <w:r>
        <w:rPr>
          <w:rFonts w:hint="eastAsia"/>
          <w:color w:val="auto"/>
          <w:sz w:val="22"/>
          <w:szCs w:val="22"/>
          <w:highlight w:val="none"/>
          <w:lang w:eastAsia="zh-CN"/>
        </w:rPr>
        <w:t>；</w:t>
      </w:r>
    </w:p>
    <w:p w14:paraId="032739CC">
      <w:pPr>
        <w:pStyle w:val="2"/>
        <w:numPr>
          <w:ilvl w:val="0"/>
          <w:numId w:val="0"/>
        </w:numPr>
        <w:tabs>
          <w:tab w:val="clear" w:pos="360"/>
        </w:tabs>
        <w:bidi w:val="0"/>
        <w:ind w:left="283" w:leftChars="0" w:hanging="283" w:hangingChars="135"/>
        <w:rPr>
          <w:rFonts w:hint="default" w:ascii="宋体" w:hAnsi="宋体" w:eastAsia="宋体" w:cs="宋体"/>
          <w:b/>
          <w:bCs w:val="0"/>
          <w:color w:val="auto"/>
          <w:kern w:val="0"/>
          <w:sz w:val="21"/>
          <w:szCs w:val="21"/>
          <w:lang w:val="en-US" w:eastAsia="zh-CN" w:bidi="ar-SA"/>
        </w:rPr>
      </w:pPr>
      <w:r>
        <w:rPr>
          <w:rFonts w:hint="eastAsia" w:cs="Times New Roman"/>
          <w:kern w:val="2"/>
          <w:sz w:val="21"/>
          <w:szCs w:val="24"/>
          <w:lang w:val="en-US" w:eastAsia="zh-CN" w:bidi="ar-SA"/>
        </w:rPr>
        <w:t xml:space="preserve">       </w:t>
      </w:r>
      <w:r>
        <w:rPr>
          <w:rFonts w:hint="eastAsia" w:ascii="宋体" w:hAnsi="宋体" w:eastAsia="宋体" w:cs="宋体"/>
          <w:b/>
          <w:bCs w:val="0"/>
          <w:color w:val="auto"/>
          <w:kern w:val="0"/>
          <w:sz w:val="21"/>
          <w:szCs w:val="21"/>
          <w:lang w:val="en-US" w:eastAsia="zh-CN" w:bidi="ar-SA"/>
        </w:rPr>
        <w:t xml:space="preserve"> </w:t>
      </w:r>
      <w:r>
        <w:rPr>
          <w:rFonts w:hint="eastAsia" w:ascii="宋体" w:hAnsi="宋体" w:cs="宋体"/>
          <w:b/>
          <w:bCs w:val="0"/>
          <w:color w:val="auto"/>
          <w:kern w:val="0"/>
          <w:sz w:val="21"/>
          <w:szCs w:val="21"/>
          <w:lang w:val="en-US" w:eastAsia="zh-CN" w:bidi="ar-SA"/>
        </w:rPr>
        <w:t>3</w:t>
      </w:r>
      <w:r>
        <w:rPr>
          <w:rFonts w:hint="eastAsia" w:ascii="宋体" w:hAnsi="宋体" w:eastAsia="宋体" w:cs="宋体"/>
          <w:b/>
          <w:bCs w:val="0"/>
          <w:color w:val="auto"/>
          <w:kern w:val="0"/>
          <w:sz w:val="21"/>
          <w:szCs w:val="21"/>
          <w:lang w:val="en-US" w:eastAsia="zh-CN" w:bidi="ar-SA"/>
        </w:rPr>
        <w:t>.采购需求表：</w:t>
      </w:r>
    </w:p>
    <w:tbl>
      <w:tblPr>
        <w:tblStyle w:val="7"/>
        <w:tblpPr w:leftFromText="180" w:rightFromText="180" w:vertAnchor="text" w:horzAnchor="page" w:tblpX="1318" w:tblpY="186"/>
        <w:tblOverlap w:val="never"/>
        <w:tblW w:w="150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8"/>
        <w:gridCol w:w="732"/>
        <w:gridCol w:w="744"/>
        <w:gridCol w:w="942"/>
        <w:gridCol w:w="7788"/>
        <w:gridCol w:w="4344"/>
      </w:tblGrid>
      <w:tr w14:paraId="1B5F6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55A02E68">
            <w:pPr>
              <w:jc w:val="center"/>
              <w:rPr>
                <w:rFonts w:ascii="宋体" w:hAnsi="宋体"/>
                <w:b/>
                <w:bCs/>
                <w:color w:val="auto"/>
                <w:sz w:val="22"/>
                <w:szCs w:val="22"/>
                <w:highlight w:val="none"/>
              </w:rPr>
            </w:pPr>
            <w:r>
              <w:rPr>
                <w:rFonts w:hint="eastAsia" w:ascii="宋体" w:hAnsi="宋体"/>
                <w:b/>
                <w:bCs/>
                <w:color w:val="auto"/>
                <w:sz w:val="22"/>
                <w:szCs w:val="22"/>
                <w:highlight w:val="none"/>
              </w:rPr>
              <w:t>项号</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57993EC8">
            <w:pPr>
              <w:jc w:val="center"/>
              <w:rPr>
                <w:rFonts w:ascii="宋体" w:hAnsi="宋体"/>
                <w:b/>
                <w:bCs/>
                <w:color w:val="auto"/>
                <w:sz w:val="22"/>
                <w:szCs w:val="22"/>
                <w:highlight w:val="none"/>
              </w:rPr>
            </w:pPr>
            <w:r>
              <w:rPr>
                <w:rFonts w:hint="eastAsia" w:ascii="宋体" w:hAnsi="宋体"/>
                <w:b/>
                <w:bCs/>
                <w:color w:val="auto"/>
                <w:sz w:val="22"/>
                <w:szCs w:val="22"/>
                <w:highlight w:val="none"/>
              </w:rPr>
              <w:t>货物名称</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0BB60E9">
            <w:pPr>
              <w:jc w:val="center"/>
              <w:rPr>
                <w:rFonts w:hint="eastAsia" w:ascii="宋体" w:hAnsi="宋体" w:eastAsia="宋体"/>
                <w:b/>
                <w:bCs/>
                <w:color w:val="auto"/>
                <w:sz w:val="22"/>
                <w:szCs w:val="22"/>
                <w:highlight w:val="none"/>
                <w:lang w:eastAsia="zh-CN"/>
              </w:rPr>
            </w:pPr>
            <w:r>
              <w:rPr>
                <w:rFonts w:hint="eastAsia" w:ascii="宋体" w:hAnsi="宋体"/>
                <w:b/>
                <w:bCs/>
                <w:color w:val="auto"/>
                <w:sz w:val="22"/>
                <w:szCs w:val="22"/>
                <w:highlight w:val="none"/>
                <w:lang w:val="en-US" w:eastAsia="zh-CN"/>
              </w:rPr>
              <w:t>单位</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D2E540A">
            <w:pPr>
              <w:jc w:val="both"/>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数量</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069B126F">
            <w:pPr>
              <w:jc w:val="center"/>
              <w:rPr>
                <w:rFonts w:ascii="宋体" w:hAnsi="宋体"/>
                <w:b/>
                <w:bCs/>
                <w:color w:val="auto"/>
                <w:sz w:val="22"/>
                <w:szCs w:val="22"/>
                <w:highlight w:val="none"/>
              </w:rPr>
            </w:pPr>
            <w:r>
              <w:rPr>
                <w:rFonts w:hint="eastAsia" w:ascii="宋体" w:hAnsi="宋体"/>
                <w:b/>
                <w:bCs/>
                <w:color w:val="auto"/>
                <w:sz w:val="22"/>
                <w:szCs w:val="22"/>
                <w:highlight w:val="none"/>
              </w:rPr>
              <w:t>技术参数及性能（配置）要求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BF00397">
            <w:pPr>
              <w:jc w:val="center"/>
              <w:rPr>
                <w:rFonts w:hint="eastAsia" w:ascii="宋体" w:hAnsi="宋体" w:eastAsia="宋体"/>
                <w:b/>
                <w:bCs/>
                <w:color w:val="auto"/>
                <w:sz w:val="22"/>
                <w:szCs w:val="22"/>
                <w:highlight w:val="none"/>
                <w:lang w:val="en-US" w:eastAsia="zh-CN"/>
              </w:rPr>
            </w:pPr>
            <w:r>
              <w:rPr>
                <w:rFonts w:hint="eastAsia" w:ascii="宋体" w:hAnsi="宋体"/>
                <w:b/>
                <w:bCs/>
                <w:color w:val="auto"/>
                <w:sz w:val="22"/>
                <w:szCs w:val="22"/>
                <w:highlight w:val="none"/>
                <w:lang w:val="en-US" w:eastAsia="zh-CN"/>
              </w:rPr>
              <w:t>图片</w:t>
            </w:r>
          </w:p>
        </w:tc>
      </w:tr>
      <w:tr w14:paraId="4DB62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090DF943">
            <w:pPr>
              <w:keepNext w:val="0"/>
              <w:keepLines w:val="0"/>
              <w:widowControl/>
              <w:suppressLineNumbers w:val="0"/>
              <w:jc w:val="center"/>
              <w:textAlignment w:val="center"/>
              <w:rPr>
                <w:rFonts w:hint="eastAsia" w:ascii="宋体" w:hAnsi="宋体"/>
                <w:b/>
                <w:bCs/>
                <w:color w:val="auto"/>
                <w:sz w:val="22"/>
                <w:szCs w:val="22"/>
                <w:highlight w:val="none"/>
                <w:lang w:val="en-US" w:eastAsia="zh-CN"/>
              </w:rPr>
            </w:pPr>
            <w:r>
              <w:rPr>
                <w:rFonts w:hint="eastAsia" w:ascii="宋体" w:hAnsi="宋体" w:eastAsia="宋体" w:cs="宋体"/>
                <w:i w:val="0"/>
                <w:iCs w:val="0"/>
                <w:color w:val="auto"/>
                <w:kern w:val="0"/>
                <w:sz w:val="22"/>
                <w:szCs w:val="22"/>
                <w:u w:val="none"/>
                <w:lang w:val="en-US" w:eastAsia="zh-CN" w:bidi="ar"/>
              </w:rPr>
              <w:t xml:space="preserve">1 </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0920D777">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iCs w:val="0"/>
                <w:color w:val="auto"/>
                <w:kern w:val="0"/>
                <w:sz w:val="22"/>
                <w:szCs w:val="22"/>
                <w:u w:val="none"/>
                <w:lang w:val="en-US" w:eastAsia="zh-CN" w:bidi="ar"/>
              </w:rPr>
              <w:t>办公桌</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148A295">
            <w:pPr>
              <w:keepNext w:val="0"/>
              <w:keepLines w:val="0"/>
              <w:widowControl/>
              <w:suppressLineNumbers w:val="0"/>
              <w:jc w:val="center"/>
              <w:textAlignment w:val="center"/>
              <w:rPr>
                <w:rFonts w:hint="eastAsia" w:ascii="宋体" w:hAnsi="宋体" w:eastAsia="宋体" w:cs="宋体"/>
                <w:b/>
                <w:bCs/>
                <w:color w:val="auto"/>
                <w:sz w:val="22"/>
                <w:szCs w:val="22"/>
                <w:highlight w:val="none"/>
                <w:lang w:val="en-US" w:eastAsia="zh-CN"/>
              </w:rPr>
            </w:pPr>
            <w:r>
              <w:rPr>
                <w:rFonts w:hint="eastAsia" w:ascii="宋体" w:hAnsi="宋体" w:cs="宋体"/>
                <w:i w:val="0"/>
                <w:iCs w:val="0"/>
                <w:color w:val="auto"/>
                <w:kern w:val="0"/>
                <w:sz w:val="22"/>
                <w:szCs w:val="22"/>
                <w:u w:val="none"/>
                <w:lang w:val="en-US" w:eastAsia="zh-CN" w:bidi="ar"/>
              </w:rPr>
              <w:t>张</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5E828801">
            <w:pPr>
              <w:bidi w:val="0"/>
              <w:jc w:val="center"/>
              <w:rPr>
                <w:rFonts w:hint="default"/>
                <w:color w:val="auto"/>
                <w:sz w:val="22"/>
                <w:szCs w:val="22"/>
                <w:lang w:val="en-US"/>
              </w:rPr>
            </w:pPr>
            <w:r>
              <w:rPr>
                <w:rFonts w:hint="eastAsia"/>
                <w:color w:val="auto"/>
                <w:sz w:val="22"/>
                <w:szCs w:val="22"/>
                <w:lang w:val="en-US" w:eastAsia="zh-CN"/>
              </w:rPr>
              <w:t>100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7A9AA374">
            <w:pPr>
              <w:bidi w:val="0"/>
              <w:rPr>
                <w:rFonts w:hint="default" w:eastAsia="宋体"/>
                <w:highlight w:val="none"/>
                <w:lang w:val="en-US" w:eastAsia="zh-CN"/>
              </w:rPr>
            </w:pPr>
            <w:r>
              <w:rPr>
                <w:rFonts w:hint="eastAsia"/>
                <w:highlight w:val="none"/>
                <w:lang w:val="en-US" w:eastAsia="zh-CN"/>
              </w:rPr>
              <w:t>品牌：鸿芙轩</w:t>
            </w:r>
          </w:p>
          <w:p w14:paraId="44585DE1">
            <w:pPr>
              <w:bidi w:val="0"/>
              <w:rPr>
                <w:rFonts w:hint="eastAsia"/>
                <w:highlight w:val="none"/>
              </w:rPr>
            </w:pPr>
            <w:r>
              <w:rPr>
                <w:rFonts w:hint="eastAsia"/>
                <w:highlight w:val="none"/>
              </w:rPr>
              <w:t>1</w:t>
            </w:r>
            <w:r>
              <w:rPr>
                <w:rFonts w:hint="eastAsia"/>
                <w:highlight w:val="none"/>
                <w:lang w:val="en-US" w:eastAsia="zh-CN"/>
              </w:rPr>
              <w:t>.</w:t>
            </w:r>
            <w:r>
              <w:rPr>
                <w:rFonts w:hint="eastAsia"/>
                <w:highlight w:val="none"/>
              </w:rPr>
              <w:t>尺寸：1200*600*750mm；</w:t>
            </w:r>
          </w:p>
          <w:p w14:paraId="071205BC">
            <w:pPr>
              <w:bidi w:val="0"/>
              <w:rPr>
                <w:rFonts w:hint="eastAsia"/>
                <w:highlight w:val="none"/>
              </w:rPr>
            </w:pPr>
            <w:r>
              <w:rPr>
                <w:rFonts w:hint="eastAsia"/>
                <w:highlight w:val="none"/>
              </w:rPr>
              <w:t>2</w:t>
            </w:r>
            <w:r>
              <w:rPr>
                <w:rFonts w:hint="eastAsia"/>
                <w:highlight w:val="none"/>
                <w:lang w:val="en-US" w:eastAsia="zh-CN"/>
              </w:rPr>
              <w:t>.</w:t>
            </w:r>
            <w:r>
              <w:rPr>
                <w:rFonts w:hint="eastAsia"/>
                <w:highlight w:val="none"/>
              </w:rPr>
              <w:t>主体基材：优质中密度纤维板，含水率控制在8%-12%，符合GB/T 11718-2021标准 ，纹理清晰，无开裂、脱层；表面采用环保聚酯漆（PU漆），光滑耐磨、耐污，无刺激性气味；</w:t>
            </w:r>
          </w:p>
          <w:p w14:paraId="45BBCB99">
            <w:pPr>
              <w:bidi w:val="0"/>
              <w:rPr>
                <w:rFonts w:hint="eastAsia"/>
                <w:highlight w:val="none"/>
              </w:rPr>
            </w:pPr>
            <w:r>
              <w:rPr>
                <w:rFonts w:hint="eastAsia"/>
                <w:highlight w:val="none"/>
              </w:rPr>
              <w:t>3</w:t>
            </w:r>
            <w:r>
              <w:rPr>
                <w:rFonts w:hint="eastAsia"/>
                <w:highlight w:val="none"/>
                <w:lang w:val="en-US" w:eastAsia="zh-CN"/>
              </w:rPr>
              <w:t>.</w:t>
            </w:r>
            <w:r>
              <w:rPr>
                <w:rFonts w:hint="eastAsia"/>
                <w:highlight w:val="none"/>
              </w:rPr>
              <w:t>桌面功能件：桌面中间配置加厚耐磨胶板，带2个圆形走线孔（带装饰盖），方便线缆收纳；</w:t>
            </w:r>
          </w:p>
          <w:p w14:paraId="19898B7D">
            <w:pPr>
              <w:bidi w:val="0"/>
              <w:rPr>
                <w:rFonts w:hint="eastAsia"/>
                <w:highlight w:val="none"/>
              </w:rPr>
            </w:pPr>
            <w:r>
              <w:rPr>
                <w:rFonts w:hint="eastAsia"/>
                <w:highlight w:val="none"/>
              </w:rPr>
              <w:t>4</w:t>
            </w:r>
            <w:r>
              <w:rPr>
                <w:rFonts w:hint="eastAsia"/>
                <w:highlight w:val="none"/>
                <w:lang w:val="en-US" w:eastAsia="zh-CN"/>
              </w:rPr>
              <w:t>.</w:t>
            </w:r>
            <w:r>
              <w:rPr>
                <w:rFonts w:hint="eastAsia"/>
                <w:highlight w:val="none"/>
              </w:rPr>
              <w:t>五金配件 抽屉滑轨：优质三节静音滑轨，推拉顺畅无卡顿，承重≥30kg； 抽屉锁：铜芯防盗锁锁：铜芯防盗锁，开关灵活，一把钥匙可开同批次同规格抽屉； 连接件：防锈镀锌五金件，结构稳固，无松动、异响；</w:t>
            </w:r>
          </w:p>
          <w:p w14:paraId="38267675">
            <w:pPr>
              <w:bidi w:val="0"/>
              <w:rPr>
                <w:rFonts w:hint="eastAsia"/>
                <w:highlight w:val="none"/>
              </w:rPr>
            </w:pPr>
            <w:r>
              <w:rPr>
                <w:rFonts w:hint="eastAsia"/>
                <w:highlight w:val="none"/>
              </w:rPr>
              <w:t>5</w:t>
            </w:r>
            <w:r>
              <w:rPr>
                <w:rFonts w:hint="eastAsia"/>
                <w:highlight w:val="none"/>
                <w:lang w:val="en-US" w:eastAsia="zh-CN"/>
              </w:rPr>
              <w:t>.</w:t>
            </w:r>
            <w:r>
              <w:rPr>
                <w:rFonts w:hint="eastAsia"/>
                <w:highlight w:val="none"/>
              </w:rPr>
              <w:t xml:space="preserve">结构工艺 采用榫卯+五金连接件双重加固，桌腿与桌面、柜体连接处受力均匀；落地平稳，晃动量≤2mm；键盘托推拉顺畅，无脱落、变形； </w:t>
            </w:r>
          </w:p>
          <w:p w14:paraId="586DADDE">
            <w:pPr>
              <w:bidi w:val="0"/>
              <w:rPr>
                <w:rFonts w:hint="eastAsia"/>
                <w:highlight w:val="none"/>
              </w:rPr>
            </w:pPr>
            <w:r>
              <w:rPr>
                <w:rFonts w:hint="eastAsia"/>
                <w:highlight w:val="none"/>
              </w:rPr>
              <w:t>6</w:t>
            </w:r>
            <w:r>
              <w:rPr>
                <w:rFonts w:hint="eastAsia"/>
                <w:highlight w:val="none"/>
                <w:lang w:val="en-US" w:eastAsia="zh-CN"/>
              </w:rPr>
              <w:t>.</w:t>
            </w:r>
            <w:r>
              <w:rPr>
                <w:rFonts w:hint="eastAsia"/>
                <w:highlight w:val="none"/>
              </w:rPr>
              <w:t>环保标准 甲醛释放量≤0.124mg/m³（E1级，符合GB/T 3324-2017标准）；油漆、胶水等辅料环保达标，无有害气体超标；</w:t>
            </w:r>
          </w:p>
          <w:p w14:paraId="42F9B3FE">
            <w:pPr>
              <w:bidi w:val="0"/>
              <w:rPr>
                <w:rFonts w:hint="eastAsia"/>
                <w:highlight w:val="none"/>
              </w:rPr>
            </w:pPr>
            <w:r>
              <w:rPr>
                <w:rFonts w:hint="eastAsia"/>
                <w:highlight w:val="none"/>
              </w:rPr>
              <w:t>7</w:t>
            </w:r>
            <w:r>
              <w:rPr>
                <w:rFonts w:hint="eastAsia"/>
                <w:highlight w:val="none"/>
                <w:lang w:val="en-US" w:eastAsia="zh-CN"/>
              </w:rPr>
              <w:t>.</w:t>
            </w:r>
            <w:r>
              <w:rPr>
                <w:rFonts w:hint="eastAsia"/>
                <w:highlight w:val="none"/>
              </w:rPr>
              <w:t>力学性能 桌面静载≥1000N，长期使用无变形；抽屉耐久推拉≥2万次无损坏；整体承重≥200kg，符合办公家具力学性能检测标准</w:t>
            </w:r>
          </w:p>
          <w:p w14:paraId="18D0AF70">
            <w:pPr>
              <w:bidi w:val="0"/>
              <w:rPr>
                <w:rFonts w:hint="eastAsia"/>
                <w:color w:val="auto"/>
                <w:sz w:val="22"/>
                <w:szCs w:val="22"/>
              </w:rPr>
            </w:pPr>
            <w:r>
              <w:rPr>
                <w:rFonts w:hint="eastAsia"/>
                <w:highlight w:val="none"/>
              </w:rPr>
              <w:t>8</w:t>
            </w:r>
            <w:r>
              <w:rPr>
                <w:rFonts w:hint="eastAsia"/>
                <w:highlight w:val="none"/>
                <w:lang w:val="en-US" w:eastAsia="zh-CN"/>
              </w:rPr>
              <w:t>.</w:t>
            </w:r>
            <w:r>
              <w:rPr>
                <w:rFonts w:hint="eastAsia"/>
                <w:highlight w:val="none"/>
              </w:rPr>
              <w:t>外观质量：表面无划痕、气泡、流挂、色差，边角圆润无毛刺；封边严密平整，无脱胶、翘边；木纹自然，整体色调均匀协调。</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091B3335">
            <w:pPr>
              <w:bidi w:val="0"/>
              <w:rPr>
                <w:rFonts w:hint="eastAsia"/>
                <w:highlight w:val="none"/>
                <w:lang w:eastAsia="zh-CN"/>
              </w:rPr>
            </w:pPr>
            <w:r>
              <w:drawing>
                <wp:anchor distT="0" distB="0" distL="114300" distR="114300" simplePos="0" relativeHeight="251659264" behindDoc="0" locked="0" layoutInCell="1" allowOverlap="1">
                  <wp:simplePos x="0" y="0"/>
                  <wp:positionH relativeFrom="column">
                    <wp:posOffset>68580</wp:posOffset>
                  </wp:positionH>
                  <wp:positionV relativeFrom="paragraph">
                    <wp:posOffset>8890</wp:posOffset>
                  </wp:positionV>
                  <wp:extent cx="2543810" cy="2086610"/>
                  <wp:effectExtent l="0" t="0" r="1270" b="1270"/>
                  <wp:wrapSquare wrapText="bothSides"/>
                  <wp:docPr id="1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图片 1"/>
                          <pic:cNvPicPr>
                            <a:picLocks noChangeAspect="1"/>
                          </pic:cNvPicPr>
                        </pic:nvPicPr>
                        <pic:blipFill>
                          <a:blip r:embed="rId4"/>
                          <a:stretch>
                            <a:fillRect/>
                          </a:stretch>
                        </pic:blipFill>
                        <pic:spPr>
                          <a:xfrm>
                            <a:off x="0" y="0"/>
                            <a:ext cx="2543810" cy="2086610"/>
                          </a:xfrm>
                          <a:prstGeom prst="rect">
                            <a:avLst/>
                          </a:prstGeom>
                          <a:noFill/>
                          <a:ln w="9525">
                            <a:noFill/>
                          </a:ln>
                        </pic:spPr>
                      </pic:pic>
                    </a:graphicData>
                  </a:graphic>
                </wp:anchor>
              </w:drawing>
            </w:r>
          </w:p>
        </w:tc>
      </w:tr>
      <w:tr w14:paraId="2B077E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0C96DAF2">
            <w:pPr>
              <w:rPr>
                <w:rFonts w:hint="eastAsia" w:ascii="Times New Roman" w:hAnsi="Times New Roman" w:eastAsia="宋体" w:cs="Times New Roman"/>
                <w:highlight w:val="none"/>
                <w:lang w:val="en-US" w:eastAsia="zh-CN"/>
              </w:rPr>
            </w:pPr>
            <w:r>
              <w:rPr>
                <w:rFonts w:hint="eastAsia" w:cs="Times New Roman"/>
                <w:highlight w:val="none"/>
                <w:lang w:val="en-US" w:eastAsia="zh-CN"/>
              </w:rPr>
              <w:t>2</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6AC82297">
            <w:pPr>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办公椅</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9C50EA">
            <w:pPr>
              <w:rPr>
                <w:rFonts w:hint="eastAsia" w:ascii="Times New Roman" w:hAnsi="Times New Roman" w:eastAsia="宋体" w:cs="Times New Roman"/>
                <w:highlight w:val="none"/>
                <w:lang w:val="en-US" w:eastAsia="zh-CN"/>
              </w:rPr>
            </w:pPr>
            <w:r>
              <w:rPr>
                <w:rFonts w:hint="eastAsia" w:cs="Times New Roman"/>
                <w:highlight w:val="none"/>
                <w:lang w:val="en-US" w:eastAsia="zh-CN"/>
              </w:rPr>
              <w:t>张</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34046F4D">
            <w:pPr>
              <w:rPr>
                <w:rFonts w:hint="default"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100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3E4F5788">
            <w:pPr>
              <w:bidi w:val="0"/>
              <w:rPr>
                <w:rFonts w:hint="eastAsia" w:ascii="Times New Roman" w:hAnsi="Times New Roman" w:eastAsia="宋体" w:cs="Times New Roman"/>
                <w:highlight w:val="none"/>
                <w:lang w:val="en-US" w:eastAsia="zh-CN"/>
              </w:rPr>
            </w:pPr>
            <w:r>
              <w:rPr>
                <w:rFonts w:hint="eastAsia"/>
                <w:highlight w:val="none"/>
                <w:lang w:val="en-US" w:eastAsia="zh-CN"/>
              </w:rPr>
              <w:t>品牌：鸿芙轩</w:t>
            </w:r>
          </w:p>
          <w:p w14:paraId="48EB06C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椅子规格：420×440×940mm；</w:t>
            </w:r>
          </w:p>
          <w:p w14:paraId="70DADD5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框架：根据人体工程学原理设计，采用优质实木框架，经过防虫、防腐、防潮等化学处理，颜色对称，含水率低于12%。</w:t>
            </w:r>
          </w:p>
          <w:p w14:paraId="61762EE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油漆：采用优质环保哑光聚脂木器漆，耐压、耐高温、漆膜坚硬、附着力强、不易爆裂脱落，流平性强，色泽匀称，硬度达到 2H 级；苯含量小于 0.15%，甲苯、二甲苯、乙苯含量总和小于 15%。游离二异氰酸酯含量总和小于 0.2%，卤代烃含量小于 0.1%。</w:t>
            </w:r>
          </w:p>
          <w:p w14:paraId="09541E99">
            <w:pPr>
              <w:rPr>
                <w:rFonts w:hint="eastAsia" w:ascii="Times New Roman" w:hAnsi="Times New Roman" w:eastAsia="宋体" w:cs="Times New Roman"/>
                <w:highlight w:val="none"/>
                <w:lang w:val="en-US"/>
              </w:rPr>
            </w:pPr>
            <w:r>
              <w:rPr>
                <w:rFonts w:hint="eastAsia" w:ascii="Times New Roman" w:hAnsi="Times New Roman" w:eastAsia="宋体" w:cs="Times New Roman"/>
                <w:highlight w:val="none"/>
                <w:lang w:val="en-US" w:eastAsia="zh-CN"/>
              </w:rPr>
              <w:t>4</w:t>
            </w:r>
            <w:r>
              <w:rPr>
                <w:rFonts w:hint="eastAsia" w:cs="Times New Roman"/>
                <w:highlight w:val="none"/>
                <w:lang w:val="en-US" w:eastAsia="zh-CN"/>
              </w:rPr>
              <w:t>.</w:t>
            </w:r>
            <w:r>
              <w:rPr>
                <w:rFonts w:hint="eastAsia" w:ascii="Times New Roman" w:hAnsi="Times New Roman" w:eastAsia="宋体" w:cs="Times New Roman"/>
                <w:highlight w:val="none"/>
                <w:lang w:val="en-US" w:eastAsia="zh-CN"/>
              </w:rPr>
              <w:t>胶粘剂：加工中所使用的粘合剂采用优质胶粘剂，产品符合国家强制性标准GB 18583-2008《室内装饰装修材料 胶粘剂中有害物质限量》的要求。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03C03A6">
            <w:pPr>
              <w:rPr>
                <w:rFonts w:hint="eastAsia" w:ascii="Times New Roman" w:hAnsi="Times New Roman" w:eastAsia="宋体" w:cs="Times New Roman"/>
                <w:highlight w:val="none"/>
                <w:lang w:val="en-US" w:eastAsia="zh-CN"/>
              </w:rPr>
            </w:pPr>
            <w:r>
              <w:drawing>
                <wp:anchor distT="0" distB="0" distL="114300" distR="114300" simplePos="0" relativeHeight="251660288" behindDoc="0" locked="0" layoutInCell="1" allowOverlap="1">
                  <wp:simplePos x="0" y="0"/>
                  <wp:positionH relativeFrom="column">
                    <wp:posOffset>807720</wp:posOffset>
                  </wp:positionH>
                  <wp:positionV relativeFrom="paragraph">
                    <wp:posOffset>53340</wp:posOffset>
                  </wp:positionV>
                  <wp:extent cx="997585" cy="1842135"/>
                  <wp:effectExtent l="0" t="0" r="8255" b="1905"/>
                  <wp:wrapSquare wrapText="bothSides"/>
                  <wp:docPr id="1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2"/>
                          <pic:cNvPicPr>
                            <a:picLocks noChangeAspect="1"/>
                          </pic:cNvPicPr>
                        </pic:nvPicPr>
                        <pic:blipFill>
                          <a:blip r:embed="rId5"/>
                          <a:stretch>
                            <a:fillRect/>
                          </a:stretch>
                        </pic:blipFill>
                        <pic:spPr>
                          <a:xfrm>
                            <a:off x="0" y="0"/>
                            <a:ext cx="997585" cy="1842135"/>
                          </a:xfrm>
                          <a:prstGeom prst="rect">
                            <a:avLst/>
                          </a:prstGeom>
                          <a:noFill/>
                          <a:ln w="9525">
                            <a:noFill/>
                          </a:ln>
                        </pic:spPr>
                      </pic:pic>
                    </a:graphicData>
                  </a:graphic>
                </wp:anchor>
              </w:drawing>
            </w:r>
          </w:p>
        </w:tc>
      </w:tr>
      <w:tr w14:paraId="2318E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508" w:type="dxa"/>
            <w:tcBorders>
              <w:top w:val="single" w:color="auto" w:sz="4" w:space="0"/>
              <w:left w:val="single" w:color="auto" w:sz="4" w:space="0"/>
              <w:bottom w:val="single" w:color="auto" w:sz="4" w:space="0"/>
              <w:right w:val="single" w:color="auto" w:sz="4" w:space="0"/>
            </w:tcBorders>
            <w:noWrap w:val="0"/>
            <w:vAlign w:val="center"/>
          </w:tcPr>
          <w:p w14:paraId="6BD8C3F3">
            <w:pPr>
              <w:keepNext w:val="0"/>
              <w:keepLines w:val="0"/>
              <w:widowControl/>
              <w:suppressLineNumbers w:val="0"/>
              <w:jc w:val="center"/>
              <w:textAlignment w:val="center"/>
              <w:rPr>
                <w:rFonts w:hint="default" w:ascii="宋体" w:hAnsi="宋体"/>
                <w:b/>
                <w:bCs/>
                <w:color w:val="auto"/>
                <w:sz w:val="22"/>
                <w:szCs w:val="22"/>
                <w:highlight w:val="none"/>
                <w:lang w:val="en-US" w:eastAsia="zh-CN"/>
              </w:rPr>
            </w:pPr>
            <w:r>
              <w:rPr>
                <w:rFonts w:hint="eastAsia" w:ascii="宋体" w:hAnsi="宋体"/>
                <w:b/>
                <w:bCs/>
                <w:color w:val="auto"/>
                <w:sz w:val="22"/>
                <w:szCs w:val="22"/>
                <w:highlight w:val="none"/>
                <w:lang w:val="en-US" w:eastAsia="zh-CN"/>
              </w:rPr>
              <w:t>3</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9169449">
            <w:pPr>
              <w:rPr>
                <w:rFonts w:hint="eastAsia" w:ascii="Times New Roman" w:hAnsi="Times New Roman" w:eastAsia="宋体" w:cs="Times New Roman"/>
                <w:highlight w:val="none"/>
                <w:lang w:val="en-US" w:eastAsia="zh-CN"/>
              </w:rPr>
            </w:pPr>
            <w:r>
              <w:rPr>
                <w:rFonts w:hint="eastAsia" w:cs="Times New Roman"/>
                <w:highlight w:val="none"/>
                <w:lang w:val="en-US" w:eastAsia="zh-CN"/>
              </w:rPr>
              <w:t>学生</w:t>
            </w:r>
            <w:bookmarkStart w:id="7" w:name="_GoBack"/>
            <w:bookmarkEnd w:id="7"/>
            <w:r>
              <w:rPr>
                <w:rFonts w:hint="eastAsia" w:ascii="Times New Roman" w:hAnsi="Times New Roman" w:eastAsia="宋体" w:cs="Times New Roman"/>
                <w:highlight w:val="none"/>
                <w:lang w:val="en-US" w:eastAsia="zh-CN"/>
              </w:rPr>
              <w:t>课桌椅</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EFCA1CF">
            <w:pPr>
              <w:rPr>
                <w:rFonts w:hint="eastAsia" w:ascii="Times New Roman" w:hAnsi="Times New Roman" w:eastAsia="宋体" w:cs="Times New Roman"/>
                <w:highlight w:val="none"/>
                <w:lang w:val="en-US" w:eastAsia="zh-CN"/>
              </w:rPr>
            </w:pPr>
            <w:r>
              <w:rPr>
                <w:rFonts w:hint="eastAsia" w:cs="Times New Roman"/>
                <w:highlight w:val="none"/>
                <w:lang w:val="en-US" w:eastAsia="zh-CN"/>
              </w:rPr>
              <w:t>套</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226A639F">
            <w:pPr>
              <w:rPr>
                <w:rFonts w:hint="default" w:ascii="Times New Roman" w:hAnsi="Times New Roman" w:eastAsia="宋体" w:cs="Times New Roman"/>
                <w:highlight w:val="none"/>
                <w:lang w:val="en-US" w:eastAsia="zh-CN"/>
              </w:rPr>
            </w:pPr>
            <w:r>
              <w:rPr>
                <w:rFonts w:hint="eastAsia" w:cs="Times New Roman"/>
                <w:highlight w:val="none"/>
                <w:lang w:val="en-US" w:eastAsia="zh-CN"/>
              </w:rPr>
              <w:t>2200</w:t>
            </w:r>
          </w:p>
        </w:tc>
        <w:tc>
          <w:tcPr>
            <w:tcW w:w="7788" w:type="dxa"/>
            <w:tcBorders>
              <w:top w:val="single" w:color="auto" w:sz="4" w:space="0"/>
              <w:left w:val="single" w:color="auto" w:sz="4" w:space="0"/>
              <w:bottom w:val="single" w:color="auto" w:sz="4" w:space="0"/>
              <w:right w:val="single" w:color="auto" w:sz="4" w:space="0"/>
            </w:tcBorders>
            <w:noWrap w:val="0"/>
            <w:vAlign w:val="center"/>
          </w:tcPr>
          <w:p w14:paraId="0CCF4BD1">
            <w:pPr>
              <w:bidi w:val="0"/>
              <w:rPr>
                <w:rFonts w:hint="eastAsia" w:ascii="Times New Roman" w:hAnsi="Times New Roman" w:eastAsia="宋体" w:cs="Times New Roman"/>
                <w:highlight w:val="none"/>
                <w:lang w:val="en-US" w:eastAsia="zh-CN"/>
              </w:rPr>
            </w:pPr>
            <w:r>
              <w:rPr>
                <w:rFonts w:hint="eastAsia"/>
                <w:highlight w:val="none"/>
                <w:lang w:val="en-US" w:eastAsia="zh-CN"/>
              </w:rPr>
              <w:t>品牌：鸿芙轩</w:t>
            </w:r>
          </w:p>
          <w:p w14:paraId="38EFA04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一、单人课桌椅（每套包含课桌并配套单人椅1张）。</w:t>
            </w:r>
          </w:p>
          <w:p w14:paraId="114A72BC">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二、型号规格要求</w:t>
            </w:r>
          </w:p>
          <w:p w14:paraId="7181FE9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（一）课桌椅的型号规格及结构应符合国家标准要求。</w:t>
            </w:r>
          </w:p>
          <w:p w14:paraId="74AA690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（二）课桌：各型号规格的尺寸除本表中特别要求外，产品应符合国家标准GB/T 3976-2014《学校课桌椅功能尺寸及技术要求》中的功能尺寸及技术要求。在课桌左右两侧面设置挂书包的挂钩或在课桌的后端下面设置放书包的装置，其尺寸范围不能超出国家标准的规定范围。</w:t>
            </w:r>
          </w:p>
          <w:p w14:paraId="39E49C9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（三）课椅：各型号规格的尺寸除本表中特别要求外，产品应符合国家标准GB/T 3976-2014《学校课桌椅功能尺寸及技术要求》中的功能尺寸及技术要求。</w:t>
            </w:r>
          </w:p>
          <w:p w14:paraId="3691D93B">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▲(四)型号规格</w:t>
            </w:r>
          </w:p>
          <w:p w14:paraId="376A39E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1、课桌桌面板尺寸：不小于600mm×400mm；</w:t>
            </w:r>
          </w:p>
          <w:p w14:paraId="64255CE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2、课桌高度：</w:t>
            </w:r>
          </w:p>
          <w:p w14:paraId="1DAD031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（1）中学部分：采用双柱升降课桌；高度760mm（1号）、730mm（2号）、700mm（3号）、670mm（4号），允许误差±5mm，可按以上高度进行调节升降。</w:t>
            </w:r>
          </w:p>
          <w:p w14:paraId="619D8966">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（2）小学部分：采用固定式双柱课桌；高度640 mm（5号）、610 mm（6号）、580mm（7号）、550mm（8号），允许偏差±5mm。</w:t>
            </w:r>
          </w:p>
          <w:p w14:paraId="4009878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3、课椅椅座面板尺寸：</w:t>
            </w:r>
          </w:p>
          <w:p w14:paraId="50004DF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（1）中学部分：宽度不小于380mm、深380mm(±2mm)；</w:t>
            </w:r>
          </w:p>
          <w:p w14:paraId="6615D9CC">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（2）小学部分：宽度不小于380mm、深380mm(±2mm)；</w:t>
            </w:r>
          </w:p>
          <w:p w14:paraId="3609F84B">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4、课椅椅靠背面板尺寸：</w:t>
            </w:r>
          </w:p>
          <w:p w14:paraId="7CFD055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（1）中学部分：宽度不小于380mm、高度155mm(±2mm)；</w:t>
            </w:r>
          </w:p>
          <w:p w14:paraId="1C5AAB4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（2）小学部分：宽度不小于380mm、高度155mm(±2mm)；</w:t>
            </w:r>
          </w:p>
          <w:p w14:paraId="53744E5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5、座面高度：</w:t>
            </w:r>
          </w:p>
          <w:p w14:paraId="446BB03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（1）中学部分：课椅高度：440 mm（1号）、420 mm（2号）、400 mm（3号）、380mm（4号），允许误差±5mm，可按以上高度进行调节升降。</w:t>
            </w:r>
          </w:p>
          <w:p w14:paraId="163B74D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（2）小学部分：以下型号要求固定高度：360mm（5号）、340mm（6号）、320mm（7号）、300mm（8号），允许误差±5mm。</w:t>
            </w:r>
          </w:p>
          <w:p w14:paraId="5ADEAD8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6.桌斗尺寸：尺寸：约345mm×520mm×170mm，尺寸允许偏差±3mm；桌斗与侧板采用高频焊接，不允许使用铆钉或螺钉连接。</w:t>
            </w:r>
          </w:p>
          <w:p w14:paraId="09576DF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(五)结构要求：双柱升降调节。</w:t>
            </w:r>
          </w:p>
          <w:p w14:paraId="11D399C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三、课桌椅的材料要求</w:t>
            </w:r>
          </w:p>
          <w:p w14:paraId="40DF53D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（一）金属件</w:t>
            </w:r>
          </w:p>
          <w:p w14:paraId="10F7D75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▲1、主体材料：</w:t>
            </w:r>
          </w:p>
          <w:p w14:paraId="5542D2A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1.1、课桌、课椅的金属管件采用公称尺寸不小于25mm×50mm的椭圆管，管壁公称厚度均不小于1.0mm；钢管符合GB/T 3094-2012《冷拔异型钢管》、QB/T3826-1999《轻工产品金属镀层和化学处理层的耐腐蚀试验方法 中性盐雾试验(NSS)法》、QB/T 3832-1999《轻工产品金属镀层腐蚀试验结果的评价》要求，其中：化学成分(%)（C≤0.20、Si≤0.35、Mn≤1.40、P≤0.045、S≤0.045），力学性能（下屈服强度≥235N/m㎡、抗拉强度为370-500 N/m㎡、断后伸长率≥25%）。经过不少于150h试验，耐腐蚀等级达到9级以上，投标时必须提供由具有合法检测资格的检测机构出具的符合上述要求的检测报告扫描件。</w:t>
            </w:r>
          </w:p>
          <w:p w14:paraId="79F9003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1.2、课桌的桌斗用公称厚度不小于0.6mm的优质冷轧钢板；</w:t>
            </w:r>
          </w:p>
          <w:p w14:paraId="07B5A33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1.3、立板采用优质冷轧板，课桌、课椅两侧可调高度的立板厚度不小于0.8mm；冷轧钢板符合GB/T 700-2006《碳素结构钢》、QB/T 3826-1999《轻工产品金属镀层和化学处理层的耐腐蚀试验方法 中性盐雾试验(NSS)法》、QB/T 3832-1999《轻工产品金属镀层腐蚀试验结果的评价》要求，其中：化学成分(%)（C≤0.20、Si≤0.35、Mn≤1.40、P≤0.045、S≤0.045）；力学性能（屈服强度≥235N/m㎡、抗拉强度为370-500 N/m㎡、断后伸长率≥26%）；经过不少于150h试验，耐腐蚀等级达到9级以上，投标时必须提供由具有合法检测资格的检测机构出具的符合上述要求的检测报告扫描件。</w:t>
            </w:r>
          </w:p>
          <w:p w14:paraId="4755A99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1.4、椅子靠背支架采用优质高频焊接（约20×20mm）方管，管壁厚度不小于1.0mm；</w:t>
            </w:r>
          </w:p>
          <w:p w14:paraId="5429293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1.5、课桌左右两边要求配有挂钩，挂钩采用直径不小于4mm的冷拉普通钢丝制作，规格不小于55×25×20mm。</w:t>
            </w:r>
          </w:p>
          <w:p w14:paraId="10AD767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材料质量：金属管件外形的尺寸偏差、管壁厚度偏差和钢板厚度偏差以及金属材料的力学性能指标等质量技术参数，均应符合相应的国家标准的规定。不允许使用出现孔洞、缺口、开裂、尖角、裂缝、叠缝、腐蚀、离层、结疤、氧化皮等影响产品结构强度、外观和安全的材料。</w:t>
            </w:r>
          </w:p>
          <w:p w14:paraId="1CADA9D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▲（二）木制件</w:t>
            </w:r>
          </w:p>
          <w:p w14:paraId="505DA60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1、桌面板厚15mm，采用桉木基材的胶合板,双面饰面,甲醛释放量达到E1级控制指标，四周采用PE注塑成型，注塑边缘与桌面圆润连接，无突兀感；</w:t>
            </w:r>
          </w:p>
          <w:p w14:paraId="68792F2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2、胶合板符合GB/T9846-2015《普通胶合板》、GB 18580-2017《室内装饰装修材料人造板及其制品中甲醛释放限量》标准检测，检测结果包括但不限于以下内容：①甲醛释放量≤0.124mg/m3，②含水率5%～16%；③静曲强度：顺纹≥24.0MPa、横纹≥20.0MPa；④弹性模量：顺纹≥5000MPa、横纹≥3500MPa；⑤胶合强度≥0.70MPa；投标时必须提供由具有合法检测资格的检测机构出具的符合上述要求的检测报告扫描件。</w:t>
            </w:r>
          </w:p>
          <w:p w14:paraId="265579D2">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椅座面板厚≥10mm，主体采用桉木基材的胶合板,座面板前端为圆弧结构，双面饰面，甲醛释放量达到E1级控制指标，符合人体工程学的设计。面板四周采用PE注塑成型，注塑边缘与座面圆润连接，无突兀感，增加舒适程度。</w:t>
            </w:r>
          </w:p>
          <w:p w14:paraId="66826025">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4、课椅靠背要求是弧形的主体采用桉木基材的胶合板,双面饰面，面板厚≥10mm。靠背面板四周采用PE注塑成型，注塑边缘与座面圆润连接，无突兀感，增加舒适程度。</w:t>
            </w:r>
          </w:p>
          <w:p w14:paraId="2F0A7DC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5、含水率：课桌椅加工所用胶合板含水率应不高于16%。课桌椅产品出厂时木材含水率不高于16%。</w:t>
            </w:r>
          </w:p>
          <w:p w14:paraId="638E981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▲（三）其它材料</w:t>
            </w:r>
          </w:p>
          <w:p w14:paraId="04F28F7F">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桌脚和椅脚的脚套为内嵌式脚套，采用超高分子量PE材料制作，脚套内深不低于35mm，加强筋4圈，底厚不低于5mm，脚套与桌脚和椅脚应结合紧密，牢靠，不脱落。</w:t>
            </w:r>
          </w:p>
          <w:p w14:paraId="6C20879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四、课桌椅的加工要求</w:t>
            </w:r>
          </w:p>
          <w:p w14:paraId="38A3ECB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（一）金属件加工要求</w:t>
            </w:r>
          </w:p>
          <w:p w14:paraId="0375624D">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金属零、部件的连接方式采取焊接连接，不允许采用铆钉连接（铆接）和螺钉连接。焊接件焊接时采用二氧化碳保护焊接。焊接件焊接处应无脱焊、虚焊、焊穿、错位；焊接处应无夹渣、气孔、焊瘤、焊丝头、咬边、飞溅；焊疤表面波纹应均匀、高低之差应不大于1mm。</w:t>
            </w:r>
          </w:p>
          <w:p w14:paraId="3C4E3C4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冲压件应无脱层、裂缝。桌斗利用钢板由机器冲压一次成型，端口作卷边处理增强刚性，以防尖利边角对人体的伤害。桌斗前端处冲压不少于两条上凸的加强筋以增强桌斗刚性。课桌两侧立板边缘打磨平滑后再喷漆，以防尖毛边刮伤人体。</w:t>
            </w:r>
          </w:p>
          <w:p w14:paraId="2F566E8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▲3、课桌和课椅钢架支撑立柱，采取圆弧弯管支撑，椭圆管折弯处饱满，无凹陷，留空桌脚周边空间便于打扫卫生。</w:t>
            </w:r>
          </w:p>
          <w:p w14:paraId="78E0A8A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▲4、桌斗桌脚架、课椅脚架固定要用平头内六角螺栓、平垫片、弹簧垫片和六角圆头盖形螺母坚固；侧片采用圆形孔，安装好产品致使螺丝不能任意松垮，确保课桌、课椅的安全使用。</w:t>
            </w:r>
          </w:p>
          <w:p w14:paraId="1D07D13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（二）木制件加工要求</w:t>
            </w:r>
          </w:p>
          <w:p w14:paraId="5A6FEF5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木制件端面应进行精加工以便于涂饰处理。</w:t>
            </w:r>
          </w:p>
          <w:p w14:paraId="6B0DB8E7">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（三）木制件与金属件的连接</w:t>
            </w:r>
          </w:p>
          <w:p w14:paraId="68BE59E3">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1、课桌面板与钢架的连接采用自攻钉固定，面板与钢架连接的自攻钉不少于八颗。</w:t>
            </w:r>
          </w:p>
          <w:p w14:paraId="5B3A62B0">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▲2、课椅面板、靠背板与钢架的连接采用抽芯钉连接，面板、靠背板与钢架连接的抽芯钉均不少于四根。</w:t>
            </w:r>
          </w:p>
          <w:p w14:paraId="5302BFC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3、抽芯铆钉钉体直径d不小于5mm，钉体材料为铝合金、钉芯材料为钢（表面镀锌），铆钉表面应无毛刺和有害缺陷，并有完整的头、杆形状。</w:t>
            </w:r>
          </w:p>
          <w:p w14:paraId="615C640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（四）课桌椅加工尺寸要求</w:t>
            </w:r>
          </w:p>
          <w:p w14:paraId="26A266D4">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桌面高、椅座面高尺寸的允许误差范围按GB/T 3976-2014《学校课桌椅功能尺寸及技术要求》的规定执行。</w:t>
            </w:r>
          </w:p>
          <w:p w14:paraId="33A3AD2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五、课桌椅的涂饰要求</w:t>
            </w:r>
          </w:p>
          <w:p w14:paraId="04DDCA1A">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（一）涂饰要求</w:t>
            </w:r>
          </w:p>
          <w:p w14:paraId="1AD92FAE">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1、涂饰前课桌椅零、部件的表面应光滑、平整，不得有飞边、尖角、毛刺等可能造成机械伤害的缺陷。金属件应无开裂、脱焊、漏焊、焊渣等缺陷。</w:t>
            </w:r>
          </w:p>
          <w:p w14:paraId="07496366">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涂饰前金属件零、部件表面必须进行预备处理，采用除锈、防锈处理工艺，除去锈迹等其他污迹后进行涂装打底磷化处理。预备处理后表面不得有氧化皮、锈蚀、粘砂等其他杂质，磷化层达到工艺要求，预备处理后应及时进行涂饰。</w:t>
            </w:r>
          </w:p>
          <w:p w14:paraId="66880252">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▲3、采用环保产品环氧聚脂塑粉静电喷塑。喷塑外膜的表面光滑平整，色泽均匀，喷塑层无漏喷、起泡、模糊、划痕或碰伤等缺陷。塑粉符合HG/T 2006-2022《热固性和热塑性粉末涂料》标准要求：筛余物(125μm)全部通过、涂膜外观正常、铅笔硬度(内聚破坏中擦伤)≥H、附着力(干附着力)≤1级、弯曲试验≤4mm、杯突试验≥4mm、耐磨性(750g/500r)≤50mg、耐碱性168h无异常、耐酸性240h无异常、耐湿性500h无异常、耐沸水性(2h)无异常，投标时必须提供由具有合法检测资格的检测机构出具的塑粉符合上述要求的检测报告扫描件。</w:t>
            </w:r>
          </w:p>
          <w:p w14:paraId="121D7C18">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4、课桌椅所有木制件的外表面（使用面）均应装饰处理；非使用面涂清漆。木制件端面应进行涂饰处理。</w:t>
            </w:r>
          </w:p>
          <w:p w14:paraId="7D13FAE1">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（二）涂饰层外观</w:t>
            </w:r>
          </w:p>
          <w:p w14:paraId="499428E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1、金属件涂层应无漏喷、锈蚀；应光滑均匀，色泽一致，应无流挂、疙瘩、皱皮、飞漆等缺陷。</w:t>
            </w:r>
          </w:p>
          <w:p w14:paraId="7EE1E44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2、木制件表面装饰层应手感光滑，无划痕、压痕、雾光、白楞、白斑、鼓泡、流挂、刷毛、积粉和杂渣、皱皮、发粘、漏漆现象。薄木材料贴面不允许有明显透胶、脱胶、凹陷、压痕、鼓泡、胶迹。</w:t>
            </w:r>
          </w:p>
          <w:p w14:paraId="64E8D769">
            <w:pP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3、每批产品（含课桌、课椅）不允许有明显色差。</w:t>
            </w:r>
          </w:p>
          <w:p w14:paraId="58C34E21">
            <w:pP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4、产品上的五金配件应做防锈处理。</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5AA16766">
            <w:pPr>
              <w:rPr>
                <w:rFonts w:hint="eastAsia" w:ascii="Times New Roman" w:hAnsi="Times New Roman" w:eastAsia="宋体" w:cs="Times New Roman"/>
                <w:highlight w:val="none"/>
                <w:lang w:val="en-US" w:eastAsia="zh-CN"/>
              </w:rPr>
            </w:pPr>
            <w:r>
              <w:drawing>
                <wp:anchor distT="0" distB="0" distL="114300" distR="114300" simplePos="0" relativeHeight="251661312" behindDoc="0" locked="0" layoutInCell="1" allowOverlap="1">
                  <wp:simplePos x="0" y="0"/>
                  <wp:positionH relativeFrom="column">
                    <wp:posOffset>441960</wp:posOffset>
                  </wp:positionH>
                  <wp:positionV relativeFrom="paragraph">
                    <wp:posOffset>41275</wp:posOffset>
                  </wp:positionV>
                  <wp:extent cx="2025015" cy="1663700"/>
                  <wp:effectExtent l="0" t="0" r="1905" b="12700"/>
                  <wp:wrapSquare wrapText="bothSides"/>
                  <wp:docPr id="1101" name="ID_4B1E5897DBE340D29F8205951EEC2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D_4B1E5897DBE340D29F8205951EEC21BB"/>
                          <pic:cNvPicPr>
                            <a:picLocks noChangeAspect="1"/>
                          </pic:cNvPicPr>
                        </pic:nvPicPr>
                        <pic:blipFill>
                          <a:blip r:embed="rId6"/>
                          <a:stretch>
                            <a:fillRect/>
                          </a:stretch>
                        </pic:blipFill>
                        <pic:spPr>
                          <a:xfrm>
                            <a:off x="0" y="0"/>
                            <a:ext cx="2025015" cy="1663700"/>
                          </a:xfrm>
                          <a:prstGeom prst="rect">
                            <a:avLst/>
                          </a:prstGeom>
                          <a:noFill/>
                          <a:ln w="9525">
                            <a:noFill/>
                          </a:ln>
                        </pic:spPr>
                      </pic:pic>
                    </a:graphicData>
                  </a:graphic>
                </wp:anchor>
              </w:drawing>
            </w:r>
          </w:p>
        </w:tc>
      </w:tr>
      <w:tr w14:paraId="10E4EA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10714" w:type="dxa"/>
            <w:gridSpan w:val="5"/>
            <w:tcBorders>
              <w:top w:val="single" w:color="auto" w:sz="4" w:space="0"/>
              <w:left w:val="single" w:color="auto" w:sz="4" w:space="0"/>
              <w:bottom w:val="single" w:color="auto" w:sz="4" w:space="0"/>
              <w:right w:val="single" w:color="auto" w:sz="4" w:space="0"/>
            </w:tcBorders>
            <w:noWrap w:val="0"/>
            <w:vAlign w:val="center"/>
          </w:tcPr>
          <w:p w14:paraId="41BA0316">
            <w:pPr>
              <w:keepNext w:val="0"/>
              <w:keepLines w:val="0"/>
              <w:widowControl/>
              <w:suppressLineNumbers w:val="0"/>
              <w:jc w:val="left"/>
              <w:textAlignment w:val="center"/>
              <w:rPr>
                <w:rFonts w:hint="eastAsia" w:ascii="宋体" w:hAnsi="宋体" w:eastAsia="宋体" w:cs="宋体"/>
                <w:color w:val="auto"/>
                <w:sz w:val="22"/>
                <w:szCs w:val="22"/>
                <w:lang w:val="en-US"/>
              </w:rPr>
            </w:pPr>
            <w:r>
              <w:rPr>
                <w:rFonts w:hint="eastAsia" w:ascii="宋体" w:hAnsi="宋体" w:cs="宋体"/>
                <w:color w:val="auto"/>
                <w:sz w:val="22"/>
                <w:szCs w:val="22"/>
                <w:highlight w:val="none"/>
              </w:rPr>
              <w:t>▲</w:t>
            </w:r>
            <w:r>
              <w:rPr>
                <w:rFonts w:hint="eastAsia" w:ascii="宋体" w:hAnsi="宋体"/>
                <w:b/>
                <w:bCs/>
                <w:color w:val="auto"/>
                <w:sz w:val="22"/>
                <w:szCs w:val="22"/>
                <w:highlight w:val="none"/>
              </w:rPr>
              <w:t>商</w:t>
            </w:r>
            <w:r>
              <w:rPr>
                <w:rFonts w:hint="eastAsia" w:ascii="宋体" w:hAnsi="宋体"/>
                <w:b/>
                <w:color w:val="auto"/>
                <w:sz w:val="22"/>
                <w:szCs w:val="22"/>
                <w:highlight w:val="none"/>
              </w:rPr>
              <w:t>务要求</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6DBA0466">
            <w:pPr>
              <w:keepNext w:val="0"/>
              <w:keepLines w:val="0"/>
              <w:widowControl/>
              <w:suppressLineNumbers w:val="0"/>
              <w:jc w:val="left"/>
              <w:textAlignment w:val="center"/>
              <w:rPr>
                <w:rFonts w:hint="eastAsia" w:ascii="宋体" w:hAnsi="宋体" w:cs="宋体"/>
                <w:color w:val="auto"/>
                <w:sz w:val="22"/>
                <w:szCs w:val="22"/>
                <w:highlight w:val="none"/>
              </w:rPr>
            </w:pPr>
          </w:p>
        </w:tc>
      </w:tr>
      <w:tr w14:paraId="721AF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1CEFF420">
            <w:pPr>
              <w:snapToGrid w:val="0"/>
              <w:spacing w:line="360" w:lineRule="auto"/>
              <w:jc w:val="center"/>
              <w:rPr>
                <w:rFonts w:hint="eastAsia" w:ascii="宋体" w:hAnsi="宋体" w:eastAsia="宋体" w:cs="宋体"/>
                <w:color w:val="auto"/>
                <w:kern w:val="0"/>
                <w:sz w:val="22"/>
                <w:szCs w:val="22"/>
                <w:highlight w:val="none"/>
                <w:lang w:val="en-US" w:eastAsia="zh-CN" w:bidi="ar"/>
              </w:rPr>
            </w:pPr>
            <w:r>
              <w:rPr>
                <w:rFonts w:hint="eastAsia" w:ascii="宋体" w:hAnsi="宋体" w:cs="宋体"/>
                <w:color w:val="auto"/>
                <w:sz w:val="22"/>
                <w:szCs w:val="22"/>
                <w:highlight w:val="none"/>
              </w:rPr>
              <w:t>交货时间和地点</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D6AB222">
            <w:pPr>
              <w:keepNext w:val="0"/>
              <w:keepLines w:val="0"/>
              <w:pageBreakBefore w:val="0"/>
              <w:kinsoku/>
              <w:overflowPunct/>
              <w:topLinePunct w:val="0"/>
              <w:autoSpaceDE/>
              <w:autoSpaceDN/>
              <w:bidi w:val="0"/>
              <w:spacing w:line="360" w:lineRule="exact"/>
              <w:jc w:val="both"/>
              <w:textAlignment w:val="auto"/>
              <w:rPr>
                <w:rFonts w:hint="default" w:ascii="宋体" w:hAnsi="宋体" w:cs="宋体"/>
                <w:color w:val="auto"/>
                <w:sz w:val="22"/>
                <w:szCs w:val="22"/>
                <w:highlight w:val="none"/>
                <w:lang w:val="en-US"/>
              </w:rPr>
            </w:pPr>
            <w:r>
              <w:rPr>
                <w:rFonts w:hint="eastAsia" w:ascii="宋体" w:hAnsi="宋体" w:cs="宋体"/>
                <w:color w:val="auto"/>
                <w:sz w:val="22"/>
                <w:szCs w:val="22"/>
                <w:highlight w:val="none"/>
              </w:rPr>
              <w:t>1.交货时间：</w:t>
            </w:r>
            <w:r>
              <w:rPr>
                <w:rFonts w:hint="eastAsia" w:ascii="宋体" w:hAnsi="宋体"/>
                <w:color w:val="auto"/>
                <w:sz w:val="22"/>
                <w:szCs w:val="22"/>
                <w:highlight w:val="none"/>
                <w:lang w:eastAsia="zh-CN"/>
              </w:rPr>
              <w:t>自签订合同后，接到采购人供货通知之日</w:t>
            </w:r>
            <w:r>
              <w:rPr>
                <w:rFonts w:hint="eastAsia" w:ascii="宋体" w:hAnsi="宋体"/>
                <w:color w:val="auto"/>
                <w:sz w:val="22"/>
                <w:szCs w:val="22"/>
                <w:highlight w:val="none"/>
                <w:lang w:val="en-US" w:eastAsia="zh-CN"/>
              </w:rPr>
              <w:t>30个</w:t>
            </w:r>
            <w:r>
              <w:rPr>
                <w:rFonts w:hint="eastAsia"/>
                <w:color w:val="auto"/>
                <w:sz w:val="22"/>
                <w:szCs w:val="22"/>
                <w:lang w:val="en-US" w:eastAsia="zh-CN"/>
              </w:rPr>
              <w:t>日历日</w:t>
            </w:r>
            <w:r>
              <w:rPr>
                <w:rFonts w:hint="eastAsia" w:ascii="宋体" w:hAnsi="宋体"/>
                <w:color w:val="auto"/>
                <w:sz w:val="22"/>
                <w:szCs w:val="22"/>
                <w:highlight w:val="none"/>
                <w:lang w:eastAsia="zh-CN"/>
              </w:rPr>
              <w:t>内交货并安装调试完毕，并达到验收合格标准</w:t>
            </w:r>
            <w:r>
              <w:rPr>
                <w:rFonts w:hint="eastAsia" w:ascii="宋体" w:hAnsi="宋体"/>
                <w:color w:val="auto"/>
                <w:sz w:val="22"/>
                <w:szCs w:val="22"/>
                <w:highlight w:val="none"/>
                <w:lang w:val="en-US" w:eastAsia="zh-CN"/>
              </w:rPr>
              <w:t>。</w:t>
            </w:r>
          </w:p>
          <w:p w14:paraId="061A32E5">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Courier New" w:eastAsia="宋体" w:cs="Times New Roman"/>
                <w:color w:val="auto"/>
                <w:kern w:val="2"/>
                <w:sz w:val="22"/>
                <w:szCs w:val="22"/>
                <w:highlight w:val="none"/>
                <w:lang w:val="en-US" w:eastAsia="zh-CN" w:bidi="ar-SA"/>
              </w:rPr>
            </w:pPr>
            <w:bookmarkStart w:id="4" w:name="_Toc17204"/>
            <w:r>
              <w:rPr>
                <w:rFonts w:hint="eastAsia" w:ascii="宋体" w:hAnsi="宋体" w:cs="宋体"/>
                <w:color w:val="auto"/>
                <w:sz w:val="22"/>
                <w:szCs w:val="22"/>
                <w:highlight w:val="none"/>
              </w:rPr>
              <w:t>2.交货地点：采购人指定地点。</w:t>
            </w:r>
            <w:bookmarkEnd w:id="4"/>
          </w:p>
        </w:tc>
        <w:tc>
          <w:tcPr>
            <w:tcW w:w="4344" w:type="dxa"/>
            <w:tcBorders>
              <w:top w:val="single" w:color="auto" w:sz="4" w:space="0"/>
              <w:left w:val="single" w:color="auto" w:sz="4" w:space="0"/>
              <w:bottom w:val="single" w:color="auto" w:sz="4" w:space="0"/>
              <w:right w:val="single" w:color="auto" w:sz="4" w:space="0"/>
            </w:tcBorders>
            <w:noWrap w:val="0"/>
            <w:vAlign w:val="center"/>
          </w:tcPr>
          <w:p w14:paraId="20DD875D">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292FC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FB3690F">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合同签订时间</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48A1F6F8">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5" w:name="_Toc27990"/>
            <w:r>
              <w:rPr>
                <w:rFonts w:hint="eastAsia" w:ascii="宋体" w:hAnsi="宋体" w:cs="宋体"/>
                <w:color w:val="auto"/>
                <w:sz w:val="22"/>
                <w:szCs w:val="22"/>
                <w:highlight w:val="none"/>
              </w:rPr>
              <w:t xml:space="preserve">自成交通知书发出之日起 </w:t>
            </w:r>
            <w:r>
              <w:rPr>
                <w:rFonts w:hint="eastAsia" w:ascii="宋体" w:hAnsi="宋体" w:cs="宋体"/>
                <w:color w:val="auto"/>
                <w:sz w:val="22"/>
                <w:szCs w:val="22"/>
                <w:highlight w:val="none"/>
                <w:u w:val="single"/>
                <w:lang w:val="en-US" w:eastAsia="zh-CN"/>
              </w:rPr>
              <w:t>5</w:t>
            </w:r>
            <w:r>
              <w:rPr>
                <w:rFonts w:hint="eastAsia" w:ascii="宋体" w:hAnsi="宋体" w:cs="宋体"/>
                <w:color w:val="auto"/>
                <w:sz w:val="22"/>
                <w:szCs w:val="22"/>
                <w:highlight w:val="none"/>
              </w:rPr>
              <w:t>个</w:t>
            </w:r>
            <w:r>
              <w:rPr>
                <w:rFonts w:hint="eastAsia" w:hAnsi="宋体" w:cs="宋体"/>
                <w:color w:val="auto"/>
                <w:sz w:val="22"/>
                <w:szCs w:val="22"/>
                <w:highlight w:val="none"/>
                <w:lang w:val="en-US" w:eastAsia="zh-CN"/>
              </w:rPr>
              <w:t>工作日</w:t>
            </w:r>
            <w:r>
              <w:rPr>
                <w:rFonts w:hint="eastAsia" w:ascii="宋体" w:hAnsi="宋体" w:cs="宋体"/>
                <w:color w:val="auto"/>
                <w:sz w:val="22"/>
                <w:szCs w:val="22"/>
                <w:highlight w:val="none"/>
              </w:rPr>
              <w:t>内</w:t>
            </w:r>
            <w:r>
              <w:rPr>
                <w:rFonts w:hint="eastAsia" w:hAnsi="宋体" w:cs="宋体"/>
                <w:color w:val="auto"/>
                <w:sz w:val="22"/>
                <w:szCs w:val="22"/>
                <w:highlight w:val="none"/>
                <w:lang w:eastAsia="zh-CN"/>
              </w:rPr>
              <w:t>。</w:t>
            </w:r>
            <w:bookmarkEnd w:id="5"/>
          </w:p>
        </w:tc>
        <w:tc>
          <w:tcPr>
            <w:tcW w:w="4344" w:type="dxa"/>
            <w:tcBorders>
              <w:top w:val="single" w:color="auto" w:sz="4" w:space="0"/>
              <w:left w:val="single" w:color="auto" w:sz="4" w:space="0"/>
              <w:bottom w:val="single" w:color="auto" w:sz="4" w:space="0"/>
              <w:right w:val="single" w:color="auto" w:sz="4" w:space="0"/>
            </w:tcBorders>
            <w:noWrap w:val="0"/>
            <w:vAlign w:val="center"/>
          </w:tcPr>
          <w:p w14:paraId="575C5BCC">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4778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D8B87E8">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付款条件</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4ED29505">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r>
              <w:rPr>
                <w:rFonts w:hint="eastAsia" w:ascii="宋体" w:hAnsi="宋体"/>
                <w:color w:val="auto"/>
                <w:sz w:val="22"/>
                <w:szCs w:val="22"/>
                <w:highlight w:val="none"/>
              </w:rPr>
              <w:t>本项目无预付款，本合同项下的全部货物安装调试完毕并经最终验收合格后，办理支付合同款的100%</w:t>
            </w:r>
            <w:r>
              <w:rPr>
                <w:rFonts w:hint="eastAsia" w:hAnsi="宋体"/>
                <w:color w:val="auto"/>
                <w:sz w:val="22"/>
                <w:szCs w:val="22"/>
                <w:highlight w:val="none"/>
                <w:lang w:eastAsia="zh-CN"/>
              </w:rPr>
              <w:t>，</w:t>
            </w:r>
            <w:r>
              <w:rPr>
                <w:rFonts w:hint="eastAsia" w:ascii="宋体" w:hAnsi="宋体"/>
                <w:color w:val="auto"/>
                <w:sz w:val="22"/>
                <w:szCs w:val="22"/>
                <w:highlight w:val="none"/>
              </w:rPr>
              <w:t>乙方需提供项目相应的请款材料给甲方，甲方在7个工作日内完善请款手续并将请款材料送到防城区财政局，待防城区财政局将项目款划拔到甲方帐号后，甲方在5个工作日内将项目款划拔到乙方帐号。乙方需缴纳合同总价款的3%自动转为项目质保金，满1年后无息返还。</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3F6B0102">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olor w:val="auto"/>
                <w:sz w:val="22"/>
                <w:szCs w:val="22"/>
                <w:highlight w:val="none"/>
              </w:rPr>
            </w:pPr>
          </w:p>
        </w:tc>
      </w:tr>
      <w:tr w14:paraId="45767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548774B">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质保期</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155117D">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按国家有关产品“三包”规定执行“三包”，除特别注明的设备外，</w:t>
            </w:r>
            <w:r>
              <w:rPr>
                <w:rFonts w:hint="eastAsia" w:ascii="宋体" w:hAnsi="宋体" w:eastAsia="宋体" w:cs="宋体"/>
                <w:color w:val="auto"/>
                <w:sz w:val="22"/>
                <w:szCs w:val="22"/>
                <w:highlight w:val="none"/>
                <w:lang w:val="en-US" w:eastAsia="zh-CN"/>
              </w:rPr>
              <w:t>货物</w:t>
            </w:r>
            <w:r>
              <w:rPr>
                <w:rFonts w:hint="eastAsia" w:ascii="宋体" w:hAnsi="宋体" w:eastAsia="宋体" w:cs="宋体"/>
                <w:color w:val="auto"/>
                <w:sz w:val="22"/>
                <w:szCs w:val="22"/>
                <w:highlight w:val="none"/>
              </w:rPr>
              <w:t>质量保证期（质保期）：不少于</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年（含</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年）。</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5CF32CB1">
            <w:pPr>
              <w:keepNext w:val="0"/>
              <w:keepLines w:val="0"/>
              <w:pageBreakBefore w:val="0"/>
              <w:numPr>
                <w:ilvl w:val="0"/>
                <w:numId w:val="0"/>
              </w:numPr>
              <w:kinsoku/>
              <w:overflowPunct/>
              <w:topLinePunct w:val="0"/>
              <w:autoSpaceDE/>
              <w:autoSpaceDN/>
              <w:bidi w:val="0"/>
              <w:spacing w:line="360" w:lineRule="exact"/>
              <w:ind w:left="0" w:leftChars="0" w:firstLine="0" w:firstLineChars="0"/>
              <w:jc w:val="both"/>
              <w:textAlignment w:val="auto"/>
              <w:rPr>
                <w:rFonts w:hint="eastAsia" w:ascii="宋体" w:hAnsi="宋体" w:eastAsia="宋体" w:cs="宋体"/>
                <w:color w:val="auto"/>
                <w:sz w:val="22"/>
                <w:szCs w:val="22"/>
                <w:highlight w:val="none"/>
              </w:rPr>
            </w:pPr>
          </w:p>
        </w:tc>
      </w:tr>
      <w:tr w14:paraId="25804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3361013A">
            <w:pPr>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售后服务要求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08930C05">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按采购人指定的地点负责送货上门、安装、调试，负责培训使用人员和维护人员。</w:t>
            </w:r>
          </w:p>
          <w:p w14:paraId="0A2413F0">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必须提供安装、配线以及软硬件的测试和调整服务。安装之前，应先对用户人员进行现场培训。开始安装时，应让用户参与安装、检测和排除故障。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在施工、安装、调试等全过程中接受用户的监督。</w:t>
            </w:r>
          </w:p>
          <w:p w14:paraId="32E22F6B">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3.在</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承诺的质保期内，产品保修包换所需要的配件均是原厂原装，不得使用兼容货物。</w:t>
            </w:r>
          </w:p>
          <w:p w14:paraId="330015C3">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4.售后服务按厂家承诺执行。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超过厂家承诺标准的，按</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提交的售后服务承诺书执行。</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定期回访以及对产品进行维护；质保期后</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需提供维修维护服务。</w:t>
            </w:r>
          </w:p>
          <w:p w14:paraId="618E7BDB">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5.</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在质量保证期内应当为采购单位提供以下技术支持和服务：</w:t>
            </w:r>
          </w:p>
          <w:p w14:paraId="53BF5D1D">
            <w:pPr>
              <w:keepNext w:val="0"/>
              <w:keepLines w:val="0"/>
              <w:pageBreakBefore w:val="0"/>
              <w:kinsoku/>
              <w:overflowPunct/>
              <w:topLinePunct w:val="0"/>
              <w:autoSpaceDE/>
              <w:autoSpaceDN/>
              <w:bidi w:val="0"/>
              <w:adjustRightInd w:val="0"/>
              <w:snapToGrid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（1）电话咨询：</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应当为采购单位提供技术援助电话，解答采购单位在使用中遇到的问题，及时为采购单位提出解决问题的建议。</w:t>
            </w:r>
          </w:p>
          <w:p w14:paraId="5A254B2E">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（2）服务响应时间：</w:t>
            </w:r>
            <w:r>
              <w:rPr>
                <w:rFonts w:hint="eastAsia" w:ascii="宋体" w:hAnsi="宋体" w:eastAsia="宋体" w:cs="宋体"/>
                <w:color w:val="auto"/>
                <w:sz w:val="22"/>
                <w:szCs w:val="22"/>
                <w:highlight w:val="none"/>
              </w:rPr>
              <w:t>质保期内由</w:t>
            </w:r>
            <w:r>
              <w:rPr>
                <w:rFonts w:hint="eastAsia" w:ascii="宋体" w:hAnsi="宋体" w:cs="宋体"/>
                <w:color w:val="auto"/>
                <w:sz w:val="22"/>
                <w:szCs w:val="22"/>
                <w:highlight w:val="none"/>
                <w:lang w:eastAsia="zh-CN"/>
              </w:rPr>
              <w:t>成交供应商</w:t>
            </w:r>
            <w:r>
              <w:rPr>
                <w:rFonts w:hint="eastAsia" w:ascii="宋体" w:hAnsi="宋体" w:eastAsia="宋体" w:cs="宋体"/>
                <w:color w:val="auto"/>
                <w:sz w:val="22"/>
                <w:szCs w:val="22"/>
                <w:highlight w:val="none"/>
              </w:rPr>
              <w:t>负责免费维修和维护，保障该合同设备的正常使用。在质保期内，成交供应商接到问题通知后1小时做出响应、</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小时内派技术人员到达现场维护维修，一般问题在12小时内解决。</w:t>
            </w:r>
            <w:r>
              <w:rPr>
                <w:rFonts w:hint="eastAsia" w:ascii="宋体" w:hAnsi="宋体" w:eastAsia="宋体" w:cs="宋体"/>
                <w:color w:val="auto"/>
                <w:sz w:val="22"/>
                <w:szCs w:val="22"/>
                <w:highlight w:val="none"/>
                <w:lang w:eastAsia="zh-CN"/>
              </w:rPr>
              <w:t>如果是</w:t>
            </w:r>
            <w:r>
              <w:rPr>
                <w:rFonts w:hint="eastAsia" w:ascii="宋体" w:hAnsi="宋体" w:eastAsia="宋体" w:cs="宋体"/>
                <w:color w:val="auto"/>
                <w:sz w:val="22"/>
                <w:szCs w:val="22"/>
                <w:highlight w:val="none"/>
              </w:rPr>
              <w:t>重大故障24小时内解决问题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若故障仍无法排除，应</w:t>
            </w:r>
            <w:r>
              <w:rPr>
                <w:rFonts w:hint="eastAsia" w:ascii="宋体" w:hAnsi="宋体" w:eastAsia="宋体" w:cs="宋体"/>
                <w:color w:val="auto"/>
                <w:sz w:val="22"/>
                <w:szCs w:val="22"/>
                <w:highlight w:val="none"/>
                <w:lang w:val="en-US" w:eastAsia="zh-CN"/>
              </w:rPr>
              <w:t>48</w:t>
            </w:r>
            <w:r>
              <w:rPr>
                <w:rFonts w:hint="eastAsia" w:ascii="宋体" w:hAnsi="宋体" w:eastAsia="宋体" w:cs="宋体"/>
                <w:color w:val="auto"/>
                <w:sz w:val="22"/>
                <w:szCs w:val="22"/>
                <w:highlight w:val="none"/>
              </w:rPr>
              <w:t>小时内提供可满足使用要求但配置不低于该</w:t>
            </w:r>
            <w:r>
              <w:rPr>
                <w:rFonts w:hint="eastAsia" w:ascii="宋体" w:hAnsi="宋体" w:eastAsia="宋体" w:cs="宋体"/>
                <w:color w:val="auto"/>
                <w:sz w:val="22"/>
                <w:szCs w:val="22"/>
                <w:highlight w:val="none"/>
                <w:lang w:eastAsia="zh-CN"/>
              </w:rPr>
              <w:t>产品</w:t>
            </w:r>
            <w:r>
              <w:rPr>
                <w:rFonts w:hint="eastAsia" w:ascii="宋体" w:hAnsi="宋体" w:eastAsia="宋体" w:cs="宋体"/>
                <w:color w:val="auto"/>
                <w:sz w:val="22"/>
                <w:szCs w:val="22"/>
                <w:highlight w:val="none"/>
              </w:rPr>
              <w:t>且与现有产品系统兼容的备件替代产品，供采购人使用，直至产品故障排除为止</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在质保期内，成交供应商应承担或处理项目范围内质量的一切费用。</w:t>
            </w:r>
          </w:p>
          <w:p w14:paraId="6FCBE3E6">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w:t>
            </w:r>
            <w:r>
              <w:rPr>
                <w:rFonts w:ascii="宋体" w:hAnsi="宋体" w:cs="宋体"/>
                <w:color w:val="auto"/>
                <w:sz w:val="22"/>
                <w:szCs w:val="22"/>
                <w:highlight w:val="none"/>
              </w:rPr>
              <w:t>3</w:t>
            </w:r>
            <w:r>
              <w:rPr>
                <w:rFonts w:hint="eastAsia" w:ascii="宋体" w:hAnsi="宋体" w:cs="宋体"/>
                <w:color w:val="auto"/>
                <w:sz w:val="22"/>
                <w:szCs w:val="22"/>
                <w:highlight w:val="none"/>
              </w:rPr>
              <w:t>）技术升级：在质保期内，如果</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的产品或服务升级，</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应及时通知采购单位，如采购单位有相应要求，</w:t>
            </w:r>
            <w:r>
              <w:rPr>
                <w:rFonts w:hint="eastAsia" w:ascii="宋体" w:hAnsi="宋体" w:cs="宋体"/>
                <w:color w:val="auto"/>
                <w:sz w:val="22"/>
                <w:szCs w:val="22"/>
                <w:highlight w:val="none"/>
                <w:lang w:eastAsia="zh-CN"/>
              </w:rPr>
              <w:t>成交供应商</w:t>
            </w:r>
            <w:r>
              <w:rPr>
                <w:rFonts w:hint="eastAsia" w:ascii="宋体" w:hAnsi="宋体" w:cs="宋体"/>
                <w:color w:val="auto"/>
                <w:sz w:val="22"/>
                <w:szCs w:val="22"/>
                <w:highlight w:val="none"/>
              </w:rPr>
              <w:t>应对采购单位购买的产品或服务进行升级。</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743D9F02">
            <w:pPr>
              <w:keepNext w:val="0"/>
              <w:keepLines w:val="0"/>
              <w:pageBreakBefore w:val="0"/>
              <w:kinsoku/>
              <w:overflowPunct/>
              <w:topLinePunct w:val="0"/>
              <w:autoSpaceDE/>
              <w:autoSpaceDN/>
              <w:bidi w:val="0"/>
              <w:adjustRightInd w:val="0"/>
              <w:snapToGrid w:val="0"/>
              <w:spacing w:line="360" w:lineRule="exact"/>
              <w:jc w:val="both"/>
              <w:textAlignment w:val="auto"/>
              <w:rPr>
                <w:rFonts w:hint="eastAsia" w:ascii="宋体" w:hAnsi="宋体" w:cs="宋体"/>
                <w:color w:val="auto"/>
                <w:sz w:val="22"/>
                <w:szCs w:val="22"/>
                <w:highlight w:val="none"/>
              </w:rPr>
            </w:pPr>
          </w:p>
        </w:tc>
      </w:tr>
      <w:tr w14:paraId="1F76F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905E144">
            <w:pPr>
              <w:snapToGrid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rPr>
              <w:t>报价要求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73FCB61">
            <w:pPr>
              <w:keepNext w:val="0"/>
              <w:keepLines w:val="0"/>
              <w:pageBreakBefore w:val="0"/>
              <w:kinsoku/>
              <w:overflowPunct/>
              <w:topLinePunct w:val="0"/>
              <w:autoSpaceDE/>
              <w:autoSpaceDN/>
              <w:bidi w:val="0"/>
              <w:spacing w:line="360" w:lineRule="exact"/>
              <w:jc w:val="both"/>
              <w:textAlignment w:val="auto"/>
              <w:rPr>
                <w:rFonts w:ascii="宋体" w:hAnsi="宋体" w:cs="宋体"/>
                <w:color w:val="auto"/>
                <w:sz w:val="22"/>
                <w:szCs w:val="22"/>
                <w:highlight w:val="none"/>
              </w:rPr>
            </w:pPr>
            <w:r>
              <w:rPr>
                <w:rFonts w:hint="eastAsia" w:ascii="宋体" w:hAnsi="宋体" w:cs="宋体"/>
                <w:color w:val="auto"/>
                <w:sz w:val="22"/>
                <w:szCs w:val="22"/>
                <w:highlight w:val="none"/>
              </w:rPr>
              <w:t>竞标报价包含产品、运输、装卸、保险、安装、调试、保险、税费、培训、产品检测、产品质保期内维护、验收等全部费用。</w:t>
            </w:r>
          </w:p>
          <w:p w14:paraId="58271D03">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eastAsia="宋体" w:cs="宋体"/>
                <w:color w:val="auto"/>
                <w:kern w:val="2"/>
                <w:sz w:val="22"/>
                <w:szCs w:val="22"/>
                <w:highlight w:val="none"/>
                <w:lang w:val="en-US" w:eastAsia="zh-CN" w:bidi="ar-SA"/>
              </w:rPr>
            </w:pPr>
            <w:bookmarkStart w:id="6" w:name="_Toc13794"/>
            <w:r>
              <w:rPr>
                <w:rFonts w:hint="eastAsia" w:ascii="宋体" w:hAnsi="宋体" w:cs="宋体"/>
                <w:color w:val="auto"/>
                <w:sz w:val="22"/>
                <w:szCs w:val="22"/>
                <w:highlight w:val="none"/>
              </w:rPr>
              <w:t>对于竞争性谈判文件中未列明，而供应商认为必需的费用也需列入竞标总报价。在合同实施时，采购人将不予支付成交供应商没有列入的项目其他费用，并认为此费用已包括在竞标总报价中。</w:t>
            </w:r>
            <w:bookmarkEnd w:id="6"/>
          </w:p>
        </w:tc>
        <w:tc>
          <w:tcPr>
            <w:tcW w:w="4344" w:type="dxa"/>
            <w:tcBorders>
              <w:top w:val="single" w:color="auto" w:sz="4" w:space="0"/>
              <w:left w:val="single" w:color="auto" w:sz="4" w:space="0"/>
              <w:bottom w:val="single" w:color="auto" w:sz="4" w:space="0"/>
              <w:right w:val="single" w:color="auto" w:sz="4" w:space="0"/>
            </w:tcBorders>
            <w:noWrap w:val="0"/>
            <w:vAlign w:val="center"/>
          </w:tcPr>
          <w:p w14:paraId="4E11F06F">
            <w:pPr>
              <w:pStyle w:val="5"/>
              <w:keepNext w:val="0"/>
              <w:keepLines w:val="0"/>
              <w:pageBreakBefore w:val="0"/>
              <w:kinsoku/>
              <w:overflowPunct/>
              <w:topLinePunct w:val="0"/>
              <w:autoSpaceDE/>
              <w:autoSpaceDN/>
              <w:bidi w:val="0"/>
              <w:snapToGrid w:val="0"/>
              <w:spacing w:line="360" w:lineRule="exact"/>
              <w:jc w:val="both"/>
              <w:textAlignment w:val="auto"/>
              <w:outlineLvl w:val="0"/>
              <w:rPr>
                <w:rFonts w:hint="eastAsia" w:ascii="宋体" w:hAnsi="宋体" w:cs="宋体"/>
                <w:color w:val="auto"/>
                <w:sz w:val="22"/>
                <w:szCs w:val="22"/>
                <w:highlight w:val="none"/>
              </w:rPr>
            </w:pPr>
          </w:p>
        </w:tc>
      </w:tr>
      <w:tr w14:paraId="52D9E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01BD5E56">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val="0"/>
                <w:bCs w:val="0"/>
                <w:color w:val="auto"/>
                <w:sz w:val="22"/>
                <w:szCs w:val="22"/>
              </w:rPr>
              <w:t>履约保证金</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514EF9D1">
            <w:pPr>
              <w:keepNext w:val="0"/>
              <w:keepLines w:val="0"/>
              <w:pageBreakBefore w:val="0"/>
              <w:widowControl/>
              <w:kinsoku/>
              <w:overflowPunct/>
              <w:topLinePunct w:val="0"/>
              <w:autoSpaceDE/>
              <w:autoSpaceDN/>
              <w:bidi w:val="0"/>
              <w:adjustRightInd/>
              <w:snapToGrid w:val="0"/>
              <w:spacing w:line="360" w:lineRule="exact"/>
              <w:ind w:left="105" w:leftChars="50" w:right="105" w:rightChars="50"/>
              <w:jc w:val="both"/>
              <w:textAlignment w:val="auto"/>
              <w:rPr>
                <w:rFonts w:hint="eastAsia" w:ascii="宋体" w:hAnsi="宋体" w:eastAsia="宋体" w:cs="宋体"/>
                <w:color w:val="auto"/>
                <w:kern w:val="2"/>
                <w:sz w:val="22"/>
                <w:szCs w:val="22"/>
                <w:highlight w:val="yellow"/>
                <w:lang w:val="en-US" w:eastAsia="zh-CN" w:bidi="ar-SA"/>
              </w:rPr>
            </w:pPr>
            <w:r>
              <w:rPr>
                <w:rFonts w:hint="eastAsia" w:ascii="宋体" w:hAnsi="宋体" w:cs="宋体"/>
                <w:color w:val="auto"/>
                <w:sz w:val="22"/>
                <w:szCs w:val="22"/>
                <w:lang w:val="en-US" w:eastAsia="zh-CN"/>
              </w:rPr>
              <w:t>本项目不收履约保证金</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2220BB4A">
            <w:pPr>
              <w:keepNext w:val="0"/>
              <w:keepLines w:val="0"/>
              <w:pageBreakBefore w:val="0"/>
              <w:widowControl/>
              <w:kinsoku/>
              <w:overflowPunct/>
              <w:topLinePunct w:val="0"/>
              <w:autoSpaceDE/>
              <w:autoSpaceDN/>
              <w:bidi w:val="0"/>
              <w:adjustRightInd/>
              <w:snapToGrid w:val="0"/>
              <w:spacing w:line="360" w:lineRule="exact"/>
              <w:ind w:left="105" w:leftChars="50" w:right="105" w:rightChars="50"/>
              <w:jc w:val="both"/>
              <w:textAlignment w:val="auto"/>
              <w:rPr>
                <w:rFonts w:hint="eastAsia" w:ascii="宋体" w:hAnsi="宋体" w:cs="宋体"/>
                <w:color w:val="auto"/>
                <w:sz w:val="22"/>
                <w:szCs w:val="22"/>
                <w:lang w:val="en-US" w:eastAsia="zh-CN"/>
              </w:rPr>
            </w:pPr>
          </w:p>
        </w:tc>
      </w:tr>
      <w:tr w14:paraId="3627E8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41F2E316">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验收要求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39A7DACA">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1.验收依据</w:t>
            </w:r>
          </w:p>
          <w:p w14:paraId="714B446E">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按合同要求、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rPr>
              <w:t>的项目响应文件及国家标准进行验收。</w:t>
            </w:r>
          </w:p>
          <w:p w14:paraId="377546DC">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2.验收标准</w:t>
            </w:r>
          </w:p>
          <w:p w14:paraId="5E872AE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（1）所有采购标的均已运输至指定地点，并安装调试完毕。</w:t>
            </w:r>
          </w:p>
          <w:p w14:paraId="7CBFDC9B">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（2）采购文件采购需求及采购合同约定的附件、工具、技术资料等齐全；提供项目相关使用说明书、合格证。</w:t>
            </w:r>
          </w:p>
          <w:p w14:paraId="1DC74A8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3、验收要求</w:t>
            </w:r>
          </w:p>
          <w:p w14:paraId="116CF919">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rPr>
            </w:pPr>
            <w:r>
              <w:rPr>
                <w:rFonts w:hint="eastAsia" w:ascii="宋体" w:hAnsi="宋体" w:cs="宋体"/>
                <w:color w:val="auto"/>
                <w:sz w:val="22"/>
                <w:szCs w:val="22"/>
              </w:rPr>
              <w:t>（1）验收过程中所产生的一切</w:t>
            </w:r>
            <w:r>
              <w:rPr>
                <w:rFonts w:hint="eastAsia" w:ascii="宋体" w:hAnsi="宋体" w:cs="宋体"/>
                <w:color w:val="auto"/>
                <w:sz w:val="22"/>
                <w:szCs w:val="22"/>
                <w:highlight w:val="none"/>
              </w:rPr>
              <w:t>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w:t>
            </w:r>
            <w:r>
              <w:rPr>
                <w:rFonts w:hint="eastAsia" w:ascii="宋体" w:hAnsi="宋体" w:cs="宋体"/>
                <w:color w:val="auto"/>
                <w:sz w:val="22"/>
                <w:szCs w:val="22"/>
              </w:rPr>
              <w:t>，报价时应考虑相关费用。</w:t>
            </w:r>
          </w:p>
          <w:p w14:paraId="0371BEA7">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rPr>
              <w:t>（2）采购人可以根据采购项目具体情况自行组织验收，如委托第三方机构组织实施的，由验收小组对照采购文件的技术参数要求核对检验，如不符合采购文件的技术参数要求的，按合同约</w:t>
            </w:r>
            <w:r>
              <w:rPr>
                <w:rFonts w:hint="eastAsia" w:ascii="宋体" w:hAnsi="宋体" w:cs="宋体"/>
                <w:color w:val="auto"/>
                <w:sz w:val="22"/>
                <w:szCs w:val="22"/>
                <w:highlight w:val="none"/>
              </w:rPr>
              <w:t>定执行，</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供应商承担所有责任和费用。采购人保留进一步追究责任的权利。</w:t>
            </w:r>
          </w:p>
          <w:p w14:paraId="7CEBD8CF">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①验收活动开始前，</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供应商应对货物作出全面检查和对验收文件进行整理，并列出清单，作为采购人收货验收和使用的技术条件依据。</w:t>
            </w:r>
          </w:p>
          <w:p w14:paraId="5E537A1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②因验收不合格的，需要再次组织验收的，由此产生相关成本费用由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w:t>
            </w:r>
          </w:p>
          <w:p w14:paraId="678BFC3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（3）验收时</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供应商提供验收文档，具体如下：技术方案、实施方案、售后服务方案、培训方案、测试文档、使用说明书、电子文档（如有）等。</w:t>
            </w:r>
          </w:p>
          <w:p w14:paraId="203473D3">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（4）对所有要求出具的证明文件的原件进行核查，如不符合采购文件的技术需求及要求，以及提供虚假承诺的，按相关规定做退货处理及违约处理，</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供应商承担所有责任和费用，采购人保留进一步追究责任的权利。</w:t>
            </w:r>
          </w:p>
          <w:p w14:paraId="2B4670D4">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（5）项目验收过程中，需委托第三方检测机构介入的，费用由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供应商另行承担。</w:t>
            </w:r>
          </w:p>
          <w:p w14:paraId="78B2B88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（6）在验收过程中发现</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供应商有违约问题，可暂缓资金结算，待违约问题解决后，方可办理资金结算事宜。</w:t>
            </w:r>
          </w:p>
          <w:p w14:paraId="070D3CA5">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（7）</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供应商提交服务成果前应对提交的服务成果作出全面检查和对验收文件进行整理，并列出清单，作为采购人验收和使用的技术条件依据，检验的结果应随服务成果交给采购人。</w:t>
            </w:r>
          </w:p>
          <w:p w14:paraId="3690636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highlight w:val="none"/>
              </w:rPr>
              <w:t>4、</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供应商提供的设备必须为正品行货，</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供应商安</w:t>
            </w:r>
            <w:r>
              <w:rPr>
                <w:rFonts w:hint="eastAsia" w:ascii="宋体" w:hAnsi="宋体" w:cs="宋体"/>
                <w:color w:val="auto"/>
                <w:sz w:val="22"/>
                <w:szCs w:val="22"/>
              </w:rPr>
              <w:t>装完成验收前，需提供【生产厂家</w:t>
            </w:r>
            <w:r>
              <w:rPr>
                <w:rFonts w:hint="eastAsia" w:ascii="宋体" w:hAnsi="宋体" w:cs="宋体"/>
                <w:color w:val="auto"/>
                <w:sz w:val="22"/>
                <w:szCs w:val="22"/>
                <w:highlight w:val="none"/>
              </w:rPr>
              <w:t>针对本项目开具的售后服务承诺函及各项设备的检测报告</w:t>
            </w:r>
            <w:r>
              <w:rPr>
                <w:rFonts w:hint="eastAsia" w:ascii="宋体" w:hAnsi="宋体" w:cs="宋体"/>
                <w:color w:val="auto"/>
                <w:sz w:val="22"/>
                <w:szCs w:val="22"/>
                <w:highlight w:val="none"/>
                <w:lang w:eastAsia="zh-CN"/>
              </w:rPr>
              <w:t>复印件</w:t>
            </w:r>
            <w:r>
              <w:rPr>
                <w:rFonts w:hint="eastAsia" w:ascii="宋体" w:hAnsi="宋体" w:cs="宋体"/>
                <w:color w:val="auto"/>
                <w:sz w:val="22"/>
                <w:szCs w:val="22"/>
                <w:highlight w:val="none"/>
              </w:rPr>
              <w:t>】；所有资料需经</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供应商采购人进行核查，如</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供应商无法提供资料或资料提供不齐全的，采购单位有权不予以验收货物，采购人有权单方面终止合同，并且保留追究</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供应商的法律责任。</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1294CCA1">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sz w:val="22"/>
                <w:szCs w:val="22"/>
                <w:highlight w:val="none"/>
              </w:rPr>
            </w:pPr>
          </w:p>
        </w:tc>
      </w:tr>
      <w:tr w14:paraId="2C43D7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3A570120">
            <w:pPr>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实施和安装要求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3615C97">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sz w:val="22"/>
                <w:szCs w:val="22"/>
                <w:lang w:bidi="ar"/>
              </w:rPr>
              <w:t>1.由于本项目涉及到设备安装，安装过程中的所有</w:t>
            </w:r>
            <w:r>
              <w:rPr>
                <w:rFonts w:hint="eastAsia" w:ascii="宋体" w:hAnsi="宋体" w:cs="宋体"/>
                <w:color w:val="auto"/>
                <w:sz w:val="22"/>
                <w:szCs w:val="22"/>
                <w:highlight w:val="none"/>
                <w:lang w:bidi="ar"/>
              </w:rPr>
              <w:t>安全保障由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自行负责，并服从采购人现场负责人的指挥，按指定地点进行安装。高空作业产生的费用由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bidi="ar"/>
              </w:rPr>
              <w:t>负责，采购人不另外支付费用。</w:t>
            </w:r>
          </w:p>
          <w:p w14:paraId="0B6B350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r>
              <w:rPr>
                <w:rFonts w:hint="eastAsia" w:ascii="宋体" w:hAnsi="宋体" w:cs="宋体"/>
                <w:color w:val="auto"/>
                <w:kern w:val="1"/>
                <w:sz w:val="22"/>
                <w:szCs w:val="22"/>
                <w:highlight w:val="none"/>
                <w:lang w:bidi="ar"/>
              </w:rPr>
              <w:t>2.严格按投标产品的安装规范要求进行安装，确保安全，</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对安装过程中的施工安全负全部责任。</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616C019B">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eastAsia="宋体" w:cs="宋体"/>
                <w:b/>
                <w:bCs/>
                <w:color w:val="auto"/>
                <w:kern w:val="1"/>
                <w:sz w:val="22"/>
                <w:szCs w:val="22"/>
                <w:lang w:val="en-US" w:eastAsia="zh-CN" w:bidi="ar"/>
              </w:rPr>
            </w:pPr>
          </w:p>
        </w:tc>
      </w:tr>
      <w:tr w14:paraId="213C8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2391DC3">
            <w:pPr>
              <w:widowControl/>
              <w:wordWrap w:val="0"/>
              <w:spacing w:line="360" w:lineRule="auto"/>
              <w:jc w:val="center"/>
              <w:rPr>
                <w:rFonts w:hint="eastAsia" w:ascii="宋体" w:hAnsi="宋体" w:eastAsia="宋体" w:cs="宋体"/>
                <w:b/>
                <w:bCs/>
                <w:color w:val="auto"/>
                <w:kern w:val="2"/>
                <w:sz w:val="22"/>
                <w:szCs w:val="22"/>
                <w:lang w:val="en-US" w:eastAsia="zh-CN" w:bidi="ar-SA"/>
              </w:rPr>
            </w:pPr>
            <w:r>
              <w:rPr>
                <w:rFonts w:hint="eastAsia" w:ascii="宋体" w:hAnsi="宋体" w:cs="宋体"/>
                <w:b/>
                <w:bCs/>
                <w:color w:val="auto"/>
                <w:sz w:val="22"/>
                <w:szCs w:val="22"/>
              </w:rPr>
              <w:t>其他要求</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1DADBF0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lang w:bidi="ar"/>
              </w:rPr>
              <w:t>1</w:t>
            </w:r>
            <w:r>
              <w:rPr>
                <w:rFonts w:hint="eastAsia" w:ascii="宋体" w:hAnsi="宋体" w:cs="宋体"/>
                <w:color w:val="auto"/>
                <w:kern w:val="1"/>
                <w:sz w:val="22"/>
                <w:szCs w:val="22"/>
                <w:highlight w:val="none"/>
                <w:lang w:bidi="ar"/>
              </w:rPr>
              <w:t>.</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保证向采购人提供的货物是全新、完整、未使用过的。</w:t>
            </w:r>
          </w:p>
          <w:p w14:paraId="4A6153F8">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2.验收过程中所产生的一切费用均由</w:t>
            </w:r>
            <w:r>
              <w:rPr>
                <w:rFonts w:hint="eastAsia" w:ascii="宋体" w:hAnsi="宋体" w:cs="宋体"/>
                <w:color w:val="auto"/>
                <w:sz w:val="22"/>
                <w:szCs w:val="22"/>
                <w:highlight w:val="none"/>
                <w:lang w:val="en-US" w:eastAsia="zh-CN"/>
              </w:rPr>
              <w:t>成交</w:t>
            </w:r>
            <w:r>
              <w:rPr>
                <w:rFonts w:hint="eastAsia" w:ascii="宋体" w:hAnsi="宋体" w:cs="宋体"/>
                <w:color w:val="auto"/>
                <w:sz w:val="22"/>
                <w:szCs w:val="22"/>
                <w:highlight w:val="none"/>
              </w:rPr>
              <w:t>供应商</w:t>
            </w:r>
            <w:r>
              <w:rPr>
                <w:rFonts w:hint="eastAsia" w:ascii="宋体" w:hAnsi="宋体" w:cs="宋体"/>
                <w:color w:val="auto"/>
                <w:kern w:val="1"/>
                <w:sz w:val="22"/>
                <w:szCs w:val="22"/>
                <w:highlight w:val="none"/>
                <w:lang w:bidi="ar"/>
              </w:rPr>
              <w:t>承担。报价时应考虑相关费用。</w:t>
            </w:r>
          </w:p>
          <w:p w14:paraId="1D6D19B0">
            <w:pPr>
              <w:pStyle w:val="6"/>
              <w:keepNext w:val="0"/>
              <w:keepLines w:val="0"/>
              <w:pageBreakBefore w:val="0"/>
              <w:kinsoku/>
              <w:wordWrap w:val="0"/>
              <w:overflowPunct/>
              <w:topLinePunct w:val="0"/>
              <w:autoSpaceDE/>
              <w:autoSpaceDN/>
              <w:bidi w:val="0"/>
              <w:adjustRightInd/>
              <w:spacing w:line="360" w:lineRule="exact"/>
              <w:jc w:val="both"/>
              <w:textAlignment w:val="auto"/>
              <w:rPr>
                <w:rFonts w:hint="eastAsia" w:ascii="宋体" w:hAnsi="宋体" w:cs="宋体"/>
                <w:b/>
                <w:bCs/>
                <w:color w:val="auto"/>
                <w:kern w:val="1"/>
                <w:sz w:val="22"/>
                <w:szCs w:val="22"/>
                <w:highlight w:val="none"/>
                <w:lang w:bidi="ar"/>
              </w:rPr>
            </w:pPr>
            <w:r>
              <w:rPr>
                <w:rFonts w:hint="eastAsia" w:ascii="宋体" w:hAnsi="宋体" w:cs="宋体"/>
                <w:color w:val="auto"/>
                <w:kern w:val="1"/>
                <w:sz w:val="22"/>
                <w:szCs w:val="22"/>
                <w:highlight w:val="none"/>
                <w:lang w:bidi="ar"/>
              </w:rPr>
              <w:t>3.采购人保留对</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现场安装、售后服务工作进行监督、检查的权利，发现涉及</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设备、材料及人员存在违规行为或者事故隐患，采购人有权提出警告与制止，</w:t>
            </w:r>
            <w:r>
              <w:rPr>
                <w:rFonts w:hint="eastAsia" w:ascii="宋体" w:hAnsi="宋体" w:cs="宋体"/>
                <w:color w:val="auto"/>
                <w:kern w:val="1"/>
                <w:sz w:val="22"/>
                <w:szCs w:val="22"/>
                <w:highlight w:val="none"/>
                <w:lang w:eastAsia="zh-CN" w:bidi="ar"/>
              </w:rPr>
              <w:t>成交供应商</w:t>
            </w:r>
            <w:r>
              <w:rPr>
                <w:rFonts w:hint="eastAsia" w:ascii="宋体" w:hAnsi="宋体" w:cs="宋体"/>
                <w:color w:val="auto"/>
                <w:kern w:val="1"/>
                <w:sz w:val="22"/>
                <w:szCs w:val="22"/>
                <w:highlight w:val="none"/>
                <w:lang w:bidi="ar"/>
              </w:rPr>
              <w:t>应及时纠正。</w:t>
            </w:r>
          </w:p>
          <w:p w14:paraId="0F9D6AD8">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bidi="ar"/>
              </w:rPr>
              <w:t>4.本项目货物不接受进口产品（即通过中国海关报关验放进入中国境内且产自关境外的产品）参与投标。</w:t>
            </w:r>
          </w:p>
          <w:p w14:paraId="41583870">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r>
              <w:rPr>
                <w:rFonts w:hint="eastAsia" w:ascii="宋体" w:hAnsi="宋体" w:cs="宋体"/>
                <w:color w:val="auto"/>
                <w:kern w:val="1"/>
                <w:sz w:val="22"/>
                <w:szCs w:val="22"/>
                <w:highlight w:val="none"/>
                <w:lang w:bidi="ar"/>
              </w:rPr>
              <w:t>5.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7021792E">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US" w:eastAsia="zh-CN" w:bidi="ar"/>
              </w:rPr>
            </w:pPr>
          </w:p>
        </w:tc>
      </w:tr>
      <w:tr w14:paraId="0C8A2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7DF24E35">
            <w:pPr>
              <w:keepNext w:val="0"/>
              <w:keepLines w:val="0"/>
              <w:pageBreakBefore w:val="0"/>
              <w:widowControl/>
              <w:kinsoku/>
              <w:wordWrap w:val="0"/>
              <w:overflowPunct/>
              <w:topLinePunct w:val="0"/>
              <w:autoSpaceDE/>
              <w:autoSpaceDN/>
              <w:bidi w:val="0"/>
              <w:adjustRightInd/>
              <w:snapToGrid w:val="0"/>
              <w:spacing w:line="360" w:lineRule="exact"/>
              <w:jc w:val="center"/>
              <w:textAlignment w:val="auto"/>
              <w:rPr>
                <w:rFonts w:hint="eastAsia" w:ascii="宋体" w:hAnsi="宋体" w:cs="宋体"/>
                <w:color w:val="auto"/>
                <w:kern w:val="1"/>
                <w:sz w:val="22"/>
                <w:szCs w:val="22"/>
                <w:highlight w:val="none"/>
                <w:lang w:bidi="ar"/>
              </w:rPr>
            </w:pPr>
            <w:r>
              <w:rPr>
                <w:rFonts w:hint="eastAsia" w:ascii="宋体" w:hAnsi="宋体" w:cs="宋体"/>
                <w:color w:val="auto"/>
                <w:kern w:val="1"/>
                <w:sz w:val="22"/>
                <w:szCs w:val="22"/>
                <w:highlight w:val="none"/>
                <w:lang w:val="en" w:bidi="ar"/>
              </w:rPr>
              <w:t>国家强制性认证产品</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79582214">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eastAsia="zh-CN" w:bidi="ar"/>
              </w:rPr>
            </w:pPr>
            <w:r>
              <w:rPr>
                <w:rFonts w:hint="eastAsia" w:ascii="宋体" w:hAnsi="宋体" w:cs="宋体"/>
                <w:color w:val="auto"/>
                <w:kern w:val="1"/>
                <w:sz w:val="22"/>
                <w:szCs w:val="22"/>
                <w:highlight w:val="none"/>
                <w:lang w:val="en" w:bidi="ar"/>
              </w:rPr>
              <w:t>根据《强制性产品认证管理规定》（总局令第117号）强制性产品认证目录，采购需求中的货物属于强制性产品的，投标人的投标货物必须使用强制性产品并提供认证证书证明，否则作无效投标处理。</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DC25D62">
            <w:pPr>
              <w:keepNext w:val="0"/>
              <w:keepLines w:val="0"/>
              <w:pageBreakBefore w:val="0"/>
              <w:widowControl/>
              <w:kinsoku/>
              <w:wordWrap w:val="0"/>
              <w:overflowPunct/>
              <w:topLinePunct w:val="0"/>
              <w:autoSpaceDE/>
              <w:autoSpaceDN/>
              <w:bidi w:val="0"/>
              <w:adjustRightInd/>
              <w:snapToGrid w:val="0"/>
              <w:spacing w:line="360" w:lineRule="exact"/>
              <w:jc w:val="both"/>
              <w:textAlignment w:val="auto"/>
              <w:rPr>
                <w:rFonts w:hint="eastAsia" w:ascii="宋体" w:hAnsi="宋体" w:cs="宋体"/>
                <w:color w:val="auto"/>
                <w:kern w:val="1"/>
                <w:sz w:val="22"/>
                <w:szCs w:val="22"/>
                <w:highlight w:val="none"/>
                <w:lang w:val="en" w:bidi="ar"/>
              </w:rPr>
            </w:pPr>
          </w:p>
        </w:tc>
      </w:tr>
      <w:tr w14:paraId="1517F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240" w:type="dxa"/>
            <w:gridSpan w:val="2"/>
            <w:tcBorders>
              <w:top w:val="single" w:color="auto" w:sz="4" w:space="0"/>
              <w:left w:val="single" w:color="auto" w:sz="4" w:space="0"/>
              <w:bottom w:val="single" w:color="auto" w:sz="4" w:space="0"/>
              <w:right w:val="single" w:color="auto" w:sz="4" w:space="0"/>
            </w:tcBorders>
            <w:noWrap w:val="0"/>
            <w:vAlign w:val="center"/>
          </w:tcPr>
          <w:p w14:paraId="5A4E5FDB">
            <w:pPr>
              <w:bidi w:val="0"/>
              <w:spacing w:line="360" w:lineRule="auto"/>
              <w:jc w:val="center"/>
              <w:rPr>
                <w:rFonts w:hint="eastAsia"/>
                <w:color w:val="auto"/>
                <w:sz w:val="22"/>
                <w:szCs w:val="22"/>
                <w:lang w:val="en-US" w:eastAsia="zh-CN"/>
              </w:rPr>
            </w:pPr>
            <w:r>
              <w:rPr>
                <w:rFonts w:hint="eastAsia"/>
                <w:color w:val="auto"/>
                <w:sz w:val="22"/>
                <w:szCs w:val="22"/>
              </w:rPr>
              <w:t>核心产品</w:t>
            </w:r>
          </w:p>
        </w:tc>
        <w:tc>
          <w:tcPr>
            <w:tcW w:w="9474" w:type="dxa"/>
            <w:gridSpan w:val="3"/>
            <w:tcBorders>
              <w:top w:val="single" w:color="auto" w:sz="4" w:space="0"/>
              <w:left w:val="single" w:color="auto" w:sz="4" w:space="0"/>
              <w:bottom w:val="single" w:color="auto" w:sz="4" w:space="0"/>
              <w:right w:val="single" w:color="auto" w:sz="4" w:space="0"/>
            </w:tcBorders>
            <w:noWrap w:val="0"/>
            <w:vAlign w:val="center"/>
          </w:tcPr>
          <w:p w14:paraId="13BEE881">
            <w:pPr>
              <w:keepNext w:val="0"/>
              <w:keepLines w:val="0"/>
              <w:pageBreakBefore w:val="0"/>
              <w:kinsoku/>
              <w:overflowPunct/>
              <w:topLinePunct w:val="0"/>
              <w:autoSpaceDE/>
              <w:autoSpaceDN/>
              <w:bidi w:val="0"/>
              <w:spacing w:line="360" w:lineRule="exact"/>
              <w:jc w:val="both"/>
              <w:textAlignment w:val="auto"/>
              <w:rPr>
                <w:rFonts w:hint="default"/>
                <w:color w:val="auto"/>
                <w:sz w:val="22"/>
                <w:szCs w:val="22"/>
                <w:highlight w:val="none"/>
                <w:lang w:val="en-US" w:eastAsia="zh-CN"/>
              </w:rPr>
            </w:pPr>
            <w:r>
              <w:rPr>
                <w:rFonts w:hint="eastAsia"/>
                <w:color w:val="auto"/>
                <w:sz w:val="22"/>
                <w:szCs w:val="22"/>
                <w:highlight w:val="none"/>
                <w:lang w:val="en-US" w:eastAsia="zh-CN"/>
              </w:rPr>
              <w:t>核心产品为学生课桌椅。</w:t>
            </w:r>
          </w:p>
          <w:p w14:paraId="6DCAEC4A">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r>
              <w:rPr>
                <w:rFonts w:hint="eastAsia"/>
                <w:color w:val="auto"/>
                <w:sz w:val="22"/>
                <w:szCs w:val="22"/>
              </w:rPr>
              <w:t>多家供应商提供的核心产品品牌相同的，提供相同品牌产品且通过资格审查、符合性审查的不同供应商参加同一合同项下投标的，按一家供应商计算，评审</w:t>
            </w:r>
            <w:r>
              <w:rPr>
                <w:rFonts w:hint="eastAsia"/>
                <w:color w:val="auto"/>
                <w:sz w:val="22"/>
                <w:szCs w:val="22"/>
                <w:highlight w:val="none"/>
              </w:rPr>
              <w:t>后</w:t>
            </w:r>
            <w:r>
              <w:rPr>
                <w:rFonts w:hint="eastAsia"/>
                <w:color w:val="auto"/>
                <w:sz w:val="22"/>
                <w:szCs w:val="22"/>
                <w:highlight w:val="none"/>
                <w:lang w:val="en-US" w:eastAsia="zh-CN"/>
              </w:rPr>
              <w:t>报价最低</w:t>
            </w:r>
            <w:r>
              <w:rPr>
                <w:rFonts w:hint="eastAsia"/>
                <w:color w:val="auto"/>
                <w:sz w:val="22"/>
                <w:szCs w:val="22"/>
              </w:rPr>
              <w:t>的同品牌供</w:t>
            </w:r>
            <w:r>
              <w:rPr>
                <w:rFonts w:hint="eastAsia"/>
                <w:color w:val="auto"/>
                <w:sz w:val="22"/>
                <w:szCs w:val="22"/>
                <w:highlight w:val="none"/>
              </w:rPr>
              <w:t>应商获得</w:t>
            </w:r>
            <w:r>
              <w:rPr>
                <w:rFonts w:hint="eastAsia"/>
                <w:color w:val="auto"/>
                <w:sz w:val="22"/>
                <w:szCs w:val="22"/>
                <w:highlight w:val="none"/>
                <w:lang w:eastAsia="zh-CN"/>
              </w:rPr>
              <w:t>成交供应商</w:t>
            </w:r>
            <w:r>
              <w:rPr>
                <w:rFonts w:hint="eastAsia"/>
                <w:color w:val="auto"/>
                <w:sz w:val="22"/>
                <w:szCs w:val="22"/>
                <w:highlight w:val="none"/>
              </w:rPr>
              <w:t>推</w:t>
            </w:r>
            <w:r>
              <w:rPr>
                <w:rFonts w:hint="eastAsia"/>
                <w:color w:val="auto"/>
                <w:sz w:val="22"/>
                <w:szCs w:val="22"/>
              </w:rPr>
              <w:t>荐资格；</w:t>
            </w:r>
            <w:r>
              <w:rPr>
                <w:rFonts w:hint="eastAsia"/>
                <w:color w:val="auto"/>
                <w:sz w:val="22"/>
                <w:szCs w:val="22"/>
                <w:highlight w:val="none"/>
              </w:rPr>
              <w:t>评审价相同时，按照最后报价由低到高顺序依次推荐；最后报价相同时，按以下原则确定成交候选人的顺序：</w:t>
            </w:r>
          </w:p>
          <w:p w14:paraId="55BB13BA">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lang w:val="en-US" w:eastAsia="zh-CN"/>
              </w:rPr>
            </w:pPr>
            <w:r>
              <w:rPr>
                <w:rFonts w:hint="eastAsia"/>
                <w:color w:val="auto"/>
                <w:sz w:val="22"/>
                <w:szCs w:val="22"/>
                <w:highlight w:val="none"/>
              </w:rPr>
              <w:t>■依次按节能、环保产品累计金额高的优先、带“▲”的实质性要求正偏离项数多的优先、均无正偏离或者正偏离项数一致时负偏离项数少的优先、质量保证期长优先、交货期短优先、故障响应时间短优先的顺序排列。</w:t>
            </w:r>
          </w:p>
        </w:tc>
        <w:tc>
          <w:tcPr>
            <w:tcW w:w="4344" w:type="dxa"/>
            <w:tcBorders>
              <w:top w:val="single" w:color="auto" w:sz="4" w:space="0"/>
              <w:left w:val="single" w:color="auto" w:sz="4" w:space="0"/>
              <w:bottom w:val="single" w:color="auto" w:sz="4" w:space="0"/>
              <w:right w:val="single" w:color="auto" w:sz="4" w:space="0"/>
            </w:tcBorders>
            <w:noWrap w:val="0"/>
            <w:vAlign w:val="center"/>
          </w:tcPr>
          <w:p w14:paraId="469C692C">
            <w:pPr>
              <w:keepNext w:val="0"/>
              <w:keepLines w:val="0"/>
              <w:pageBreakBefore w:val="0"/>
              <w:kinsoku/>
              <w:overflowPunct/>
              <w:topLinePunct w:val="0"/>
              <w:autoSpaceDE/>
              <w:autoSpaceDN/>
              <w:bidi w:val="0"/>
              <w:spacing w:line="360" w:lineRule="exact"/>
              <w:jc w:val="both"/>
              <w:textAlignment w:val="auto"/>
              <w:rPr>
                <w:rFonts w:hint="eastAsia"/>
                <w:color w:val="auto"/>
                <w:sz w:val="22"/>
                <w:szCs w:val="22"/>
                <w:highlight w:val="none"/>
              </w:rPr>
            </w:pPr>
          </w:p>
        </w:tc>
      </w:tr>
    </w:tbl>
    <w:p w14:paraId="06121AF7"/>
    <w:p w14:paraId="1717FFB1"/>
    <w:p w14:paraId="3B560EDB">
      <w:r>
        <w:br w:type="page"/>
      </w:r>
    </w:p>
    <w:p w14:paraId="7AA9498A"/>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B7405F"/>
    <w:multiLevelType w:val="singleLevel"/>
    <w:tmpl w:val="47B7405F"/>
    <w:lvl w:ilvl="0" w:tentative="0">
      <w:start w:val="1"/>
      <w:numFmt w:val="decimal"/>
      <w:pStyle w:val="2"/>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003CF"/>
    <w:rsid w:val="1A460256"/>
    <w:rsid w:val="3F5B20BA"/>
    <w:rsid w:val="5D2E1CDB"/>
    <w:rsid w:val="7B8D6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Normal Indent"/>
    <w:basedOn w:val="1"/>
    <w:next w:val="4"/>
    <w:qFormat/>
    <w:uiPriority w:val="0"/>
    <w:pPr>
      <w:ind w:firstLine="420"/>
    </w:pPr>
    <w:rPr>
      <w:szCs w:val="20"/>
    </w:r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7686</Words>
  <Characters>8391</Characters>
  <Lines>0</Lines>
  <Paragraphs>0</Paragraphs>
  <TotalTime>1</TotalTime>
  <ScaleCrop>false</ScaleCrop>
  <LinksUpToDate>false</LinksUpToDate>
  <CharactersWithSpaces>8445</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2026-06-29T06:16:00Z</dcterms:created>
  <dc:creator>Dell</dc:creator>
  <cp:lastModifiedBy>一lv清风</cp:lastModifiedBy>
  <dcterms:modified xsi:type="dcterms:W3CDTF">2026-07-07T04:28:25Z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eyJoZGlkIjoiZmFmMTQ3MjAyYjgxNjg5MGUxMmMzZWFmMjFmMTJiYzIiLCJ1c2VySWQiOiI0NjMxNjc3MTQifQ==</vt:lpwstr>
  </property>
  <property fmtid="{D5CDD505-2E9C-101B-9397-08002B2CF9AE}" pid="4" name="ICV">
    <vt:lpwstr>39B53B8A06D34BBEA55FDFB36F57EE1E_13</vt:lpwstr>
  </property>
</Properties>
</file>