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395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陆海通衢——广西唐代运河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展板设计制作项目竞价须知</w:t>
      </w:r>
    </w:p>
    <w:p w14:paraId="6072C9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</w:pPr>
      <w:bookmarkStart w:id="0" w:name="heading_0"/>
      <w:r>
        <w:rPr>
          <w:rFonts w:hint="eastAsia" w:ascii="黑体" w:hAnsi="黑体" w:eastAsia="黑体" w:cs="黑体"/>
          <w:b/>
          <w:bCs w:val="0"/>
          <w:sz w:val="28"/>
          <w:szCs w:val="28"/>
        </w:rPr>
        <w:t>一、项目基本概况</w:t>
      </w:r>
      <w:bookmarkEnd w:id="0"/>
      <w:r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  <w:t xml:space="preserve"> </w:t>
      </w:r>
    </w:p>
    <w:p w14:paraId="2F34DC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项目名称</w:t>
      </w:r>
      <w:r>
        <w:rPr>
          <w:rFonts w:hint="eastAsia" w:ascii="黑体" w:hAnsi="黑体" w:eastAsia="黑体" w:cs="黑体"/>
          <w:b/>
          <w:spacing w:val="-6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陆海通衢——广西唐代运河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图片展展板设计制作项目</w:t>
      </w:r>
    </w:p>
    <w:p w14:paraId="34385B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2.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项目内容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本项目为广西唐代运河文化主题展厅展板设计、排版及配套内容优化服务，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  <w:t>共计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  <w:t>块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eastAsia="zh-CN"/>
        </w:rPr>
        <w:t>（双面制作，即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val="en-US" w:eastAsia="zh-CN"/>
        </w:rPr>
        <w:t>36幅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主题展板，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  <w:t>本展览通过展出目前已发现的桂柳运河、潭蓬运河、皇帝沟运河、西坑运河等四条广西唐代运河及相关古商道、古贸易场出土出水文物，讲述唐代以来广西乃至西南地区海陆贸易互动的历史，展现先民们陆海通衢的智慧与勇气。</w:t>
      </w:r>
    </w:p>
    <w:p w14:paraId="5CF9A6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3.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展板规格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所有展板统一尺寸为1.2 米×0.8米，规格标准统一，无尺寸偏差。</w:t>
      </w:r>
    </w:p>
    <w:p w14:paraId="695D70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Style w:val="5"/>
          <w:rFonts w:hint="eastAsia" w:asciiTheme="majorEastAsia" w:hAnsiTheme="majorEastAsia" w:eastAsiaTheme="majorEastAsia" w:cstheme="majorEastAsia"/>
          <w:b w:val="0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spacing w:val="-6"/>
          <w:sz w:val="28"/>
          <w:szCs w:val="28"/>
          <w:lang w:val="en-US" w:eastAsia="zh-CN"/>
        </w:rPr>
        <w:t>4.材料要求：</w:t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 w:bidi="ar"/>
        </w:rPr>
        <w:t>采用户外专用高清写真材质，过哑膜。画面画质细腻通透。所用油墨，附着力强、锁色稳固，不易褪色。</w:t>
      </w:r>
    </w:p>
    <w:p w14:paraId="13FAC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left"/>
        <w:textAlignment w:val="auto"/>
        <w:rPr>
          <w:rFonts w:hint="eastAsia" w:ascii="黑体" w:hAnsi="黑体" w:eastAsia="黑体" w:cs="黑体"/>
          <w:spacing w:val="-6"/>
          <w:sz w:val="28"/>
          <w:szCs w:val="28"/>
        </w:rPr>
      </w:pPr>
      <w:bookmarkStart w:id="1" w:name="heading_2"/>
      <w:bookmarkStart w:id="4" w:name="_GoBack"/>
      <w:bookmarkEnd w:id="4"/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、视觉设计规范要求</w:t>
      </w:r>
      <w:bookmarkEnd w:id="1"/>
    </w:p>
    <w:p w14:paraId="6B4F53B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底图设计要求</w:t>
      </w:r>
      <w:r>
        <w:rPr>
          <w:rFonts w:hint="eastAsia" w:ascii="黑体" w:hAnsi="黑体" w:eastAsia="黑体" w:cs="黑体"/>
          <w:spacing w:val="-6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块展板采用同系列、差异化底图体系，整体视觉风格统一、调性一致，单块展板细节各具特色，避免完全同质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化；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统一采用</w:t>
      </w: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</w:rPr>
        <w:t>浅底</w:t>
      </w: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  <w:lang w:val="en-US" w:eastAsia="zh-CN"/>
        </w:rPr>
        <w:t>广西</w:t>
      </w: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</w:rPr>
        <w:t>地图暗纹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作为背景，底图效果若隐若现、淡雅低调，不遮挡文字、文物、线路图主体内容，不突兀、不花哨，适配展厅庄重的文化展示氛围。</w:t>
      </w:r>
    </w:p>
    <w:p w14:paraId="5C150F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2.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排版布局要求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整体排版遵循</w:t>
      </w: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</w:rPr>
        <w:t>简约、大方、清晰、规整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的原则，分区合理、层次分明。出土文物标本、历史线路图、文字介绍、商贸场景图文分类排布，主次清晰，重点内容突出，符合展厅观展视觉习惯，兼具专业性与观赏性。</w:t>
      </w:r>
    </w:p>
    <w:p w14:paraId="102DC9C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3.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图文编辑要求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负责项目的设计人员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具备专业的文档整合与图文编辑能力，可对项目历史资料、文物介绍、线路史料、商贸记载等原始素材进行梳理、优化、排版，修正冗余、错误内容，统一字体、字号、行间距、配色标准，保证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36幅画面内容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整体视觉、文风、版式高度统一。</w:t>
      </w:r>
      <w:bookmarkStart w:id="2" w:name="heading_3"/>
    </w:p>
    <w:p w14:paraId="7A051D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、供应商资质及经验要求</w:t>
      </w:r>
      <w:bookmarkEnd w:id="2"/>
    </w:p>
    <w:p w14:paraId="709C84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企业经验资质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竞价供应商须具备</w:t>
      </w:r>
      <w:r>
        <w:rPr>
          <w:rFonts w:hint="eastAsia" w:ascii="仿宋_GB2312" w:hAnsi="仿宋_GB2312" w:eastAsia="仿宋_GB2312" w:cs="仿宋_GB2312"/>
          <w:b/>
          <w:color w:val="FF0000"/>
          <w:spacing w:val="-6"/>
          <w:sz w:val="28"/>
          <w:szCs w:val="28"/>
        </w:rPr>
        <w:t>展厅、文化展馆、主题展陈项目设计实操经验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，有同类文博、历史文化、文旅展厅展板设计成功案例，熟悉展厅展陈视觉规范与内容排版标准，能精准落地文化类展厅设计需求。</w:t>
      </w:r>
    </w:p>
    <w:p w14:paraId="4BD5C4E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2.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设计人员资质</w:t>
      </w:r>
      <w:r>
        <w:rPr>
          <w:rFonts w:hint="eastAsia" w:ascii="黑体" w:hAnsi="黑体" w:eastAsia="黑体" w:cs="黑体"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项目专属主案设计师须具备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val="en-US" w:eastAsia="zh-CN"/>
        </w:rPr>
        <w:t>大学本科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  <w:t>及以上学历，持有正规平面设计、视觉传达相关职业资格证书或专业技能证书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，具备成熟的展板整案设计、图文统筹、素材整合能力。</w:t>
      </w:r>
      <w:bookmarkStart w:id="3" w:name="heading_5"/>
    </w:p>
    <w:p w14:paraId="295AB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/>
          <w:spacing w:val="-6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/>
          <w:spacing w:val="-6"/>
          <w:sz w:val="28"/>
          <w:szCs w:val="28"/>
        </w:rPr>
        <w:t>、竞价通用规则</w:t>
      </w:r>
      <w:bookmarkEnd w:id="3"/>
    </w:p>
    <w:p w14:paraId="78CBD0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本次竞价为整体包干报价，包含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 xml:space="preserve"> 块展板的设计、图文编辑、版式排版、素材优化、多次修改调整等全部服务费用，无隐形收费。</w:t>
      </w:r>
    </w:p>
    <w:p w14:paraId="18CCF4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/>
          <w:bCs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6"/>
          <w:sz w:val="28"/>
          <w:szCs w:val="28"/>
          <w:lang w:val="en-US" w:eastAsia="zh-CN"/>
        </w:rPr>
        <w:t>五、项目交付时效要求</w:t>
      </w:r>
    </w:p>
    <w:p w14:paraId="26CC57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  <w:t>为保障项目高效落地，本次项目设计、定稿、成品交付严格执行时效标准，具体时间节点如下：</w:t>
      </w:r>
    </w:p>
    <w:p w14:paraId="4AA4D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  <w:t>1. 初稿输出：合作对接完成、素材交接完毕后，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1-2</w:t>
      </w:r>
      <w:r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  <w:t>个工作日内完成设计初稿输出，供我方审核修改。</w:t>
      </w:r>
    </w:p>
    <w:p w14:paraId="5C5FB01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  <w:t>2.定稿优化：根据我方审核意见快速调整优化，完成最终定稿。</w:t>
      </w:r>
    </w:p>
    <w:p w14:paraId="5DA3A9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28"/>
          <w:szCs w:val="28"/>
          <w:lang w:val="en-US" w:eastAsia="zh-CN"/>
        </w:rPr>
        <w:t>3.成品交付：设计稿正式定稿后，1个工作日内完成全部成品制作并送达指定地点，确保交付高效、不延误。</w:t>
      </w:r>
    </w:p>
    <w:p w14:paraId="534450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kern w:val="0"/>
          <w:sz w:val="28"/>
          <w:szCs w:val="28"/>
          <w:highlight w:val="none"/>
          <w:lang w:val="en-US" w:eastAsia="zh-CN" w:bidi="ar-SA"/>
        </w:rPr>
        <w:t>*请按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  <w:lang w:val="en-US" w:eastAsia="zh-CN"/>
        </w:rPr>
        <w:t>要求提供相关材料证明，缺一不可，并加盖公章：</w:t>
      </w:r>
    </w:p>
    <w:p w14:paraId="3CAEE8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1.营业执照复印件；</w:t>
      </w:r>
    </w:p>
    <w:p w14:paraId="464177C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法定代表人身份证复印件及有效联系方式；</w:t>
      </w:r>
    </w:p>
    <w:p w14:paraId="2B36C32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3.提交本项目设计人员学历证书、设计相关专业资质证明材料，并盖章；（</w:t>
      </w:r>
      <w:r>
        <w:rPr>
          <w:rFonts w:hint="eastAsia" w:ascii="仿宋_GB2312" w:hAnsi="仿宋_GB2312" w:eastAsia="仿宋_GB2312" w:cs="仿宋_GB2312"/>
          <w:color w:val="FF0000"/>
          <w:spacing w:val="-6"/>
          <w:sz w:val="28"/>
          <w:szCs w:val="28"/>
          <w:lang w:val="en-US" w:eastAsia="zh-CN"/>
        </w:rPr>
        <w:t>大学本科</w:t>
      </w:r>
      <w:r>
        <w:rPr>
          <w:rFonts w:hint="eastAsia" w:ascii="仿宋_GB2312" w:hAnsi="仿宋_GB2312" w:eastAsia="仿宋_GB2312" w:cs="仿宋_GB2312"/>
          <w:b/>
          <w:color w:val="FF0000"/>
          <w:spacing w:val="-6"/>
          <w:sz w:val="28"/>
          <w:szCs w:val="28"/>
        </w:rPr>
        <w:t>及以上学历</w:t>
      </w:r>
      <w:r>
        <w:rPr>
          <w:rFonts w:hint="eastAsia" w:ascii="仿宋_GB2312" w:hAnsi="仿宋_GB2312" w:eastAsia="仿宋_GB2312" w:cs="仿宋_GB2312"/>
          <w:color w:val="FF0000"/>
          <w:spacing w:val="-6"/>
          <w:sz w:val="28"/>
          <w:szCs w:val="28"/>
        </w:rPr>
        <w:t>，持有正规平面设计、视觉传达相关职业资格证书或专业技能证书</w:t>
      </w:r>
      <w:r>
        <w:rPr>
          <w:rFonts w:hint="eastAsia" w:ascii="仿宋_GB2312" w:hAnsi="仿宋_GB2312" w:eastAsia="仿宋_GB2312" w:cs="仿宋_GB2312"/>
          <w:color w:val="FF0000"/>
          <w:spacing w:val="-6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6FADEB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pacing w:val="-6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宣传展架合计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kern w:val="0"/>
          <w:sz w:val="28"/>
          <w:szCs w:val="28"/>
          <w:lang w:val="en-US" w:eastAsia="zh-CN" w:bidi="ar"/>
        </w:rPr>
        <w:t>18块（双面制作，即36幅）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kern w:val="0"/>
          <w:sz w:val="28"/>
          <w:szCs w:val="28"/>
          <w:lang w:val="en-US" w:eastAsia="zh-CN" w:bidi="ar"/>
        </w:rPr>
        <w:t>供应商附展架设计初稿3幅，并盖章。</w:t>
      </w:r>
    </w:p>
    <w:p w14:paraId="7BE4388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附以往制作的同类型博物馆展览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展厅设计案例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eastAsia="zh-CN"/>
        </w:rPr>
        <w:t>。</w:t>
      </w:r>
    </w:p>
    <w:p w14:paraId="72ADFC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黑体" w:hAnsi="黑体" w:eastAsia="黑体" w:cs="黑体"/>
          <w:spacing w:val="-11"/>
          <w:sz w:val="28"/>
          <w:szCs w:val="28"/>
        </w:rPr>
      </w:pP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F274A"/>
    <w:rsid w:val="183758C4"/>
    <w:rsid w:val="1C392011"/>
    <w:rsid w:val="25317C88"/>
    <w:rsid w:val="2CA1724D"/>
    <w:rsid w:val="33243538"/>
    <w:rsid w:val="473E1F38"/>
    <w:rsid w:val="515F188A"/>
    <w:rsid w:val="709D35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1287</Words>
  <Characters>1318</Characters>
  <TotalTime>4</TotalTime>
  <ScaleCrop>false</ScaleCrop>
  <LinksUpToDate>false</LinksUpToDate>
  <CharactersWithSpaces>1322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2026-06-30T01:56:00Z</dcterms:created>
  <dc:creator>Apache POI</dc:creator>
  <cp:lastModifiedBy>WPS_1601464082</cp:lastModifiedBy>
  <dcterms:modified xsi:type="dcterms:W3CDTF">2026-07-15T05:02:44Z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{"Label":"1","ContentProducer":"001191110102MACQD9K64010000","ProduceID":"7657001432030333908","ReservedCode1":"","ContentPropagator":"","PropagateID":"","ReservedCode2":""}</vt:lpwstr>
  </property>
  <property fmtid="{D5CDD505-2E9C-101B-9397-08002B2CF9AE}" pid="3" name="KSOTemplateDocerSaveRecord">
    <vt:lpwstr>eyJoZGlkIjoiYTQyNzdkYmEyYzlmOTEzMmQxMTkxOWM3MzYxYjU0OTciLCJ1c2VySWQiOiIxMTI2MTEzNDk2In0=</vt:lpwstr>
  </property>
  <property fmtid="{D5CDD505-2E9C-101B-9397-08002B2CF9AE}" pid="4" name="KSOProductBuildVer">
    <vt:lpwstr>2052-12.1.0.26895</vt:lpwstr>
  </property>
  <property fmtid="{D5CDD505-2E9C-101B-9397-08002B2CF9AE}" pid="5" name="ICV">
    <vt:lpwstr>D75744BAD183411D96B3B2D218233780_13</vt:lpwstr>
  </property>
</Properties>
</file>