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textAlignment w:val="center"/>
        <w:rPr>
          <w:rFonts w:cs="宋体" w:asciiTheme="minorEastAsia" w:hAnsiTheme="minorEastAsia" w:eastAsiaTheme="minorEastAsia"/>
          <w:b/>
          <w:color w:val="000000"/>
          <w:kern w:val="0"/>
          <w:sz w:val="32"/>
          <w:szCs w:val="21"/>
        </w:rPr>
      </w:pPr>
      <w:r>
        <w:rPr>
          <w:rFonts w:hint="eastAsia" w:cs="宋体" w:asciiTheme="minorEastAsia" w:hAnsiTheme="minorEastAsia" w:eastAsiaTheme="minorEastAsia"/>
          <w:b/>
          <w:color w:val="000000"/>
          <w:kern w:val="0"/>
          <w:sz w:val="32"/>
          <w:szCs w:val="21"/>
        </w:rPr>
        <w:t>防城港市第十中学现代化教育教学设备采购</w:t>
      </w:r>
    </w:p>
    <w:tbl>
      <w:tblPr>
        <w:tblStyle w:val="11"/>
        <w:tblW w:w="9939" w:type="dxa"/>
        <w:jc w:val="center"/>
        <w:tblLayout w:type="fixed"/>
        <w:tblCellMar>
          <w:top w:w="0" w:type="dxa"/>
          <w:left w:w="0" w:type="dxa"/>
          <w:bottom w:w="0" w:type="dxa"/>
          <w:right w:w="0" w:type="dxa"/>
        </w:tblCellMar>
      </w:tblPr>
      <w:tblGrid>
        <w:gridCol w:w="484"/>
        <w:gridCol w:w="1265"/>
        <w:gridCol w:w="675"/>
        <w:gridCol w:w="572"/>
        <w:gridCol w:w="5376"/>
        <w:gridCol w:w="726"/>
        <w:gridCol w:w="841"/>
      </w:tblGrid>
      <w:tr>
        <w:tblPrEx>
          <w:tblCellMar>
            <w:top w:w="0" w:type="dxa"/>
            <w:left w:w="0" w:type="dxa"/>
            <w:bottom w:w="0" w:type="dxa"/>
            <w:right w:w="0" w:type="dxa"/>
          </w:tblCellMar>
        </w:tblPrEx>
        <w:trPr>
          <w:trHeight w:val="570" w:hRule="atLeast"/>
          <w:jc w:val="center"/>
        </w:trPr>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cs="宋体" w:asciiTheme="minorEastAsia" w:hAnsiTheme="minorEastAsia" w:eastAsiaTheme="minorEastAsia"/>
                <w:bCs/>
                <w:szCs w:val="21"/>
              </w:rPr>
            </w:pPr>
            <w:r>
              <w:rPr>
                <w:rFonts w:hint="eastAsia" w:cs="宋体" w:asciiTheme="minorEastAsia" w:hAnsiTheme="minorEastAsia" w:eastAsiaTheme="minorEastAsia"/>
                <w:bCs/>
                <w:kern w:val="0"/>
                <w:szCs w:val="21"/>
              </w:rPr>
              <w:t>序号</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kern w:val="0"/>
                <w:szCs w:val="21"/>
              </w:rPr>
              <w:t>货物名称</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kern w:val="0"/>
                <w:szCs w:val="21"/>
              </w:rPr>
              <w:t>单位</w:t>
            </w:r>
          </w:p>
        </w:tc>
        <w:tc>
          <w:tcPr>
            <w:tcW w:w="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kern w:val="0"/>
                <w:szCs w:val="21"/>
              </w:rPr>
              <w:t>数量</w:t>
            </w:r>
          </w:p>
        </w:tc>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cs="宋体" w:asciiTheme="minorEastAsia" w:hAnsiTheme="minorEastAsia" w:eastAsiaTheme="minorEastAsia"/>
                <w:bCs/>
                <w:szCs w:val="21"/>
              </w:rPr>
            </w:pPr>
            <w:r>
              <w:rPr>
                <w:rFonts w:hint="eastAsia" w:cs="宋体" w:asciiTheme="minorEastAsia" w:hAnsiTheme="minorEastAsia" w:eastAsiaTheme="minorEastAsia"/>
                <w:bCs/>
                <w:kern w:val="0"/>
                <w:szCs w:val="21"/>
              </w:rPr>
              <w:t>项目要求及技术需求</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单价（元）</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金额（元）</w:t>
            </w:r>
          </w:p>
        </w:tc>
      </w:tr>
      <w:tr>
        <w:tblPrEx>
          <w:tblCellMar>
            <w:top w:w="0" w:type="dxa"/>
            <w:left w:w="0" w:type="dxa"/>
            <w:bottom w:w="0" w:type="dxa"/>
            <w:right w:w="0" w:type="dxa"/>
          </w:tblCellMar>
        </w:tblPrEx>
        <w:trPr>
          <w:trHeight w:val="570" w:hRule="atLeast"/>
          <w:jc w:val="center"/>
        </w:trPr>
        <w:tc>
          <w:tcPr>
            <w:tcW w:w="993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bottom"/>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一、</w:t>
            </w:r>
            <w:r>
              <w:rPr>
                <w:rFonts w:hint="eastAsia" w:asciiTheme="minorEastAsia" w:hAnsiTheme="minorEastAsia" w:eastAsiaTheme="minorEastAsia"/>
                <w:szCs w:val="21"/>
              </w:rPr>
              <w:t>多媒体教室智慧黑板设备</w:t>
            </w:r>
          </w:p>
        </w:tc>
      </w:tr>
      <w:tr>
        <w:tblPrEx>
          <w:tblCellMar>
            <w:top w:w="0" w:type="dxa"/>
            <w:left w:w="0" w:type="dxa"/>
            <w:bottom w:w="0" w:type="dxa"/>
            <w:right w:w="0" w:type="dxa"/>
          </w:tblCellMar>
        </w:tblPrEx>
        <w:trPr>
          <w:trHeight w:val="961" w:hRule="atLeast"/>
          <w:jc w:val="center"/>
        </w:trPr>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8</w:t>
            </w:r>
            <w:r>
              <w:rPr>
                <w:rFonts w:cs="宋体" w:asciiTheme="minorEastAsia" w:hAnsiTheme="minorEastAsia" w:eastAsiaTheme="minorEastAsia"/>
                <w:bCs/>
                <w:kern w:val="0"/>
                <w:szCs w:val="21"/>
              </w:rPr>
              <w:t>6</w:t>
            </w:r>
            <w:r>
              <w:rPr>
                <w:rFonts w:hint="eastAsia" w:cs="宋体" w:asciiTheme="minorEastAsia" w:hAnsiTheme="minorEastAsia" w:eastAsiaTheme="minorEastAsia"/>
                <w:bCs/>
                <w:kern w:val="0"/>
                <w:szCs w:val="21"/>
              </w:rPr>
              <w:t>寸智慧黑板</w:t>
            </w:r>
          </w:p>
          <w:p>
            <w:pPr>
              <w:pStyle w:val="5"/>
              <w:widowControl/>
              <w:ind w:firstLine="210" w:firstLineChars="100"/>
              <w:jc w:val="left"/>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希沃</w:t>
            </w:r>
            <w:r>
              <w:rPr>
                <w:rFonts w:cs="宋体" w:asciiTheme="minorEastAsia" w:hAnsiTheme="minorEastAsia" w:eastAsiaTheme="minorEastAsia"/>
                <w:bCs/>
                <w:kern w:val="0"/>
                <w:szCs w:val="21"/>
              </w:rPr>
              <w:t>BH86ED</w:t>
            </w:r>
            <w:r>
              <w:rPr>
                <w:rFonts w:cs="宋体" w:asciiTheme="minorEastAsia" w:hAnsiTheme="minorEastAsia" w:eastAsiaTheme="minorEastAsia"/>
                <w:bCs/>
                <w:kern w:val="0"/>
                <w:szCs w:val="21"/>
              </w:rPr>
              <w:br w:type="textWrapping"/>
            </w:r>
            <w:r>
              <w:rPr>
                <w:rFonts w:cs="宋体" w:asciiTheme="minorEastAsia" w:hAnsiTheme="minorEastAsia" w:eastAsiaTheme="minorEastAsia"/>
                <w:bCs/>
                <w:kern w:val="0"/>
                <w:szCs w:val="21"/>
              </w:rPr>
              <w:t>i7(13代</w:t>
            </w:r>
            <w:r>
              <w:rPr>
                <w:rFonts w:hint="eastAsia" w:cs="宋体" w:asciiTheme="minorEastAsia" w:hAnsiTheme="minorEastAsia" w:eastAsiaTheme="minorEastAsia"/>
                <w:bCs/>
                <w:kern w:val="0"/>
                <w:szCs w:val="21"/>
              </w:rPr>
              <w:t>/12</w:t>
            </w:r>
            <w:r>
              <w:rPr>
                <w:rFonts w:cs="宋体" w:asciiTheme="minorEastAsia" w:hAnsiTheme="minorEastAsia" w:eastAsiaTheme="minorEastAsia"/>
                <w:bCs/>
                <w:kern w:val="0"/>
                <w:szCs w:val="21"/>
              </w:rPr>
              <w:t>代）,16g</w:t>
            </w:r>
            <w:r>
              <w:rPr>
                <w:rFonts w:hint="eastAsia" w:cs="宋体" w:asciiTheme="minorEastAsia" w:hAnsiTheme="minorEastAsia" w:eastAsiaTheme="minorEastAsia"/>
                <w:bCs/>
                <w:kern w:val="0"/>
                <w:szCs w:val="21"/>
              </w:rPr>
              <w:t>/</w:t>
            </w:r>
            <w:r>
              <w:rPr>
                <w:rFonts w:cs="宋体" w:asciiTheme="minorEastAsia" w:hAnsiTheme="minorEastAsia" w:eastAsiaTheme="minorEastAsia"/>
                <w:bCs/>
                <w:kern w:val="0"/>
                <w:szCs w:val="21"/>
              </w:rPr>
              <w:t>512G</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套</w:t>
            </w:r>
          </w:p>
        </w:tc>
        <w:tc>
          <w:tcPr>
            <w:tcW w:w="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12</w:t>
            </w:r>
          </w:p>
        </w:tc>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numPr>
                <w:ilvl w:val="0"/>
                <w:numId w:val="2"/>
              </w:numPr>
            </w:pPr>
            <w:r>
              <w:t>内置电脑模块设计</w:t>
            </w:r>
            <w:r>
              <w:br w:type="textWrapping"/>
            </w:r>
            <w:r>
              <w:t>1、处理器要求：Intel 酷睿系列 i7 12或13 代 CPU 或更优配置；</w:t>
            </w:r>
            <w:r>
              <w:br w:type="textWrapping"/>
            </w:r>
            <w:r>
              <w:t>2、内存：2*8G 内存或更优配置；</w:t>
            </w:r>
            <w:r>
              <w:br w:type="textWrapping"/>
            </w:r>
            <w:r>
              <w:t>3、硬盘：512G SSD 或更优配置；</w:t>
            </w:r>
            <w:r>
              <w:br w:type="textWrapping"/>
            </w:r>
            <w:r>
              <w:t>4、采用按压式卡扣，无需工具即可快速拆卸电脑模块。</w:t>
            </w:r>
            <w:r>
              <w:br w:type="textWrapping"/>
            </w:r>
            <w:r>
              <w:t>5、PC 模块可抽拉式插入整机，可实现无单独接线的拔插。</w:t>
            </w:r>
            <w:r>
              <w:br w:type="textWrapping"/>
            </w:r>
            <w:r>
              <w:t>6、具有独立非外拓展的视频输出接口：≥1 路 HDMI。</w:t>
            </w:r>
            <w:r>
              <w:br w:type="textWrapping"/>
            </w:r>
            <w:r>
              <w:t>7、具有独立非外拓展的电脑 USB 接口：至少具备 3 个 USB3.0 接口。</w:t>
            </w:r>
            <w:r>
              <w:br w:type="textWrapping"/>
            </w:r>
            <w:r>
              <w:t>8、具有标准 PC 防盗锁孔，确保电脑模块安全防盗。</w:t>
            </w:r>
            <w:r>
              <w:br w:type="textWrapping"/>
            </w:r>
            <w:r>
              <w:t>9、和整机的连接采用万兆级接口，传输速率≥10Gbps。</w:t>
            </w:r>
            <w:r>
              <w:br w:type="textWrapping"/>
            </w:r>
            <w:r>
              <w:t>10、和整机的连接接口针脚数≤40pin。</w:t>
            </w:r>
            <w:r>
              <w:br w:type="textWrapping"/>
            </w:r>
            <w:r>
              <w:t>二、整机整体设计</w:t>
            </w:r>
            <w:r>
              <w:br w:type="textWrapping"/>
            </w:r>
            <w:r>
              <w:t>1、整体外观尺寸：宽≥4200mm，高≥1200mm，厚≤111mm。</w:t>
            </w:r>
            <w:r>
              <w:br w:type="textWrapping"/>
            </w:r>
            <w:r>
              <w:t>2、整机采用全金属外壳，三拼接平面一体化设计。无推拉式结构，外部无任何可见内部功能模块连接线。主副屏过渡平滑，中间无单独边框阻隔。（投标时须提供国家认可的第三方检测机构出具的关于该功能检测报告复印件）</w:t>
            </w:r>
            <w:r>
              <w:br w:type="textWrapping"/>
            </w:r>
            <w:r>
              <w:t>3、整机屏幕边缘采用金属圆角包边防护，整机背板采用金属材质，有效屏蔽内部电路器件辐射；防潮耐盐雾蚀锈，适应多种教学环境。（投标时须提供国家认可的第三方检测机构出具的关于该功能检测报告复印件）</w:t>
            </w:r>
            <w:r>
              <w:br w:type="textWrapping"/>
            </w:r>
            <w:r>
              <w:t>4、主屏支持普通粉笔直接书写。（投标时须提供国家认可的第三方检测机构出具的关于该功能检测报告复印件）</w:t>
            </w:r>
            <w:r>
              <w:br w:type="textWrapping"/>
            </w:r>
            <w:r>
              <w:t>5、整机两侧副屏可支持以下媒介（普通粉笔、液体粉笔、成膜笔）进行板书书写。（投标时须提供国家认可的第三方检测机构出具的关于该功能检测报告复印件）</w:t>
            </w:r>
            <w:r>
              <w:br w:type="textWrapping"/>
            </w:r>
            <w:r>
              <w:t>6、整机设备副屏支持磁吸附功能，可以满足带有磁吸的板擦教具进行吸附在副屏上。（投标时须提供国家认可的第三方检测机构出具的关于该功能检测报告复印件）</w:t>
            </w:r>
            <w:r>
              <w:br w:type="textWrapping"/>
            </w:r>
            <w:r>
              <w:t>7、整机屏幕采用 86 英寸液晶显示器。</w:t>
            </w:r>
            <w:r>
              <w:br w:type="textWrapping"/>
            </w:r>
            <w:r>
              <w:t>8、整机采用超高清 LED 液晶显示屏，显示比例 16:9，分辨率 3840×2160。</w:t>
            </w:r>
            <w:r>
              <w:br w:type="textWrapping"/>
            </w:r>
            <w:r>
              <w:t>9、侧置输入接口具备≥ 2 路 HDMI、≥1 路 RS232（RJ45 形态）、≥1 路 USB 接口。（投标时须提供国家认可的第三方检测机构出具的关于该功能检测报告复印件）</w:t>
            </w:r>
            <w:r>
              <w:br w:type="textWrapping"/>
            </w:r>
            <w:r>
              <w:t>10、侧置输出接口具备 ≥1 路音频输出、≥1 路触控 USB 输出。前置输入接口具备≥ 3 路 USB 接口（包含 ≥1 路 Type-C、≥2 路 USB）。（投标时须提供国家认可的第三方检测机构出具的关于该功能检测报告复印件）</w:t>
            </w:r>
            <w:r>
              <w:br w:type="textWrapping"/>
            </w:r>
            <w:r>
              <w:t>11、整机嵌入式系统版本≥Android 15，主频≥1.6GHz，内存≥2GB，存储空间≥32GB；（投标时须提供国家认可的第三方检测机构出具的关于该功能检测报告复印件）</w:t>
            </w:r>
            <w:r>
              <w:br w:type="textWrapping"/>
            </w:r>
            <w:r>
              <w:t>12、钢化玻璃表面硬度≥9H，透光率不低于 91%，雾度≤8%；采用全物理钢化玻璃，碎片状态、抗冲击性、霰弹袋冲击性能、耐热冲击性能均通过国家强制玻璃标准，表面应力≥100Mpa。（投标时须提供国家认可的第三方检测机构出具的关于该功能检测报告复印件）</w:t>
            </w:r>
            <w:r>
              <w:br w:type="textWrapping"/>
            </w:r>
            <w:r>
              <w:t>13、整机Windows系统和Android系统均支持≥50点触控及书写划线（投标时须提供国家认可的第三方检测机构出具的关于该功能检测报告复印件）</w:t>
            </w:r>
            <w:r>
              <w:br w:type="textWrapping"/>
            </w:r>
            <w:r>
              <w:t>14、整机电磁干扰 ITE 达到国标 GB/T 9254.1-2021 Class B 等级要求，满足教学环境多电子设备共用，无需采取任何电磁辐射防护措施，不接受 GB/T 9254.1-2021 ITE Class A 等级产品。</w:t>
            </w:r>
            <w:r>
              <w:br w:type="textWrapping"/>
            </w:r>
            <w:r>
              <w:t>三、按键与无线功能要求</w:t>
            </w:r>
            <w:r>
              <w:br w:type="textWrapping"/>
            </w:r>
            <w:r>
              <w:t>1、三合一电源按键，同一电源物理按键完成 Android 系统和 Windows 系统的开机、节能熄屏、关机操作；关机状态下按按键开机；开机状态下按按键实现节能熄屏 / 唤醒，长按按键实现关机。</w:t>
            </w:r>
            <w:r>
              <w:br w:type="textWrapping"/>
            </w:r>
            <w:r>
              <w:t>2、整机具备前置物理按键数量≧6，可实现开关机、音量＋－、护眼、录屏、设置功能。（投标时须提供国家认可的第三方检测机构出具的关于该功能检测报告复印件）</w:t>
            </w:r>
            <w:r>
              <w:br w:type="textWrapping"/>
            </w:r>
            <w:r>
              <w:t>3、支持经典护眼模式，可通过前置面板物理功能按键一键启用经典护眼模式。（投标时须提供国家认可的第三方检测机构出具的关于该功能检测报告复印件）</w:t>
            </w:r>
            <w:r>
              <w:br w:type="textWrapping"/>
            </w:r>
            <w:r>
              <w:t>4、设备支持通过前置面板物理按键一键启动录屏功能，可将屏幕中显示的课件、音频内容与人声同时录制。（投标时须提供国家认可的第三方检测机构出具的关于该功能检测报告复印件）</w:t>
            </w:r>
            <w:r>
              <w:br w:type="textWrapping"/>
            </w:r>
            <w:r>
              <w:t>5、整机前置按键支持自定义设置，可通过自定义设置实现前置面板功能按键一键启用任一全局小工具（批注、截屏、计时、降半屏、放大镜、倒数日、日历）、快捷开关（节能模式、纸质护眼模式、经典护眼模式、自动亮度模式）。</w:t>
            </w:r>
            <w:r>
              <w:br w:type="textWrapping"/>
            </w:r>
            <w:r>
              <w:t>6、整机无需外接无线网卡，在 Windows 系统下可实现 Wi-Fi 无线上网连接、AP 无线热点发射和 BT 蓝牙连接功能。（投标时须提供国家认可的第三方检测机构出具的关于该功能检测报告复印件）</w:t>
            </w:r>
            <w:r>
              <w:br w:type="textWrapping"/>
            </w:r>
            <w:r>
              <w:t>7、Wi-Fi 和 AP 热点工作距离≥12m。（投标时须提供国家认可的第三方检测机构出具的关于该功能检测报告复印件）</w:t>
            </w:r>
            <w:r>
              <w:br w:type="textWrapping"/>
            </w:r>
            <w:r>
              <w:t>8、整机支持蓝牙 Bluetooth 5.4 标准，固件版本号 HCI13.0/LMP13.0。（投标时须提供国家认可的第三方检测机构出具的关于该功能检测报告复印件）</w:t>
            </w:r>
            <w:r>
              <w:br w:type="textWrapping"/>
            </w:r>
            <w:r>
              <w:t>9、整机 PC 端支持主动发现蓝牙外设从而连接（无需整机进入发现模式），支持连接外部蓝牙音箱播放音频。（投标时须提供国家认可的第三方检测机构出具的关于该功能检测报告复印件）</w:t>
            </w:r>
            <w:r>
              <w:br w:type="textWrapping"/>
            </w:r>
            <w:r>
              <w:t>10、整机支持发出频率为 18kHz-22kHz 超声波信号，智能手和笔记本电脑接收超声波信号后可以自动识别附近投屏设备，点击对应设备即可完成投屏操作，用户无需手动输入投屏码或扫码获取投屏码。（投标时须提供国家认可的第三方检测机构出具的关于该功能检测报告复印件）</w:t>
            </w:r>
            <w:r>
              <w:br w:type="textWrapping"/>
            </w:r>
            <w:r>
              <w:t>11、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再进行传屏；</w:t>
            </w:r>
            <w:r>
              <w:br w:type="textWrapping"/>
            </w:r>
            <w:r>
              <w:t>12、整机配套教学应用APP可通过wifi直连技术，近场发现附近教学大屏设备，无需扫码、账号密码输入步骤，即可直接连接并登录教学大屏设备，基于统一身份认证机制可实现其他教学软件免登录操作。（投标时须提供国家认可的第三方检测机构出具的关于该功能检测报告复印件）</w:t>
            </w:r>
            <w:r>
              <w:br w:type="textWrapping"/>
            </w:r>
            <w:r>
              <w:t>13、整机内置双 WiFi6 无线网卡（不接受外接），在 Android 和 Windows 系统下，可实现 Wi-Fi 无线上网连接、AP 无线热点发射。（投标时须提供国家认可的第三方检测机构出具的关于该功能检测报告复印件）</w:t>
            </w:r>
            <w:r>
              <w:br w:type="textWrapping"/>
            </w:r>
            <w:r>
              <w:t>14、整机内置双 WiFi6 无线网卡（不接受外接），在 Android 下支持无线设备同时连接数量≥32 个，在 Windows 系统下支持无线设备同时连接≥8 个。（投标时须提供国家认可的第三方检测机构出具的关于该功能检测报告复印件）</w:t>
            </w:r>
            <w:r>
              <w:br w:type="textWrapping"/>
            </w:r>
            <w:r>
              <w:t>15、Wi-Fi 及 AP 热点支持频段 2.4GHz/5GHz。（投标时须提供国家认可的第三方检测机构出具的关于该功能检测报告复印件）</w:t>
            </w:r>
            <w:r>
              <w:br w:type="textWrapping"/>
            </w:r>
            <w:r>
              <w:t>16、Wi-Fi 制式支持 IEEE 802.11 a/b/g/n/ac/ax；支持版本 Wi-Fi6；整机 PC 通道及安卓通道各具备一颗 WiFi6 无线芯片，PC 和安卓通道均可通过大屏发送 WiFi6 热点以及连接 WiFi6 的路由器。（投标时须提供国家认可的第三方检测机构出具的关于该功能检测报告复印件）</w:t>
            </w:r>
            <w:r>
              <w:br w:type="textWrapping"/>
            </w:r>
            <w:r>
              <w:t>17、整机内置摄像头（非外扩），PC 通道下支持通过视频展台软件调用摄像头进行二维码扫码识别。</w:t>
            </w:r>
            <w:r>
              <w:br w:type="textWrapping"/>
            </w:r>
            <w:r>
              <w:t>18、具备摄像头工作指示灯，摄像头运行时，有指示灯提示。（投标时须提供国家认可的第三方检测机构出具的关于该功能检测报告复印件）</w:t>
            </w:r>
            <w:r>
              <w:br w:type="textWrapping"/>
            </w:r>
            <w:r>
              <w:t>19、整机内置非独立摄像头，可拍摄≥5000万像素数的照片。（投标时须提供国家认可的第三方检测机构出具的关于该功能检测报告复印件）</w:t>
            </w:r>
            <w:r>
              <w:br w:type="textWrapping"/>
            </w:r>
            <w:r>
              <w:t>20、整机摄像头对角线视场角≥120 度。（投标时须提供国家认可的第三方检测机构出具的关于该功能检测报告复印件）</w:t>
            </w:r>
            <w:r>
              <w:br w:type="textWrapping"/>
            </w:r>
            <w:r>
              <w:t>21、整机内置非独立的高清摄像头，可用于远程巡课。（投标时须提供国家认可的第三方检测机构出具的关于该功能检测报告复印件）</w:t>
            </w:r>
            <w:r>
              <w:br w:type="textWrapping"/>
            </w:r>
            <w:r>
              <w:t>22、整机摄像头支持人脸识别、清点人数、随机抽人；识别所有学生，显示标记，然后随机抽选，同时显示标记不少于 60 人；整机具备班级视力检测功能，学生站在距离屏幕前 5m 处，可通过手势识别方式来标识方向进行视力测试，测试完成后可直接生成视力检测结果，并建立学生视力档案。（投标时须提供国家认可的第三方检测机构出具的关于该功能检测报告复印件）</w:t>
            </w:r>
            <w:r>
              <w:br w:type="textWrapping"/>
            </w:r>
            <w:r>
              <w:t>★23、整机具备班级视力检测功能，学生站在距离屏幕前 5m 处，可通过手势识别方式来标识方向进行视力测试，测试完成后可直接生成视力检测结果，并建立学生视力档案。（投标时须提供国家认可的第三方检测机构出具的关于该功能检测报告复印件）</w:t>
            </w:r>
            <w:r>
              <w:br w:type="textWrapping"/>
            </w:r>
            <w:r>
              <w:t>24、整机支持通过人脸识别进行账号登录。</w:t>
            </w:r>
            <w:r>
              <w:br w:type="textWrapping"/>
            </w:r>
            <w:r>
              <w:t>25、整机摄像头支持环境色温判断，根据环境调节合适的显示图像效果。</w:t>
            </w:r>
            <w:r>
              <w:br w:type="textWrapping"/>
            </w:r>
            <w:r>
              <w:t>26、整机摄像头、麦克风采用一体化模块设计，无需拆卸整机后壳，即可针对整机摄像头、麦克风单独拆卸维护。</w:t>
            </w:r>
            <w:r>
              <w:br w:type="textWrapping"/>
            </w:r>
            <w:r>
              <w:t>五、侧边栏快捷功能</w:t>
            </w:r>
            <w:r>
              <w:br w:type="textWrapping"/>
            </w:r>
            <w:r>
              <w:t>★1、整机内置全通道侧边栏快捷菜单，小工具、应用软件、快捷设置、亮度 / 音量调节、教室物联入口；可实时查看物联设备的连接情况，点击设备图标即可调出中控菜单进行管控。（投标时须提供国家认可的第三方检测机构出具的关于该功能检测报告复印件）</w:t>
            </w:r>
            <w:r>
              <w:br w:type="textWrapping"/>
            </w:r>
            <w:r>
              <w:t>2、整机全通道侧边栏支持展示学校名称、设备班级、场地信息。（投标时须提供国家认可的第三方检测机构出具的关于该功能检测报告复印件）</w:t>
            </w:r>
            <w:r>
              <w:br w:type="textWrapping"/>
            </w:r>
            <w:r>
              <w:t>3、整机全通道侧边栏快捷菜单包含如下小工具：批注、降半屏、截屏、放大镜、倒计时、日历、聚光灯、秒表、冻屏、倒数日、答题、节拍器。（投标时须提供国家认可的第三方检测机构出具的关于该功能检测报告复印件）</w:t>
            </w:r>
            <w:r>
              <w:br w:type="textWrapping"/>
            </w:r>
            <w:r>
              <w:t>4、整机全通道侧边栏快捷菜单小工具支持自定义，支持设置对应小工具的显示 / 隐藏；支持通过拖拽进行顺序自定义；可自定义侧边栏物联模块、进程管理、桌面文件模块的显示和隐藏。（投标时须提供国家认可的第三方检测机构出具的关于该功能检测报告复印件）</w:t>
            </w:r>
            <w:r>
              <w:br w:type="textWrapping"/>
            </w:r>
            <w:r>
              <w:t>★5、整机全通道侧边栏支持使用批注小工具进行批注讲解，可切换书写笔颜色、截屏保存批注内容、清屏，可根据手与屏幕的接触面积自动调整板擦工具的大小。（投标时须提供国家认可的第三方检测机构出具的关于该功能检测报告复印件）</w:t>
            </w:r>
            <w:r>
              <w:br w:type="textWrapping"/>
            </w:r>
            <w:r>
              <w:t>6、整机全通道侧边栏支持将设备屏幕降低为半屏幕状态，点击上半屏幕可以返回全屏状态。（投标时须提供国家认可的第三方检测机构出具的关于该功能检测报告复印件）</w:t>
            </w:r>
            <w:r>
              <w:br w:type="textWrapping"/>
            </w:r>
            <w:r>
              <w:t>7、整机全通道侧边栏支持自行选择所需截取屏幕范围，点击截屏即可成功截取屏幕，并自动保存。</w:t>
            </w:r>
            <w:r>
              <w:br w:type="textWrapping"/>
            </w:r>
            <w:r>
              <w:t>8、整机全通道侧边栏支持放大选中区域内容，并可支持对未选中区域关灯处理，实现聚光灯效果。</w:t>
            </w:r>
            <w:r>
              <w:br w:type="textWrapping"/>
            </w:r>
            <w:r>
              <w:t>9、整机全通道侧边栏支持倒计时、正计时功能；倒计时，输入某特定时间值，可精确到秒，点击开始进入倒计时；正计时，点击开始计时便自动开始，并实时显示时间。</w:t>
            </w:r>
            <w:r>
              <w:br w:type="textWrapping"/>
            </w:r>
            <w:r>
              <w:t>10、整机全通道侧边栏支持打开日历，查看日期。</w:t>
            </w:r>
            <w:r>
              <w:br w:type="textWrapping"/>
            </w:r>
            <w:r>
              <w:t>11、整机全通道侧边栏支持聚光灯，支持聚光灯高亮区域大小调节、区域移动。</w:t>
            </w:r>
            <w:r>
              <w:br w:type="textWrapping"/>
            </w:r>
            <w:r>
              <w:t>12、整机全通道侧边栏支持冻屏，将屏幕画面进行缩放。（投标时须提供国家认可的第三方检测机构出具的关于该功能检测报告复印件）</w:t>
            </w:r>
            <w:r>
              <w:br w:type="textWrapping"/>
            </w:r>
            <w:r>
              <w:t>13、整机安卓和外接通道 (2 路 HDMI) 下侧边栏支持设置倒数日。</w:t>
            </w:r>
            <w:r>
              <w:br w:type="textWrapping"/>
            </w:r>
            <w:r>
              <w:t>14、整机安卓和外接通道 (2 路 HDMI) 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r>
              <w:br w:type="textWrapping"/>
            </w:r>
            <w:r>
              <w:t>15、整机安卓和外接通道 (2 路 HDMI) 下侧边栏支持节拍器，支持设置节拍、轻重、节拍播放速度。全通道下可支持通过自定义按键调出该功能。</w:t>
            </w:r>
            <w:r>
              <w:br w:type="textWrapping"/>
            </w:r>
            <w:r>
              <w:t>16、整机支持在设备上通过摄像头获取教室内图像并自动识别图像内所有人员，并随机抽选 1 人。</w:t>
            </w:r>
            <w:r>
              <w:br w:type="textWrapping"/>
            </w:r>
            <w:r>
              <w:t>17、整机支持在设备上通过摄像头获取教室内图像并自动识别图像内所有人员，并自动进行人数统计。</w:t>
            </w:r>
            <w:r>
              <w:br w:type="textWrapping"/>
            </w:r>
            <w:r>
              <w:t>18、整机支持在设备上，通过侧边栏实现调用 windows 系统运行、打开文件夹、打开任务管理、打开 U 盘、录屏功能。</w:t>
            </w:r>
            <w:r>
              <w:br w:type="textWrapping"/>
            </w:r>
            <w:r>
              <w:t>19、整机 Windows 通道支持在通过侧边栏调取软键盘。</w:t>
            </w:r>
            <w:r>
              <w:br w:type="textWrapping"/>
            </w:r>
            <w:r>
              <w:t>20、整机 Windows 通道支持对当前运行中的应用进行窗口最大化、窗口最小化、应用强制关闭。</w:t>
            </w:r>
            <w:r>
              <w:br w:type="textWrapping"/>
            </w:r>
            <w:r>
              <w:t>21、整机处于非内置 PC 通道下，支持通过侧边栏进入 PC 通道。</w:t>
            </w:r>
            <w:r>
              <w:br w:type="textWrapping"/>
            </w:r>
            <w:r>
              <w:t>22、侧边栏内置文件管理，可便捷打开存放在桌面上的文件、文件夹；支持快速打开桌面文件夹目录，以便查看更多文件。</w:t>
            </w:r>
            <w:r>
              <w:br w:type="textWrapping"/>
            </w:r>
            <w:r>
              <w:t>23、侧边栏内置应用管理，可查看全部应用列表，并可点击其中应用进行快捷打开；支持 Windows 应用固定，可将应用固定后，在侧边栏进行快捷打开。</w:t>
            </w:r>
            <w:r>
              <w:br w:type="textWrapping"/>
            </w:r>
            <w:r>
              <w:t>24、教学桌面支持增加网页快捷打开方式，数量≥8 个，并支持自定义网址命名。（投标时须提供国家认可的第三方检测机构出具的关于该功能检测报告复印件）</w:t>
            </w:r>
            <w:r>
              <w:br w:type="textWrapping"/>
            </w:r>
            <w:r>
              <w:t>25、整机全通道侧边栏快捷菜单支持简洁模式和常规模式切换，简洁模式下可进行打开批注、降半屏、主页的基础操作。</w:t>
            </w:r>
            <w:r>
              <w:br w:type="textWrapping"/>
            </w:r>
            <w:r>
              <w:t>六、教学软件设计</w:t>
            </w:r>
            <w:r>
              <w:br w:type="textWrapping"/>
            </w:r>
            <w:r>
              <w:t>（一）整体设计</w:t>
            </w:r>
            <w:r>
              <w:br w:type="textWrapping"/>
            </w:r>
            <w:r>
              <w:t>1、为教师提供可扩展，易于学校管理，安全可靠的云存储空间，根据每名教师使用时长与教学资料制作频率提供可扩展升级至不小于 200G 的个人云空间。</w:t>
            </w:r>
            <w:r>
              <w:br w:type="textWrapping"/>
            </w:r>
            <w:r>
              <w:t>2、教学软件为使用方全体教师配备个人账号，形成一体的信息化教学账号体系；根据教师账号信息将教师云空间匹配至对应学校、学科校本资源库。支持通过数字账号、微信二维码、硬件密钥方式登录教师个人账号。</w:t>
            </w:r>
            <w:r>
              <w:br w:type="textWrapping"/>
            </w:r>
            <w:r>
              <w:t>3、互动教学课件支持定向精准分享：分享者可将互动课件、课件组精准推送至指定接收方账号云空间，接收方可在云空间接收并打开分享课件；支持多人在线协同编辑，支持以链接的形式进行课件分享、邀请协作，支持查看当前在线用户，针对邀请协同的用户可设置可编辑、可阅读权限，支持将 PPT 课件转化为交互式课件进行协同编辑。4、上传下载一体化云存储：备课时支持将云空间中存储图片、音频、视频、Flash 等素材插入课件，同时支持将课件中的图片、音频、视频、Flash、PPT 等素材右键上传至云空间。</w:t>
            </w:r>
            <w:r>
              <w:br w:type="textWrapping"/>
            </w:r>
            <w:r>
              <w:t>5、互动教学课件支持开放式云分享：分享者可将互动课件、课件组以公开或加密的 web 链接和二维码形式进行分享，分享链接可设置访问有效期。</w:t>
            </w:r>
            <w:r>
              <w:br w:type="textWrapping"/>
            </w:r>
            <w:r>
              <w:t>6、互动教学课件支持分享至学校校本资源库，学段学科根据教师个人信息自动匹配，分享后课件全校教师可见，并可直接下载使用。校本资源库支持按学科、学段进行快速查找，同时支持关键词精准检索。</w:t>
            </w:r>
            <w:r>
              <w:br w:type="textWrapping"/>
            </w:r>
            <w:r>
              <w:t>★7、胶囊式微课功能内置于交互式课件工具中，支持快速录制胶囊式微课，微课可录制保存音频和课件的互动操作；支持对全屏 / 区域的屏幕内容、整机声音、麦克风声音、摄像头内容进行录制，支持切换录制分辨率，支持录制过程中进行画笔标注与擦除；支持中途暂停录制和继续录制；微课录制结束后支持提取视频中的文字，按照提取出的文字对视频进行快速剪辑。</w:t>
            </w:r>
            <w:r>
              <w:br w:type="textWrapping"/>
            </w:r>
            <w:r>
              <w:t>（1）录制功能：录制过程中可对课件中的元素进行拖动、克隆、删除等操作，支持在录制过程中进行书写和擦除</w:t>
            </w:r>
            <w:r>
              <w:br w:type="textWrapping"/>
            </w:r>
            <w:r>
              <w:t>（2）剪辑重录功能：支持按照课件页面片段剪辑和重录微课，支持一键上传至云端保存</w:t>
            </w:r>
            <w:r>
              <w:br w:type="textWrapping"/>
            </w:r>
            <w:r>
              <w:t>（3）无课件录制：支持教师在空白页面录制胶囊式微课，支持自主添加不低于 100 页电子草稿进行讲解</w:t>
            </w:r>
            <w:r>
              <w:br w:type="textWrapping"/>
            </w:r>
            <w:r>
              <w:t>（4）听课方式：微课录制结束后自动生成分享海报，学生扫码在即可在微信观看，无需下载额外 app 使用</w:t>
            </w:r>
            <w:r>
              <w:br w:type="textWrapping"/>
            </w:r>
            <w:r>
              <w:t>（5）学生观看胶囊式微课时可进行多种互动，可在控制课件模式下移动、删除克隆课件内的元素，参与课堂活动互动练习</w:t>
            </w:r>
            <w:r>
              <w:br w:type="textWrapping"/>
            </w:r>
            <w:r>
              <w:t>（6）系统后台自动统计胶囊式微课的观看次数，便于教师做教研管理</w:t>
            </w:r>
            <w:r>
              <w:br w:type="textWrapping"/>
            </w:r>
            <w:r>
              <w:t>8、云教案设计：可在备课平台直接边写教案，教案为云端存储，支持文本、图片、视频、公式的插入。可将教案关联至教师课件，支持课件同时关联多份教案，关联后教师可在备课界面调用查看教案，便于教研工作开展。</w:t>
            </w:r>
            <w:r>
              <w:br w:type="textWrapping"/>
            </w:r>
            <w:r>
              <w:t>9、支持移动授课，实现公网连接控制课件翻页、播放，支持手机拍照上传、投屏。手机端和电脑端登录同一账号后即可自动连接，拍照上传、控制课件支持公网。</w:t>
            </w:r>
            <w:r>
              <w:br w:type="textWrapping"/>
            </w:r>
            <w:r>
              <w:t>10、采用备授课一体化框架设计，教师可根据教学场景自由切换类 PPT 界面的备课模式与触控交互教学模式，适用于教室、办公室等不同教学环境，便于教师教学使用。</w:t>
            </w:r>
            <w:r>
              <w:br w:type="textWrapping"/>
            </w:r>
            <w:r>
              <w:t>11、互动课件与多媒体素材的云空间相互独立，互不干扰；教师可新建课件组或素材文件夹对教学资源进行个性化的分类与标记，便于管理；多媒体素材库内的素材可随时插入互动课件，互动课件内的多媒体素材可在课件内直接上传至多媒体素材存储空间，便于教师调用、采集教学素材。</w:t>
            </w:r>
            <w:r>
              <w:br w:type="textWrapping"/>
            </w:r>
            <w:r>
              <w:t>12、整机内置 AI 作文批改工具，支持对视频展台所采集的内容进行识别，识别到英文作文类型后，支持作文内容进行批改；可根据作文的整体表现给出一个综合评分，并提供详细的评分依据；能够从作文的词汇词组、语法句子、内容连贯性多个维度进行分析和评价，对于存在的语法错误和错别字，能够指出并提供修改建议。（投标时须提供国家认可的第三方检测机构出具的关于该功能检测报告复印件）</w:t>
            </w:r>
            <w:r>
              <w:br w:type="textWrapping"/>
            </w:r>
            <w:r>
              <w:t>13、整机内置 AI 智能体（非第三方应用），根据教学和学习需求可快速创建，支持个性化设定角色信息包括角色性格、技能与头像信息，支持语音和文字两种方式与智能体进行对话交互，创建的智能体可上传到本校资源进行共享使用；支持用户通过当前设备与历史学家智能体进行对话交流，智能体包涵历史文物、文化遗址、博物馆展览文博知识，用户可通过语音方式向智能体提问，智能体能够提供准确详细的回答，支持多轮对话并推荐相关内容。（投标时须提供国家认可的第三方检测机构出具的关于该功能检测报告复印件）</w:t>
            </w:r>
            <w:r>
              <w:br w:type="textWrapping"/>
            </w:r>
            <w:r>
              <w:t>14、整机内置 AR 授课工具，支持对视频展台所采集的画面中叠加动态的 3D 模型，3D 模型包括动物、微生物、人体骨骼、乐器、星球、地形。（投标时须提供国家认可的第三方检测机构出具的关于该功能检测报告复印件）</w:t>
            </w:r>
            <w:r>
              <w:br w:type="textWrapping"/>
            </w:r>
            <w:r>
              <w:t>15、整机内置 AI 授课工具，支持对整机页面显示的题目或视频展台所采集的题目内容进行识别，支持手动框选题目范围，能够对题目进行详细的讲解（包括解题步骤和注意事项）；可根据题目所涉及的知识点和难度级别推荐相似题目，推荐题目数量可根据用户需求进行设置（如 3 道、5 道、10 道）。（投标时须提供国家认可的第三方检测机构出具的关于该功能检测报告复印件）</w:t>
            </w:r>
            <w:r>
              <w:br w:type="textWrapping"/>
            </w:r>
            <w:r>
              <w:t>（二）备课模式设计</w:t>
            </w:r>
            <w:r>
              <w:br w:type="textWrapping"/>
            </w:r>
            <w:r>
              <w:t>1、教学软件具备图形自由创作工具，教师可自由绘制复杂的任意多边图形及曲边图形；教师自主创作的图形可存储至个人云空间便于后续使用。</w:t>
            </w:r>
            <w:r>
              <w:br w:type="textWrapping"/>
            </w:r>
            <w:r>
              <w:t>2、教学软件内置图片处理功能，无需借助专业图片处理软件即可对课件内的图片进行快速抠图，图片主体处理后边缘无明显毛边，且处理后的图片可直接上传至教师云空间供后续复用。</w:t>
            </w:r>
            <w:r>
              <w:br w:type="textWrapping"/>
            </w:r>
            <w:r>
              <w:t>3、教学软件兼容传统课件制作工具的组合快捷按键，支持如加粗（Ctrl+B）、文字居中（Ctrl+E）等教师熟悉的组合按键，鼠标悬停至功能按键时自动提示组合快捷键，内置组合快捷键数量不少于 50 个。</w:t>
            </w:r>
            <w:r>
              <w:br w:type="textWrapping"/>
            </w:r>
            <w:r>
              <w:t>4、支持对任意课件元素自定义路径动画，可自由绘制动画移动轨迹使课件元素沿轨迹路径进行移动。</w:t>
            </w:r>
            <w:r>
              <w:br w:type="textWrapping"/>
            </w:r>
            <w:r>
              <w:t>5、支持对音频、视频文件进行关键帧标记，可在音、视频进度条任意位置自由设置关键帧播放节点，便于快速定位讲解关键教学内容。</w:t>
            </w:r>
            <w:r>
              <w:br w:type="textWrapping"/>
            </w:r>
            <w:r>
              <w:t>6、全文快速搜索：支持在课件中通过快捷键（Ctrl+F）调用搜索控件，输入文本即可查找课件内文本框、形状、表格中对应的文本匹配项。</w:t>
            </w:r>
            <w:r>
              <w:br w:type="textWrapping"/>
            </w:r>
            <w:r>
              <w:t>7、整机白板软件支持智能图表绘制，可将手绘表格转化为智能表格，形成表格对象后表格中书写区域可根据书写内容自适应调整大小，支持将表格外书写内容一键拖动到表格中。</w:t>
            </w:r>
            <w:r>
              <w:br w:type="textWrapping"/>
            </w:r>
            <w:r>
              <w:t>8、交互式白板软件支持手写笔迹的智能编辑，支持通过手绘置换符快速置换前后文字语序，支持手动涂抹笔迹对象进行快速删除，支持圈选笔迹对象进行手写笔迹缩放，支持文字间手绘竖线进行文字间距的快速调整。</w:t>
            </w:r>
            <w:r>
              <w:br w:type="textWrapping"/>
            </w:r>
            <w:r>
              <w:t>（三）授课模式设计</w:t>
            </w:r>
            <w:r>
              <w:br w:type="textWrapping"/>
            </w:r>
            <w:r>
              <w:t>1、课堂互动游戏支持云储存，编辑完成的活动可一键存储至教师云空间，便于在不同课件中直接调用，无需反复编辑。</w:t>
            </w:r>
            <w:r>
              <w:br w:type="textWrapping"/>
            </w:r>
            <w:r>
              <w:t>2、判断题竞赛游戏：支持创建判断题竞赛游戏，教师可设置正确项／干扰项，让两组学生进行判断对错游戏竞争。提供简单、中等、困难难度及多种预设游戏背景模版，模版样式支持自定义修改。支持记录和展示学生作答结果，便于课堂知识点对比讲解。</w:t>
            </w:r>
            <w:r>
              <w:br w:type="textWrapping"/>
            </w:r>
            <w:r>
              <w:t>3、互动分类游戏：支持创建互动分类游戏，可自定义不同类别及相对应对象，将不同对象拖拽到对应类别容器中系统自动辨识分类，分类正误均有相应提示；竞争模式下可记录不同操作者的动作和用时并自动排名。类别和对象的样式、数量均支持自定义修改。系统需提供不少于 9 种游戏模板，直接选择并输入相应内容即可轻松生成互动分类游戏，提升课堂趣味性。</w:t>
            </w:r>
            <w:r>
              <w:br w:type="textWrapping"/>
            </w:r>
            <w:r>
              <w:t>4、智能选词填空：支持创建智能选词填空游戏，填空选项支持并列选项，并列选项支持答案互换，教师可随意编辑填空题题干以及相应的答案选项，将选项拖到对应题干空白处，系统自动判断答案正误，系统需提供不少于 10 种游戏模板，且模板样式支持自定义修改。</w:t>
            </w:r>
            <w:r>
              <w:br w:type="textWrapping"/>
            </w:r>
            <w:r>
              <w:t>5、智能配对游戏：支持创建配对游戏，教师可随意将知识点进行配对。当开始配对游戏时，拖动知识点进行配对，系统将自动判断是否正确。系统至少提供 10 种游戏模版，且模版样式支持自定义修改，同时支持设置干扰项。</w:t>
            </w:r>
            <w:r>
              <w:br w:type="textWrapping"/>
            </w:r>
            <w:r>
              <w:t>6、分组竞争游戏：支持创建分组竞争游戏，教师可设置正确项／干扰项，让两组学生开展竞争游戏。提供不少于 3 种难度、10 种游戏模版供选择，且模版样式支持自定义修改。支持记录和展示学生作答结果，便于课堂知识点对比讲解。</w:t>
            </w:r>
            <w:r>
              <w:br w:type="textWrapping"/>
            </w:r>
            <w:r>
              <w:t>7、整机侧边栏内置智能语音转文字工具，将整机内置麦克风拾取的语音进行文字转译，以悬浮字幕形式将转译文字显示在屏幕上；支持实时拾取整机系统播放的音视频源内容并进行文字转译，以悬浮字幕形式显示。（投标时须提供国家认可的第三方检测机构出具的关于该功能检测报告复印件）</w:t>
            </w:r>
            <w:r>
              <w:br w:type="textWrapping"/>
            </w:r>
            <w:r>
              <w:t>8、整机自带 AI 书写美化能力，智能识别批注的书写轨迹，进行笔锋智能美化，模拟纸上书写的起笔、行笔和收笔效果。（投标时须提供国家认可的第三方检测机构出具的关于该功能检测报告复印件）</w:t>
            </w:r>
            <w:r>
              <w:br w:type="textWrapping"/>
            </w:r>
            <w:r>
              <w:t>（四）学科工具设计</w:t>
            </w:r>
            <w:r>
              <w:br w:type="textWrapping"/>
            </w:r>
            <w:r>
              <w:t>1、英语学科：</w:t>
            </w:r>
            <w:r>
              <w:br w:type="textWrapping"/>
            </w:r>
            <w:r>
              <w:t>（1）AI 智能纠错：软件内置的 AI 智能语义分析模块，可对输入的英文文本的拼写、句型、语法进行错误检查，并支持一键纠错。</w:t>
            </w:r>
            <w:r>
              <w:br w:type="textWrapping"/>
            </w:r>
            <w:r>
              <w:t>（2）英汉字典：支持输入英文单词生成单词卡和详解页，包含单词的释义、读音、例句、词组、近义词等，可插入多个单词卡，同时支持教师自定义编辑单词释义、创建未收录的生僻单词供授课使用。可将插入的单词卡一键切换至详解页进入单词详解模式，支持教师自定义编辑单词释义、例句、词组和近义词，且提供不少于 6 种详解页背景模板供选择。</w:t>
            </w:r>
            <w:r>
              <w:br w:type="textWrapping"/>
            </w:r>
            <w:r>
              <w:t>（3）四线三格：配置英语学科四线三格，可直接键入人教版英语辅助教材配套的手写字体。</w:t>
            </w:r>
            <w:r>
              <w:br w:type="textWrapping"/>
            </w:r>
            <w:r>
              <w:t>（4）听写：配置英语学科听写工具，覆盖小初高不少于 8000 个英语单词，支持自定义选择单词。自定义听写频率和次数，一键生成听写卡；授课模式支持一键开启听写朗读。</w:t>
            </w:r>
            <w:r>
              <w:br w:type="textWrapping"/>
            </w:r>
            <w:r>
              <w:t>2、语文学科：</w:t>
            </w:r>
            <w:r>
              <w:br w:type="textWrapping"/>
            </w:r>
            <w:r>
              <w:t>（1）汉字生字卡：支持在田字格上手写输入汉字并自动识别为印刷体，可展示该汉字的部首、读音、笔画顺序、笔画数量等。</w:t>
            </w:r>
            <w:r>
              <w:br w:type="textWrapping"/>
            </w:r>
            <w:r>
              <w:t>（2）提供覆盖小学、初中、高中的古诗词、古文教学资源：包含原文、翻译、背景介绍、作者介绍、朗诵音频。内嵌诗词百科链接，一键跳转展示诗词及作者详细背景介绍；全部古诗词资源按照年级学段、朝代、诗人进行精细分类，教师仅需点击分类关键词即可快速跳转至对应诗词资源，无需输入诗词名称即可快速检索，支持教师直接搜索诗词、古文名称或作者名称进行查找；并自动保存至云端供教学复用。备课时可对原文进行注释、标重点等操作；提供原文朗读音频，全部诗词、古文均配备专业朗读配音，朗读音频支持关键帧打点标记。</w:t>
            </w:r>
            <w:r>
              <w:br w:type="textWrapping"/>
            </w:r>
            <w:r>
              <w:t>（3）拼音工具：支持在拼音格中输入拼音字母，可展示该字母的标准四声读音以及笔画。</w:t>
            </w:r>
            <w:r>
              <w:br w:type="textWrapping"/>
            </w:r>
            <w:r>
              <w:t>3、数学学科：</w:t>
            </w:r>
            <w:r>
              <w:br w:type="textWrapping"/>
            </w:r>
            <w:r>
              <w:t>（1）立体几何工具</w:t>
            </w:r>
            <w:r>
              <w:br w:type="textWrapping"/>
            </w:r>
            <w:r>
              <w:t>①可自由绘制长方体、立方体、圆柱体、圆锥等立体几何图形，支持几何图形按比例放大缩小和通过单独调整长宽高（半径 / 高）改变几何体大小。</w:t>
            </w:r>
            <w:r>
              <w:br w:type="textWrapping"/>
            </w:r>
            <w:r>
              <w:t>②支持为长方体、圆柱体、圆锥等几何体的各面、棱分别填涂颜色，并且可通过 360° 旋转观察涂色面与未涂色面；几何体支持平面展开，预置长方体、立方体 “141、132、222、33” 型展开方式，展开后可对涂色面进行查看，有助于学生的空间想象。</w:t>
            </w:r>
            <w:r>
              <w:br w:type="textWrapping"/>
            </w:r>
            <w:r>
              <w:t>③具备几何体智能吸附功能：同类几何体相互靠近时，可智能识别吸附。</w:t>
            </w:r>
            <w:r>
              <w:br w:type="textWrapping"/>
            </w:r>
            <w:r>
              <w:t>（2）数学画板工具</w:t>
            </w:r>
            <w:r>
              <w:br w:type="textWrapping"/>
            </w:r>
            <w:r>
              <w:t>①支持课件中插入在线数学画板，授课时一键打开使用。</w:t>
            </w:r>
            <w:r>
              <w:br w:type="textWrapping"/>
            </w:r>
            <w:r>
              <w:t>②提供不少于 500 个数学画板资源，按照小学、初中、高中学段数学学科主要知识点分类，便于教师查找使用。</w:t>
            </w:r>
            <w:r>
              <w:br w:type="textWrapping"/>
            </w:r>
            <w:r>
              <w:t>③内置画板课件展示生动直观，可动态展示平面几何的变化：如小学几何四边形，可动态演示四边形的不同形态间的变化；中学函数的平方差公式讲解，可将平方差公式通过图形具象展示其计算原理。</w:t>
            </w:r>
            <w:r>
              <w:br w:type="textWrapping"/>
            </w:r>
            <w:r>
              <w:t>★（3）公式：支持中英文、数学公式的编辑输入，可快速输入方程组、脱式运算，提供总数不少于 30 个数学符号及模板；预置不少于 20 个常用数学公式，无需编辑一键插入，输入内容可用不同颜色标记及重复编辑。</w:t>
            </w:r>
            <w:r>
              <w:br w:type="textWrapping"/>
            </w:r>
            <w:r>
              <w:t>（4）平面几何工具：可自由绘制线条、线段及射线；可自由绘制任意边数及角度的图形，自动显示内角角度，支持编辑内角角度对图形进行精细调整；可自由绘制扇形及圆形，并显示圆心角、圆周角角度；可自由标注几何图形的顶点字母，支持大小写字母输入，便于授课讲解。提供具有智能吸附的辅助线工具，教师可快速自由绘制所需辅助线。</w:t>
            </w:r>
            <w:r>
              <w:br w:type="textWrapping"/>
            </w:r>
            <w:r>
              <w:t>（5）尺规工具：提供直尺、三角板、量角器及圆规工具，尺工具支持旋转、伸缩，可实时显示绘制线条长度；圆规工具可更换笔触颜色，模拟真实圆规作图。</w:t>
            </w:r>
            <w:r>
              <w:br w:type="textWrapping"/>
            </w:r>
            <w:r>
              <w:t>4、美术学科：内置专用美术画板工具，提供铅笔、毛笔、油画笔等笔触，具备符合绘画调色教学需求的模拟调色盘，可选择不同颜色混合调色，便于学生理解调色合成过程。</w:t>
            </w:r>
            <w:r>
              <w:br w:type="textWrapping"/>
            </w:r>
            <w:r>
              <w:t>5、地理学科：</w:t>
            </w:r>
            <w:r>
              <w:br w:type="textWrapping"/>
            </w:r>
            <w:r>
              <w:t>（1）书写工具具备地图图示（如铁路、城墙、山峰、港口、机场等）笔迹，可直接进行图示标注</w:t>
            </w:r>
            <w:r>
              <w:br w:type="textWrapping"/>
            </w:r>
            <w:r>
              <w:t>（2）提供三维立体星球模型，内含太阳系全览模型、行星模型、卫星模型，支持 360° 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 / 立体转换，清晰展现地球表面的六大板块、降水分布、气温分布、表层洋流、陆地自然带、海平面等压线等内容，方便教学。</w:t>
            </w:r>
            <w:r>
              <w:br w:type="textWrapping"/>
            </w:r>
            <w:r>
              <w:t>6、其他工具:</w:t>
            </w:r>
            <w:r>
              <w:br w:type="textWrapping"/>
            </w:r>
            <w:r>
              <w:t>（1）板中板：支持授课过程中调用板中板辅助教学，可进行批注、加页及背景色切换；板中板支持插入图片、音视频素材进行独立讲解，不影响课件主画面。板中板支持小窗口化，窗口可以自由移动和调整大小，配合课件讲解内容。</w:t>
            </w:r>
            <w:r>
              <w:br w:type="textWrapping"/>
            </w:r>
            <w:r>
              <w:t>（2）书写：支持多人同时书写，可自由调整笔迹颜色及笔触粗细，书写颜色及粗细设置面板支持浮窗模式，可自由调整至白板界面任意位置，便于教师授课使用</w:t>
            </w:r>
            <w:r>
              <w:br w:type="textWrapping"/>
            </w:r>
            <w:r>
              <w:t>（3）图章笔：提供不少于 15 种图案样式。</w:t>
            </w:r>
            <w:r>
              <w:br w:type="textWrapping"/>
            </w:r>
            <w:r>
              <w:t>（4）放大镜：支持调用放大镜工具进行局部画面放大，可设置放大比例及聚光灯效果。</w:t>
            </w:r>
            <w:r>
              <w:br w:type="textWrapping"/>
            </w:r>
            <w:r>
              <w:t>（5）撤销重做：支持白板操作撤销和重做，防止误操作影响教学。</w:t>
            </w:r>
            <w:r>
              <w:br w:type="textWrapping"/>
            </w:r>
            <w:r>
              <w:t>（6）文件导入：授课时可将图片、音频、视频等多媒体文件导入授课界面，系统自动识别外接移动储存设备并优先显示其中的内容。</w:t>
            </w:r>
            <w:r>
              <w:br w:type="textWrapping"/>
            </w:r>
            <w:r>
              <w:t>（7）文件导出：支持授课时导出课件导出为图片，课件支持多种格式导出。</w:t>
            </w:r>
            <w:r>
              <w:br w:type="textWrapping"/>
            </w:r>
            <w:r>
              <w:t>（8）整机内置计算器应用，支持多项式复杂计算，对多项式进行积分、求导、多项式展开和多项式分解，支持对多项式进行绘制图像，展示绘制结果。（投标时须提供国家认可的第三方检测机构出具的关于该功能检测报告复印件）</w:t>
            </w:r>
            <w:r>
              <w:br w:type="textWrapping"/>
            </w:r>
            <w:r>
              <w:t>（9）支持通过悬浮球调起元素周期表，支持对不同元素进行颜色区分，可通过点击对不同元素进行分类展示，展示样式支持按原子数 / 原子结构 / 相对原子质量 / 电子构型配置元素方式进行调整。（投标时须提供国家认可的第三方检测机构出具的关于该功能检测报告复印件）</w:t>
            </w:r>
            <w:r>
              <w:br w:type="textWrapping"/>
            </w:r>
            <w:r>
              <w:t>（10）整机内置交互式白板软件支持汉字语音测评功能，通过整机拾音麦进行用户声音采集分析，判断用户发音是否标准。（投标时须提供国家认可的第三方检测机构出具的关于该功能检测报告复印件）</w:t>
            </w:r>
            <w:r>
              <w:br w:type="textWrapping"/>
            </w:r>
            <w:r>
              <w:t>（11）整机内置趣味画板功能，支持自由画、涂色和拼图模式；保存绘画作品时，支持调用整机麦克风进行录音，并将录音和画作合成为作品保存在画廊；在画廊查看作品时支持录音回放功能。（投标时须提供国家认可的第三方检测机构出具的关于该功能检测报告复印件）</w:t>
            </w:r>
            <w:r>
              <w:br w:type="textWrapping"/>
            </w:r>
            <w:r>
              <w:t>（12）整机内置学生日历功能，支持全屏查看日历、显示法定节日；用户可以添加日历事件，设定特定时间并关联本机安卓应用，事件到期后，可以通过事件提醒打开关联的应用，如欢迎词、白板应用。（投标时须提供国家认可的第三方检测机构出具的关于该功能检测报告复印件）</w:t>
            </w:r>
            <w:r>
              <w:br w:type="textWrapping"/>
            </w:r>
            <w:r>
              <w:t>（五）教学资源设计</w:t>
            </w:r>
            <w:r>
              <w:br w:type="textWrapping"/>
            </w:r>
            <w:r>
              <w:t>1、同步教学资源设计：提供互动式教学课件资源，包含学科教育各学段教材版本全部教学章节、专题教育多个主题教育、特殊教育三大分类的不少于 100000 份的交互式课件。课件支持直接预览并下载，预览时支持拖动课堂活动、形状、几何、文本等元素；下载时课件可同步至教师个人云课件存储空间；课件支持教师在线评分。</w:t>
            </w:r>
            <w:r>
              <w:br w:type="textWrapping"/>
            </w:r>
            <w:r>
              <w:t>2、多学科题库：提供涵盖小学、初中、高中的总知识点不少于 9000 个，试题数量不少于 30 万道试题，中学题库需包含语文、数学、英语、物理、化学、生物、政治、历史、地理等多个学科，包含选择、填空、判断、诗歌阅读、完形填空、阅读理解、辨析题、材料题、实验题、作图题等丰富题型。可批量选择试题以交互试题卡的形式插入课件。试题卡包含题干、答案和解析，并可一键展开收起答案和解析。</w:t>
            </w:r>
            <w:r>
              <w:br w:type="textWrapping"/>
            </w:r>
            <w:r>
              <w:t>3、课件库资源，涵盖 10w + 课件资源，支持整份课件页插入课件中；支持按照教学环节筛选对应课件页一键插入课件中，例如导入新课、作者简介等等按需所取，在查看部分课件的同时支持查看对应整份课件，了解作者整体教学思路，便于教师积木式补充课件缺失部分。</w:t>
            </w:r>
            <w:r>
              <w:br w:type="textWrapping"/>
            </w:r>
            <w:r>
              <w:t>（六）其他功能设计</w:t>
            </w:r>
            <w:r>
              <w:br w:type="textWrapping"/>
            </w:r>
            <w:r>
              <w:t>1、提供柱状图、扇形图、折线图等互动图表，每类图表预置不少于 5 种样式，支持图表文字、背景、透明度设置；柱状图、折线图可一键转置互换坐标轴类别；图表支持三维模式旋转展示，生动形象。</w:t>
            </w:r>
            <w:r>
              <w:br w:type="textWrapping"/>
            </w:r>
            <w:r>
              <w:t>2、教学软件可自由插入表格，预置不少于 4 种表格样式，支持边框、底纹设置，自由合并单元格；表格支持自由输入文本，且根据文本内容可一键自动调整行列宽高；表格通过表格首行首列交接处的按键可一键精准增加行列；具备遮罩功能，表格中任一单元格可添加遮罩掩盖单元格内容，授课模式点击即可取消遮罩，便于教师交互式教学</w:t>
            </w:r>
            <w:r>
              <w:br w:type="textWrapping"/>
            </w:r>
            <w:r>
              <w:t>3、支持对图形样式设置：图形颜色、阴影、倒影、透明度、边框等样式设置；支持图形旋转中心调整，便于教学使用。</w:t>
            </w:r>
            <w:r>
              <w:br w:type="textWrapping"/>
            </w:r>
            <w:r>
              <w:t>4、教学软件内置图片裁切功能，无需调用截图工具即可直接对课件内的图片进行裁切，裁切面积可自由调整。</w:t>
            </w:r>
            <w:r>
              <w:br w:type="textWrapping"/>
            </w:r>
            <w:r>
              <w:t>5、整机内置欢迎词应用，可自定义欢迎词或选择使用默认模板，欢迎词可展示、替换背景、添加文字、设置倒计时。</w:t>
            </w:r>
            <w:r>
              <w:br w:type="textWrapping"/>
            </w:r>
            <w:r>
              <w:t>6、支持智能书写功能，书写文字自动识别为标准印刷体，支持图形识别功能，可将多种手绘图形转化为矩形、三角形、圆形标准图形。（投标时须提供国家认可的第三方检测机构出具的关于该功能检测报告复印件）</w:t>
            </w:r>
            <w:r>
              <w:br w:type="textWrapping"/>
            </w:r>
            <w:r>
              <w:t>7、整机侧边栏内置朗读工具，通过整机麦克风监测教室中学生的朗读情况，并以游戏化界面反馈学生朗读音量大小。（投标时须提供国家认可的第三方检测机构出具的关于该功能检测报告复印件）</w:t>
            </w:r>
            <w:r>
              <w:br w:type="textWrapping"/>
            </w:r>
            <w:r>
              <w:t>8、整机侧边栏内置自习工具，通过整机麦克风监测教室中学生音量大小，当学生音量大于阈值时，屏幕自动弹窗提醒进行自习纪律干预。（投标时须提供国家认可的第三方检测机构出具的关于该功能检测报告复印件）</w:t>
            </w:r>
            <w:r>
              <w:br w:type="textWrapping"/>
            </w:r>
            <w:r>
              <w:t>七、教学教研管理平台</w:t>
            </w:r>
            <w:r>
              <w:br w:type="textWrapping"/>
            </w:r>
            <w:r>
              <w:t>1、为学校提供教研全流程管理服务，包含教学目标与计划、教学设计、集体备课、听课评课、班级氛围的流程管理和数据分析。管理者在教学检查中可以掌握以教研组、备课组为单位的教学资源和集体备数据，了解老师的教学备课工作。支持查看各年级和学科的教研组的教学资源覆盖情况和集体备课数据。支持以时间、教材进行数据筛选，推动老师的备课进度。支持查看备课组下成员的课程资源和集体备课数据概览，支持查看每位成员在不同教材章节下的课程资源上传 / 获取情况和集体备课的研讨情况。支持以时间、老师、教材章节进行数据筛选。支持导出备课组下全部成员的课程资源和集体备课数据。</w:t>
            </w:r>
            <w:r>
              <w:br w:type="textWrapping"/>
            </w:r>
            <w:r>
              <w:t>2、可查看集体备课的开展统计情况及老师参与集体备课的记录。支持以时间、学科进行筛选，支持输入集体备课名称 / 主备人名称，进行全局搜索。支持查看集体备课名称，主备人、所属学科、年级、参备老师数、稿数、浏览数、评论数、批注数、评论点赞数、集体备课状态和创建时间等数据。管理员可随时查看学校集体备课详情，查看集体备课的详细内容并给予指导评论，同时支持管理员删除集体备课活动和导出集体备课记录数据表格。支持查看以老师维度统计的集体备课记录，查看老师所属学段学科、发起次数、参备次数、评论数、批注数、最近集体备课时间等数据。支持管理员导出教师集体备课记录数据表格。</w:t>
            </w:r>
            <w:r>
              <w:br w:type="textWrapping"/>
            </w:r>
            <w:r>
              <w:t>3、可查看课程的评价统计情况及教师对课程的评价记录。支持以时间、评课表、学科进行筛选，支持输入课程名称 / 老师名称，进行全局搜索。支持查看以课程维度的评价记录，包括课件名称、授课老师、所属学科、本节课的评课人数、总评价平均分及授课时间，通过点击操作 “详情” 可查看具体评价情况，支持管理员删除评价记录和导出课程评价记录数据表格。点击课程详情可以查看评课报告，可以查看该课程的总分和各板块得分，支持导出为 PDF 文件。支持查看课程下所有老师的评课表，可以批量导出为 Word 文件。支持查看以教师维度统计的评课记录，查看教师的所属学科，评课节数，点击操作 “详情”，可查看该教师详细的评课记录，包括课程名称，授课老师和评课时间，进入详情可查看该教师对该课程的评价记录。支持导出教师评课记录数据表格。支持自定义设置学校专属评课表，系统预置中央电教馆 “一师一优课，一课一名师”、“教师通用评课表 - 评分制” 模板供使用。点评支持评分题、主观题等评价及拍照上传图片等功能。支持发布多张评课表，同时开展多学科、多个评课活动。评课表支持在线预览和设置权限，听课老师权限可以选择公开，无需登录 / 需要登录用户账号 / 绑定本校且需登录用户账号等选项。</w:t>
            </w:r>
            <w:r>
              <w:br w:type="textWrapping"/>
            </w:r>
            <w:r>
              <w:t>4、支持查看全校教案总数、教师课件总数、校本教案及校本课件总数。同时支持按本周、本月、自定义时间段查看教案、课件等制作数量的排行，查看全校教师的教案、课件、校本教案 / 课件 / 微课，进行教案、课件及校本教案 / 课件 / 微课检查，让管理者总览全校教案、课件、微课编写制作情况，支持一键导出资源统计数据表格。</w:t>
            </w:r>
            <w:r>
              <w:br w:type="textWrapping"/>
            </w:r>
            <w:r>
              <w:t>5、全校听评课数据统一汇总，数据包含全校本月评课节数，本月评课次数，累计评课节数和累计评课次数，了解听评课教研活动的开展情况。支持按评课人数 / 评课平均分查看全校排行详细数据。支持对不同评课维度得分进行统计，计算平均分并找出评分薄弱项，同时支持查看全校的课程评价记录和得分详情、教师评价记录，并可一键导出 Excel 表格。支持导出课程的评课报告为 PDF 文件，支持批量导出课程下所有老师的评课表为 Word 文件。</w:t>
            </w:r>
            <w:r>
              <w:br w:type="textWrapping"/>
            </w:r>
            <w:r>
              <w:t>6、支持管理员在教研数字化管理平台后台移动、删除、重命名教师上传至校本库的课件、教案、微课及多媒体等资源。校本资源库提供学科目录模板 / 教材目录模板，管理者可搭建校本资源目录框架，以文件夹的形式进行分组，进行各年级学科的资源管理。支持以文件夹的维度进行权限设置，设置某个文件夹仅有权限的部门或者老师可见，同时支持按文件夹的维度进行课件的批量移动、删除。支持树形结构目录，进行资源分类及查找，支持全局资源搜索，按年级、学科筛选资源，支持查找资源后定位到当前资源文件夹。支持查看资源文件夹的创建者，资源的上传作者，更新时间、校本容量等数据。校本资源支持在线预览。管理员可对校本资源进行分类移动，删除或重命名，资源目录在编辑的界面支持同级拖拽移动。</w:t>
            </w:r>
            <w:r>
              <w:br w:type="textWrapping"/>
            </w:r>
            <w:r>
              <w:t>八、产品售后保障服务</w:t>
            </w:r>
            <w:r>
              <w:br w:type="textWrapping"/>
            </w:r>
            <w:r>
              <w:t>1、全国 24 小时免费 400 电话保修、二维码扫描保修、区域化驻地技术工程师专线保修。</w:t>
            </w:r>
            <w:r>
              <w:br w:type="textWrapping"/>
            </w:r>
            <w:r>
              <w:t>2、微信售后报修服务：快速输入相关问题及所在区域进行在线保修，贴心服务人员实时在线提供客服专线报修，更好更快的解决售后故障问题带来的使用不便。</w:t>
            </w:r>
            <w:r>
              <w:br w:type="textWrapping"/>
            </w:r>
            <w:r>
              <w:t>3、微信问题查询服务：提供八大模块的问题查询及解决方案，现场完成简单故障的快速修复指导。</w:t>
            </w:r>
          </w:p>
          <w:p>
            <w:pPr>
              <w:keepNext w:val="0"/>
              <w:keepLines w:val="0"/>
              <w:pageBreakBefore w:val="0"/>
              <w:widowControl w:val="0"/>
              <w:numPr>
                <w:ilvl w:val="0"/>
                <w:numId w:val="3"/>
              </w:numPr>
              <w:kinsoku/>
              <w:wordWrap/>
              <w:overflowPunct/>
              <w:topLinePunct w:val="0"/>
              <w:autoSpaceDE/>
              <w:autoSpaceDN/>
              <w:bidi w:val="0"/>
              <w:adjustRightInd/>
              <w:snapToGrid/>
              <w:textAlignment w:val="auto"/>
            </w:pPr>
            <w:r>
              <w:rPr>
                <w:rFonts w:hint="eastAsia"/>
                <w:lang w:val="en-US" w:eastAsia="zh-CN"/>
              </w:rPr>
              <w:t>五年保修免费上门，可选2小时电话响应，第二日上门，365天全年无休。</w:t>
            </w:r>
            <w:r>
              <w:br w:type="textWrapping"/>
            </w:r>
            <w:r>
              <w:t>九、其他要求</w:t>
            </w:r>
            <w:r>
              <w:br w:type="textWrapping"/>
            </w:r>
            <w:r>
              <w:t>1、为确保货物质量及原厂品质，中标供应商在正式供货时必须提供生产厂家针对此项目的售后服务保证原件、供货证明原件，否则采购方将不予验收通过。</w:t>
            </w:r>
            <w:r>
              <w:br w:type="textWrapping"/>
            </w:r>
            <w:r>
              <w:t>2、打 “★” 号条款为重要技术参数，投标人必须满足否则中标无效。中标公示期内若有其他投标人质疑情况下，中标单位必须提供与标书技术要求及功能符合的全部样品一套至用户处进行整体性能与标书文件核对，协助质疑答复。</w:t>
            </w:r>
          </w:p>
          <w:p>
            <w:pPr>
              <w:pStyle w:val="2"/>
              <w:keepNext w:val="0"/>
              <w:keepLines w:val="0"/>
              <w:pageBreakBefore w:val="0"/>
              <w:widowControl w:val="0"/>
              <w:numPr>
                <w:numId w:val="0"/>
              </w:numPr>
              <w:kinsoku/>
              <w:wordWrap/>
              <w:overflowPunct/>
              <w:topLinePunct w:val="0"/>
              <w:autoSpaceDE/>
              <w:autoSpaceDN/>
              <w:bidi w:val="0"/>
              <w:adjustRightInd/>
              <w:snapToGrid/>
              <w:spacing w:before="0" w:after="0"/>
              <w:jc w:val="both"/>
              <w:textAlignment w:val="auto"/>
              <w:rPr>
                <w:rFonts w:hint="default" w:eastAsia="宋体"/>
                <w:lang w:val="en-US" w:eastAsia="zh-CN"/>
              </w:rPr>
            </w:pPr>
            <w:r>
              <w:rPr>
                <w:rFonts w:hint="eastAsia" w:ascii="Times New Roman" w:hAnsi="Times New Roman" w:cs="Times New Roman"/>
                <w:b w:val="0"/>
                <w:color w:val="FF0000"/>
                <w:kern w:val="2"/>
                <w:sz w:val="21"/>
                <w:szCs w:val="24"/>
                <w:lang w:val="en-US" w:eastAsia="zh-CN" w:bidi="ar-SA"/>
              </w:rPr>
              <w:t>3、</w:t>
            </w:r>
            <w:r>
              <w:rPr>
                <w:rFonts w:hint="eastAsia" w:ascii="Times New Roman" w:hAnsi="Times New Roman" w:eastAsia="宋体" w:cs="Times New Roman"/>
                <w:b w:val="0"/>
                <w:color w:val="FF0000"/>
                <w:kern w:val="2"/>
                <w:sz w:val="21"/>
                <w:szCs w:val="24"/>
                <w:lang w:val="en-US" w:eastAsia="zh-CN" w:bidi="ar-SA"/>
              </w:rPr>
              <w:t>配套正版操作</w:t>
            </w:r>
            <w:r>
              <w:rPr>
                <w:rFonts w:ascii="Times New Roman" w:hAnsi="Times New Roman" w:eastAsia="宋体" w:cs="Times New Roman"/>
                <w:b w:val="0"/>
                <w:color w:val="FF0000"/>
                <w:kern w:val="2"/>
                <w:sz w:val="21"/>
                <w:szCs w:val="24"/>
                <w:lang w:val="en-US" w:eastAsia="zh-CN" w:bidi="ar-SA"/>
              </w:rPr>
              <w:t>系统、杀毒软件、</w:t>
            </w:r>
            <w:r>
              <w:rPr>
                <w:rFonts w:hint="eastAsia" w:ascii="Times New Roman" w:hAnsi="Times New Roman" w:eastAsia="宋体" w:cs="Times New Roman"/>
                <w:b w:val="0"/>
                <w:color w:val="FF0000"/>
                <w:kern w:val="2"/>
                <w:sz w:val="21"/>
                <w:szCs w:val="24"/>
                <w:lang w:val="en-US" w:eastAsia="zh-CN" w:bidi="ar-SA"/>
              </w:rPr>
              <w:t>办公软件授权。</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21520</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258240</w:t>
            </w:r>
          </w:p>
        </w:tc>
      </w:tr>
      <w:tr>
        <w:tblPrEx>
          <w:tblCellMar>
            <w:top w:w="0" w:type="dxa"/>
            <w:left w:w="0" w:type="dxa"/>
            <w:bottom w:w="0" w:type="dxa"/>
            <w:right w:w="0" w:type="dxa"/>
          </w:tblCellMar>
        </w:tblPrEx>
        <w:trPr>
          <w:trHeight w:val="570" w:hRule="atLeast"/>
          <w:jc w:val="center"/>
        </w:trPr>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壁挂式视频展台</w:t>
            </w:r>
          </w:p>
          <w:p>
            <w:pPr>
              <w:pStyle w:val="5"/>
              <w:rPr>
                <w:rFonts w:asciiTheme="minorEastAsia" w:hAnsiTheme="minorEastAsia" w:eastAsiaTheme="minorEastAsia"/>
                <w:szCs w:val="21"/>
              </w:rPr>
            </w:pPr>
            <w:r>
              <w:rPr>
                <w:rFonts w:hint="eastAsia" w:asciiTheme="minorEastAsia" w:hAnsiTheme="minorEastAsia" w:eastAsiaTheme="minorEastAsia"/>
                <w:szCs w:val="21"/>
              </w:rPr>
              <w:t>希沃</w:t>
            </w:r>
          </w:p>
          <w:p>
            <w:pPr>
              <w:pStyle w:val="5"/>
              <w:rPr>
                <w:rFonts w:asciiTheme="minorEastAsia" w:hAnsiTheme="minorEastAsia" w:eastAsiaTheme="minorEastAsia"/>
                <w:szCs w:val="21"/>
              </w:rPr>
            </w:pPr>
            <w:r>
              <w:rPr>
                <w:rFonts w:hint="eastAsia" w:asciiTheme="minorEastAsia" w:hAnsiTheme="minorEastAsia" w:eastAsiaTheme="minorEastAsia"/>
                <w:szCs w:val="21"/>
              </w:rPr>
              <w:t>S</w:t>
            </w:r>
            <w:r>
              <w:rPr>
                <w:rFonts w:asciiTheme="minorEastAsia" w:hAnsiTheme="minorEastAsia" w:eastAsiaTheme="minorEastAsia"/>
                <w:szCs w:val="21"/>
              </w:rPr>
              <w:t>C06</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台</w:t>
            </w:r>
          </w:p>
        </w:tc>
        <w:tc>
          <w:tcPr>
            <w:tcW w:w="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12</w:t>
            </w:r>
          </w:p>
        </w:tc>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heme="minorEastAsia" w:hAnsiTheme="minorEastAsia" w:eastAsiaTheme="minorEastAsia"/>
                <w:szCs w:val="21"/>
              </w:rPr>
            </w:pPr>
            <w:r>
              <w:rPr>
                <w:rFonts w:asciiTheme="minorEastAsia" w:hAnsiTheme="minorEastAsia" w:eastAsiaTheme="minorEastAsia"/>
                <w:szCs w:val="21"/>
              </w:rPr>
              <w:t>1、采用≥800万像素摄像头；采用 USB五伏电源直接供电，无需额外配置电源适配器，环保无辐射；箱内USB连线采用隐藏式设计，箱内无可见连线且USB口下出，有效防止积尘，且方便布线和返修。</w:t>
            </w:r>
            <w:r>
              <w:rPr>
                <w:rFonts w:asciiTheme="minorEastAsia" w:hAnsiTheme="minorEastAsia" w:eastAsiaTheme="minorEastAsia"/>
                <w:szCs w:val="21"/>
              </w:rPr>
              <w:br w:type="textWrapping"/>
            </w:r>
            <w:r>
              <w:rPr>
                <w:rFonts w:asciiTheme="minorEastAsia" w:hAnsiTheme="minorEastAsia" w:eastAsiaTheme="minorEastAsia"/>
                <w:szCs w:val="21"/>
              </w:rPr>
              <w:t>2、A4大小拍摄幅面，1080P动态视频预览达到30帧/秒；托板及挂墙部分采用金属加强，托板可承重3kg，整机壁挂式安装。</w:t>
            </w:r>
            <w:r>
              <w:rPr>
                <w:rFonts w:asciiTheme="minorEastAsia" w:hAnsiTheme="minorEastAsia" w:eastAsiaTheme="minorEastAsia"/>
                <w:szCs w:val="21"/>
              </w:rPr>
              <w:br w:type="textWrapping"/>
            </w:r>
            <w:r>
              <w:rPr>
                <w:rFonts w:asciiTheme="minorEastAsia" w:hAnsiTheme="minorEastAsia" w:eastAsiaTheme="minorEastAsia"/>
                <w:szCs w:val="21"/>
              </w:rPr>
              <w:t>3、支持展台成像画面实时批注，预设多种笔划粗细及颜色供选择，且支持对展台成像画面联同批注内容进行同步缩放、移动。</w:t>
            </w:r>
            <w:r>
              <w:rPr>
                <w:rFonts w:asciiTheme="minorEastAsia" w:hAnsiTheme="minorEastAsia" w:eastAsiaTheme="minorEastAsia"/>
                <w:szCs w:val="21"/>
              </w:rPr>
              <w:br w:type="textWrapping"/>
            </w:r>
            <w:r>
              <w:rPr>
                <w:rFonts w:asciiTheme="minorEastAsia" w:hAnsiTheme="minorEastAsia" w:eastAsiaTheme="minorEastAsia"/>
                <w:szCs w:val="21"/>
              </w:rPr>
              <w:t>4、展示托板正上方具备LED补光灯，保证展示区域的亮度及展示效果，补光灯开关采用触摸按键设计，同时可通过交互智能平板中的软件直接控制开关；带自动对焦摄像头。</w:t>
            </w:r>
            <w:r>
              <w:rPr>
                <w:rFonts w:asciiTheme="minorEastAsia" w:hAnsiTheme="minorEastAsia" w:eastAsiaTheme="minorEastAsia"/>
                <w:szCs w:val="21"/>
              </w:rPr>
              <w:br w:type="textWrapping"/>
            </w:r>
            <w:r>
              <w:rPr>
                <w:rFonts w:asciiTheme="minorEastAsia" w:hAnsiTheme="minorEastAsia" w:eastAsiaTheme="minorEastAsia"/>
                <w:szCs w:val="21"/>
              </w:rPr>
              <w:t>5、具有故障自动检测功能：在调用展台却无法出现镜头采集画面信号时，可自动出现检测链接，并给出导致性原因（如硬件连接、摄像头占用、配套软件版本等问题）。</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800</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9600</w:t>
            </w:r>
          </w:p>
        </w:tc>
      </w:tr>
      <w:tr>
        <w:tblPrEx>
          <w:tblCellMar>
            <w:top w:w="0" w:type="dxa"/>
            <w:left w:w="0" w:type="dxa"/>
            <w:bottom w:w="0" w:type="dxa"/>
            <w:right w:w="0" w:type="dxa"/>
          </w:tblCellMar>
        </w:tblPrEx>
        <w:trPr>
          <w:trHeight w:val="570" w:hRule="atLeast"/>
          <w:jc w:val="center"/>
        </w:trPr>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3</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智能笔</w:t>
            </w:r>
          </w:p>
          <w:p>
            <w:pPr>
              <w:pStyle w:val="5"/>
              <w:rPr>
                <w:rFonts w:asciiTheme="minorEastAsia" w:hAnsiTheme="minorEastAsia" w:eastAsiaTheme="minorEastAsia"/>
                <w:szCs w:val="21"/>
              </w:rPr>
            </w:pPr>
            <w:r>
              <w:rPr>
                <w:rFonts w:hint="eastAsia" w:asciiTheme="minorEastAsia" w:hAnsiTheme="minorEastAsia" w:eastAsiaTheme="minorEastAsia"/>
                <w:szCs w:val="21"/>
              </w:rPr>
              <w:t>希沃</w:t>
            </w:r>
          </w:p>
          <w:p>
            <w:pPr>
              <w:pStyle w:val="5"/>
              <w:rPr>
                <w:rFonts w:asciiTheme="minorEastAsia" w:hAnsiTheme="minorEastAsia" w:eastAsiaTheme="minorEastAsia"/>
                <w:szCs w:val="21"/>
              </w:rPr>
            </w:pPr>
            <w:r>
              <w:rPr>
                <w:rFonts w:hint="eastAsia" w:asciiTheme="minorEastAsia" w:hAnsiTheme="minorEastAsia" w:eastAsiaTheme="minorEastAsia"/>
                <w:szCs w:val="21"/>
              </w:rPr>
              <w:t>S</w:t>
            </w:r>
            <w:r>
              <w:rPr>
                <w:rFonts w:asciiTheme="minorEastAsia" w:hAnsiTheme="minorEastAsia" w:eastAsiaTheme="minorEastAsia"/>
                <w:szCs w:val="21"/>
              </w:rPr>
              <w:t>P</w:t>
            </w:r>
            <w:r>
              <w:rPr>
                <w:rFonts w:hint="eastAsia" w:asciiTheme="minorEastAsia" w:hAnsiTheme="minorEastAsia" w:eastAsiaTheme="minorEastAsia"/>
                <w:szCs w:val="21"/>
              </w:rPr>
              <w:t>39</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套</w:t>
            </w:r>
          </w:p>
        </w:tc>
        <w:tc>
          <w:tcPr>
            <w:tcW w:w="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12</w:t>
            </w:r>
          </w:p>
        </w:tc>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heme="minorEastAsia" w:hAnsiTheme="minorEastAsia" w:eastAsiaTheme="minorEastAsia"/>
                <w:szCs w:val="21"/>
              </w:rPr>
            </w:pPr>
            <w:r>
              <w:rPr>
                <w:rFonts w:asciiTheme="minorEastAsia" w:hAnsiTheme="minorEastAsia" w:eastAsiaTheme="minorEastAsia"/>
                <w:szCs w:val="21"/>
              </w:rPr>
              <w:t>1. 外观：笔身造型采用圆润一体化笔型设计，表面采用手感漆工艺便于握持；笔身长度≤17cm,笔身直径≤13mm，笔身重量≤18g；</w:t>
            </w:r>
            <w:r>
              <w:rPr>
                <w:rFonts w:asciiTheme="minorEastAsia" w:hAnsiTheme="minorEastAsia" w:eastAsiaTheme="minorEastAsia"/>
                <w:szCs w:val="21"/>
              </w:rPr>
              <w:br w:type="textWrapping"/>
            </w:r>
            <w:r>
              <w:rPr>
                <w:rFonts w:asciiTheme="minorEastAsia" w:hAnsiTheme="minorEastAsia" w:eastAsiaTheme="minorEastAsia"/>
                <w:szCs w:val="21"/>
              </w:rPr>
              <w:t>2. 笔身配置不少于五个按键，具备上下翻页，智能语音，远程聚光灯/放大，书写颜色切换，兼顾触摸书写以及远程操控的握持姿态；</w:t>
            </w:r>
            <w:r>
              <w:rPr>
                <w:rFonts w:asciiTheme="minorEastAsia" w:hAnsiTheme="minorEastAsia" w:eastAsiaTheme="minorEastAsia"/>
                <w:szCs w:val="21"/>
              </w:rPr>
              <w:br w:type="textWrapping"/>
            </w:r>
            <w:r>
              <w:rPr>
                <w:rFonts w:asciiTheme="minorEastAsia" w:hAnsiTheme="minorEastAsia" w:eastAsiaTheme="minorEastAsia"/>
                <w:szCs w:val="21"/>
              </w:rPr>
              <w:t>3. 笔头：采用锥型笔尖设计，直径≤3mm；同时支持电容，红外触控设备书写，书写最小精度2mm；</w:t>
            </w:r>
            <w:r>
              <w:rPr>
                <w:rFonts w:asciiTheme="minorEastAsia" w:hAnsiTheme="minorEastAsia" w:eastAsiaTheme="minorEastAsia"/>
                <w:szCs w:val="21"/>
              </w:rPr>
              <w:br w:type="textWrapping"/>
            </w:r>
            <w:r>
              <w:rPr>
                <w:rFonts w:asciiTheme="minorEastAsia" w:hAnsiTheme="minorEastAsia" w:eastAsiaTheme="minorEastAsia"/>
                <w:szCs w:val="21"/>
              </w:rPr>
              <w:t>4. 笔头：连续书写距离不小于7km；</w:t>
            </w:r>
            <w:r>
              <w:rPr>
                <w:rFonts w:asciiTheme="minorEastAsia" w:hAnsiTheme="minorEastAsia" w:eastAsiaTheme="minorEastAsia"/>
                <w:szCs w:val="21"/>
              </w:rPr>
              <w:br w:type="textWrapping"/>
            </w:r>
            <w:r>
              <w:rPr>
                <w:rFonts w:asciiTheme="minorEastAsia" w:hAnsiTheme="minorEastAsia" w:eastAsiaTheme="minorEastAsia"/>
                <w:szCs w:val="21"/>
              </w:rPr>
              <w:t>5. 翻页按键：短按上下翻页按键，可实现白板软件/ppt/pdf等文档上下翻页；长按上下翻页按键3s，可实现ppt播放/退出；</w:t>
            </w:r>
            <w:r>
              <w:rPr>
                <w:rFonts w:asciiTheme="minorEastAsia" w:hAnsiTheme="minorEastAsia" w:eastAsiaTheme="minorEastAsia"/>
                <w:szCs w:val="21"/>
              </w:rPr>
              <w:br w:type="textWrapping"/>
            </w:r>
            <w:r>
              <w:rPr>
                <w:rFonts w:asciiTheme="minorEastAsia" w:hAnsiTheme="minorEastAsia" w:eastAsiaTheme="minorEastAsia"/>
                <w:szCs w:val="21"/>
              </w:rPr>
              <w:t>6. 多功能按键：a.短按多功能按键，可实现播放/暂停音视频或flash；b.双击此按键，可实现空鼠/放大镜/聚光灯等功能切换，切换顺序空鼠&gt;放大镜&gt;聚光灯；c.长按此按键即可实现对应功能(空鼠/放大镜/聚光灯)；</w:t>
            </w:r>
            <w:r>
              <w:rPr>
                <w:rFonts w:asciiTheme="minorEastAsia" w:hAnsiTheme="minorEastAsia" w:eastAsiaTheme="minorEastAsia"/>
                <w:szCs w:val="21"/>
              </w:rPr>
              <w:br w:type="textWrapping"/>
            </w:r>
            <w:r>
              <w:rPr>
                <w:rFonts w:asciiTheme="minorEastAsia" w:hAnsiTheme="minorEastAsia" w:eastAsiaTheme="minorEastAsia"/>
                <w:szCs w:val="21"/>
              </w:rPr>
              <w:t>7. 语音：内置麦克风，支持按键唤醒语音识别功能，避免杂音造成误唤醒；</w:t>
            </w:r>
            <w:r>
              <w:rPr>
                <w:rFonts w:asciiTheme="minorEastAsia" w:hAnsiTheme="minorEastAsia" w:eastAsiaTheme="minorEastAsia"/>
                <w:szCs w:val="21"/>
              </w:rPr>
              <w:br w:type="textWrapping"/>
            </w:r>
            <w:r>
              <w:rPr>
                <w:rFonts w:asciiTheme="minorEastAsia" w:hAnsiTheme="minorEastAsia" w:eastAsiaTheme="minorEastAsia"/>
                <w:szCs w:val="21"/>
              </w:rPr>
              <w:t>8. 语音：支持唤醒语音识别时，可直接通过语音打开已安装的应用，可直接通过语音调用网络搜索引擎搜索查询相应资料，可进行语音转写输入，支持语音控制屏幕黑屏、亮屏，音量大小调整，返回桌面，截屏，关机等操作</w:t>
            </w:r>
            <w:r>
              <w:rPr>
                <w:rFonts w:asciiTheme="minorEastAsia" w:hAnsiTheme="minorEastAsia" w:eastAsiaTheme="minorEastAsia"/>
                <w:szCs w:val="21"/>
              </w:rPr>
              <w:br w:type="textWrapping"/>
            </w:r>
            <w:r>
              <w:rPr>
                <w:rFonts w:asciiTheme="minorEastAsia" w:hAnsiTheme="minorEastAsia" w:eastAsiaTheme="minorEastAsia"/>
                <w:szCs w:val="21"/>
              </w:rPr>
              <w:t>9. 语音：支持白板软件内，通过语音控制：切换书写、擦除、选择模式，最小化返回桌面，打开板中板，清空书写批注等操作；</w:t>
            </w:r>
            <w:r>
              <w:rPr>
                <w:rFonts w:asciiTheme="minorEastAsia" w:hAnsiTheme="minorEastAsia" w:eastAsiaTheme="minorEastAsia"/>
                <w:szCs w:val="21"/>
              </w:rPr>
              <w:br w:type="textWrapping"/>
            </w:r>
            <w:r>
              <w:rPr>
                <w:rFonts w:asciiTheme="minorEastAsia" w:hAnsiTheme="minorEastAsia" w:eastAsiaTheme="minorEastAsia"/>
                <w:szCs w:val="21"/>
              </w:rPr>
              <w:t>10. 批注：支持按键调起批注功能，可通过按键实现批注颜色切换，长按按键可实现橡皮擦功能</w:t>
            </w:r>
            <w:r>
              <w:rPr>
                <w:rFonts w:asciiTheme="minorEastAsia" w:hAnsiTheme="minorEastAsia" w:eastAsiaTheme="minorEastAsia"/>
                <w:szCs w:val="21"/>
              </w:rPr>
              <w:br w:type="textWrapping"/>
            </w:r>
            <w:r>
              <w:rPr>
                <w:rFonts w:asciiTheme="minorEastAsia" w:hAnsiTheme="minorEastAsia" w:eastAsiaTheme="minorEastAsia"/>
                <w:szCs w:val="21"/>
              </w:rPr>
              <w:t>11. 无线：为保障用户在不同场景使用智能笔，支持无线dongle及蓝牙两种连接方式，支持蓝牙5.1协议；</w:t>
            </w:r>
            <w:r>
              <w:rPr>
                <w:rFonts w:asciiTheme="minorEastAsia" w:hAnsiTheme="minorEastAsia" w:eastAsiaTheme="minorEastAsia"/>
                <w:szCs w:val="21"/>
              </w:rPr>
              <w:br w:type="textWrapping"/>
            </w:r>
            <w:r>
              <w:rPr>
                <w:rFonts w:asciiTheme="minorEastAsia" w:hAnsiTheme="minorEastAsia" w:eastAsiaTheme="minorEastAsia"/>
                <w:szCs w:val="21"/>
              </w:rPr>
              <w:t>12. 无线：无线dongle&amp;蓝牙连接距离≥12m，上下翻页/语音控制/远程批注实现距离≥12m，覆盖标准教室；</w:t>
            </w:r>
            <w:r>
              <w:rPr>
                <w:rFonts w:asciiTheme="minorEastAsia" w:hAnsiTheme="minorEastAsia" w:eastAsiaTheme="minorEastAsia"/>
                <w:szCs w:val="21"/>
              </w:rPr>
              <w:br w:type="textWrapping"/>
            </w:r>
            <w:r>
              <w:rPr>
                <w:rFonts w:asciiTheme="minorEastAsia" w:hAnsiTheme="minorEastAsia" w:eastAsiaTheme="minorEastAsia"/>
                <w:szCs w:val="21"/>
              </w:rPr>
              <w:t>13. 充电：内置锂电池，支持type-c充电，待机时间≥60h,连续书写时间≥8h，从无电到满电的充电时长≤1小时；</w:t>
            </w:r>
            <w:r>
              <w:rPr>
                <w:rFonts w:asciiTheme="minorEastAsia" w:hAnsiTheme="minorEastAsia" w:eastAsiaTheme="minorEastAsia"/>
                <w:szCs w:val="21"/>
              </w:rPr>
              <w:br w:type="textWrapping"/>
            </w:r>
            <w:r>
              <w:rPr>
                <w:rFonts w:asciiTheme="minorEastAsia" w:hAnsiTheme="minorEastAsia" w:eastAsiaTheme="minorEastAsia"/>
                <w:szCs w:val="21"/>
              </w:rPr>
              <w:t>14. 自动休眠：支持智能休眠节电，当设备&gt;5min无人操作时，设备自动进入休眠节电模式；</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300</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3600</w:t>
            </w:r>
          </w:p>
        </w:tc>
      </w:tr>
      <w:tr>
        <w:tblPrEx>
          <w:tblCellMar>
            <w:top w:w="0" w:type="dxa"/>
            <w:left w:w="0" w:type="dxa"/>
            <w:bottom w:w="0" w:type="dxa"/>
            <w:right w:w="0" w:type="dxa"/>
          </w:tblCellMar>
        </w:tblPrEx>
        <w:trPr>
          <w:trHeight w:val="570" w:hRule="atLeast"/>
          <w:jc w:val="center"/>
        </w:trPr>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4</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有源音箱</w:t>
            </w:r>
          </w:p>
          <w:p>
            <w:pPr>
              <w:jc w:val="center"/>
              <w:rPr>
                <w:rFonts w:cs="宋体" w:asciiTheme="minorEastAsia" w:hAnsiTheme="minorEastAsia" w:eastAsiaTheme="minorEastAsia"/>
                <w:bCs/>
                <w:kern w:val="0"/>
                <w:szCs w:val="21"/>
              </w:rPr>
            </w:pPr>
            <w:r>
              <w:rPr>
                <w:rFonts w:hint="eastAsia" w:asciiTheme="minorEastAsia" w:hAnsiTheme="minorEastAsia" w:eastAsiaTheme="minorEastAsia"/>
                <w:szCs w:val="21"/>
              </w:rPr>
              <w:t>希沃SS33B</w:t>
            </w:r>
            <w:r>
              <w:rPr>
                <w:rFonts w:cs="宋体" w:asciiTheme="minorEastAsia" w:hAnsiTheme="minorEastAsia" w:eastAsiaTheme="minorEastAsia"/>
                <w:bCs/>
                <w:kern w:val="0"/>
                <w:szCs w:val="21"/>
              </w:rPr>
              <w:t xml:space="preserve"> </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套</w:t>
            </w:r>
          </w:p>
        </w:tc>
        <w:tc>
          <w:tcPr>
            <w:tcW w:w="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12</w:t>
            </w:r>
          </w:p>
        </w:tc>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heme="minorEastAsia" w:hAnsiTheme="minorEastAsia" w:eastAsiaTheme="minorEastAsia"/>
                <w:szCs w:val="21"/>
              </w:rPr>
            </w:pPr>
            <w:r>
              <w:rPr>
                <w:rFonts w:asciiTheme="minorEastAsia" w:hAnsiTheme="minorEastAsia" w:eastAsiaTheme="minorEastAsia"/>
                <w:szCs w:val="21"/>
              </w:rPr>
              <w:t>1. 采用功放与有源音箱一体化设计，内置麦克风无线接收模块，帮助教师实现多媒体扩音以及本地扩声功能。</w:t>
            </w:r>
            <w:r>
              <w:rPr>
                <w:rFonts w:asciiTheme="minorEastAsia" w:hAnsiTheme="minorEastAsia" w:eastAsiaTheme="minorEastAsia"/>
                <w:szCs w:val="21"/>
              </w:rPr>
              <w:br w:type="textWrapping"/>
            </w:r>
            <w:r>
              <w:rPr>
                <w:rFonts w:asciiTheme="minorEastAsia" w:hAnsiTheme="minorEastAsia" w:eastAsiaTheme="minorEastAsia"/>
                <w:szCs w:val="21"/>
              </w:rPr>
              <w:t>2. 输出额定功率≥ 2x15W。</w:t>
            </w:r>
            <w:r>
              <w:rPr>
                <w:rFonts w:asciiTheme="minorEastAsia" w:hAnsiTheme="minorEastAsia" w:eastAsiaTheme="minorEastAsia"/>
                <w:szCs w:val="21"/>
              </w:rPr>
              <w:br w:type="textWrapping"/>
            </w:r>
            <w:r>
              <w:rPr>
                <w:rFonts w:asciiTheme="minorEastAsia" w:hAnsiTheme="minorEastAsia" w:eastAsiaTheme="minorEastAsia"/>
                <w:szCs w:val="21"/>
              </w:rPr>
              <w:t>3. 音箱灵敏度≥85dB，1W/1M。</w:t>
            </w:r>
            <w:r>
              <w:rPr>
                <w:rFonts w:asciiTheme="minorEastAsia" w:hAnsiTheme="minorEastAsia" w:eastAsiaTheme="minorEastAsia"/>
                <w:szCs w:val="21"/>
              </w:rPr>
              <w:br w:type="textWrapping"/>
            </w:r>
            <w:r>
              <w:rPr>
                <w:rFonts w:asciiTheme="minorEastAsia" w:hAnsiTheme="minorEastAsia" w:eastAsiaTheme="minorEastAsia"/>
                <w:szCs w:val="21"/>
              </w:rPr>
              <w:t>4. 信噪比≥80dB@额定功率、A计权。</w:t>
            </w:r>
            <w:r>
              <w:rPr>
                <w:rFonts w:asciiTheme="minorEastAsia" w:hAnsiTheme="minorEastAsia" w:eastAsiaTheme="minorEastAsia"/>
                <w:szCs w:val="21"/>
              </w:rPr>
              <w:br w:type="textWrapping"/>
            </w:r>
            <w:r>
              <w:rPr>
                <w:rFonts w:asciiTheme="minorEastAsia" w:hAnsiTheme="minorEastAsia" w:eastAsiaTheme="minorEastAsia"/>
                <w:szCs w:val="21"/>
              </w:rPr>
              <w:t>5. 全频喇叭单元尺寸≥5英寸。</w:t>
            </w:r>
            <w:r>
              <w:rPr>
                <w:rFonts w:asciiTheme="minorEastAsia" w:hAnsiTheme="minorEastAsia" w:eastAsiaTheme="minorEastAsia"/>
                <w:szCs w:val="21"/>
              </w:rPr>
              <w:br w:type="textWrapping"/>
            </w:r>
            <w:r>
              <w:rPr>
                <w:rFonts w:asciiTheme="minorEastAsia" w:hAnsiTheme="minorEastAsia" w:eastAsiaTheme="minorEastAsia"/>
                <w:szCs w:val="21"/>
              </w:rPr>
              <w:t>6. THD+N≤1%。</w:t>
            </w:r>
            <w:r>
              <w:rPr>
                <w:rFonts w:asciiTheme="minorEastAsia" w:hAnsiTheme="minorEastAsia" w:eastAsiaTheme="minorEastAsia"/>
                <w:szCs w:val="21"/>
              </w:rPr>
              <w:br w:type="textWrapping"/>
            </w:r>
            <w:r>
              <w:rPr>
                <w:rFonts w:asciiTheme="minorEastAsia" w:hAnsiTheme="minorEastAsia" w:eastAsiaTheme="minorEastAsia"/>
                <w:szCs w:val="21"/>
              </w:rPr>
              <w:t>7. 声频响110Hz-16kHz。</w:t>
            </w:r>
            <w:r>
              <w:rPr>
                <w:rFonts w:asciiTheme="minorEastAsia" w:hAnsiTheme="minorEastAsia" w:eastAsiaTheme="minorEastAsia"/>
                <w:szCs w:val="21"/>
              </w:rPr>
              <w:br w:type="textWrapping"/>
            </w:r>
            <w:r>
              <w:rPr>
                <w:rFonts w:asciiTheme="minorEastAsia" w:hAnsiTheme="minorEastAsia" w:eastAsiaTheme="minorEastAsia"/>
                <w:szCs w:val="21"/>
              </w:rPr>
              <w:t>8. 距离音箱10米处声压级≥75dB。</w:t>
            </w:r>
            <w:r>
              <w:rPr>
                <w:rFonts w:asciiTheme="minorEastAsia" w:hAnsiTheme="minorEastAsia" w:eastAsiaTheme="minorEastAsia"/>
                <w:szCs w:val="21"/>
              </w:rPr>
              <w:br w:type="textWrapping"/>
            </w:r>
            <w:r>
              <w:rPr>
                <w:rFonts w:asciiTheme="minorEastAsia" w:hAnsiTheme="minorEastAsia" w:eastAsiaTheme="minorEastAsia"/>
                <w:szCs w:val="21"/>
              </w:rPr>
              <w:t>9. 具备≥1路电源开关、1路LINE IN、1路USB 接口。USB接口可外接U盘设备对音箱固件进行升级。</w:t>
            </w:r>
            <w:r>
              <w:rPr>
                <w:rFonts w:asciiTheme="minorEastAsia" w:hAnsiTheme="minorEastAsia" w:eastAsiaTheme="minorEastAsia"/>
                <w:szCs w:val="21"/>
              </w:rPr>
              <w:br w:type="textWrapping"/>
            </w:r>
            <w:r>
              <w:rPr>
                <w:rFonts w:asciiTheme="minorEastAsia" w:hAnsiTheme="minorEastAsia" w:eastAsiaTheme="minorEastAsia"/>
                <w:szCs w:val="21"/>
              </w:rPr>
              <w:t>10. 支持无线麦克风扩音接收，采用Wi-Fi射频2.4GHz与 5GHz双频段传输，有效避免环境中运营商U段（700MHz）的信号干扰。</w:t>
            </w:r>
            <w:r>
              <w:rPr>
                <w:rFonts w:asciiTheme="minorEastAsia" w:hAnsiTheme="minorEastAsia" w:eastAsiaTheme="minorEastAsia"/>
                <w:szCs w:val="21"/>
              </w:rPr>
              <w:br w:type="textWrapping"/>
            </w:r>
            <w:r>
              <w:rPr>
                <w:rFonts w:asciiTheme="minorEastAsia" w:hAnsiTheme="minorEastAsia" w:eastAsiaTheme="minorEastAsia"/>
                <w:szCs w:val="21"/>
              </w:rPr>
              <w:t>11. 采用红外对码方式，避免连接到其他教室音箱。可快速完成与教学扩声麦克风对码，无需繁琐操作。</w:t>
            </w:r>
            <w:r>
              <w:rPr>
                <w:rFonts w:asciiTheme="minorEastAsia" w:hAnsiTheme="minorEastAsia" w:eastAsiaTheme="minorEastAsia"/>
                <w:szCs w:val="21"/>
              </w:rPr>
              <w:br w:type="textWrapping"/>
            </w:r>
            <w:r>
              <w:rPr>
                <w:rFonts w:asciiTheme="minorEastAsia" w:hAnsiTheme="minorEastAsia" w:eastAsiaTheme="minorEastAsia"/>
                <w:szCs w:val="21"/>
              </w:rPr>
              <w:t>12. 配置独立音频数字信号处理芯片，支持啸叫抑制功能。</w:t>
            </w:r>
            <w:r>
              <w:rPr>
                <w:rFonts w:asciiTheme="minorEastAsia" w:hAnsiTheme="minorEastAsia" w:eastAsiaTheme="minorEastAsia"/>
                <w:szCs w:val="21"/>
              </w:rPr>
              <w:br w:type="textWrapping"/>
            </w:r>
            <w:r>
              <w:rPr>
                <w:rFonts w:asciiTheme="minorEastAsia" w:hAnsiTheme="minorEastAsia" w:eastAsiaTheme="minorEastAsia"/>
                <w:szCs w:val="21"/>
              </w:rPr>
              <w:t>13. 支持蓝牙无线接收，可分享移动设备上的音频。支持密码模式，防止学生连接。</w:t>
            </w:r>
            <w:r>
              <w:rPr>
                <w:rFonts w:asciiTheme="minorEastAsia" w:hAnsiTheme="minorEastAsia" w:eastAsiaTheme="minorEastAsia"/>
                <w:szCs w:val="21"/>
              </w:rPr>
              <w:br w:type="textWrapping"/>
            </w:r>
            <w:r>
              <w:rPr>
                <w:rFonts w:asciiTheme="minorEastAsia" w:hAnsiTheme="minorEastAsia" w:eastAsiaTheme="minorEastAsia"/>
                <w:szCs w:val="21"/>
              </w:rPr>
              <w:t>14. 支持安卓手机通过蓝牙无线连接音箱，实现控制有源音箱的音量、设置蓝牙名称、设置蓝牙密码等功能，方便教师对音箱的管控。</w:t>
            </w:r>
            <w:r>
              <w:rPr>
                <w:rFonts w:asciiTheme="minorEastAsia" w:hAnsiTheme="minorEastAsia" w:eastAsiaTheme="minorEastAsia"/>
                <w:szCs w:val="21"/>
              </w:rPr>
              <w:br w:type="textWrapping"/>
            </w:r>
            <w:r>
              <w:rPr>
                <w:rFonts w:asciiTheme="minorEastAsia" w:hAnsiTheme="minorEastAsia" w:eastAsiaTheme="minorEastAsia"/>
                <w:szCs w:val="21"/>
              </w:rPr>
              <w:t>15. 主音箱与副音箱采用有线连接，音箱采用木质材质，保证声音还原度。</w:t>
            </w:r>
            <w:r>
              <w:rPr>
                <w:rFonts w:asciiTheme="minorEastAsia" w:hAnsiTheme="minorEastAsia" w:eastAsiaTheme="minorEastAsia"/>
                <w:szCs w:val="21"/>
              </w:rPr>
              <w:br w:type="textWrapping"/>
            </w:r>
            <w:r>
              <w:rPr>
                <w:rFonts w:asciiTheme="minorEastAsia" w:hAnsiTheme="minorEastAsia" w:eastAsiaTheme="minorEastAsia"/>
                <w:szCs w:val="21"/>
              </w:rPr>
              <w:t>16. 为确保与教室白色墙面一致，音箱采取白色外观设计，更加美观。</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700</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8400</w:t>
            </w:r>
          </w:p>
        </w:tc>
      </w:tr>
      <w:tr>
        <w:tblPrEx>
          <w:tblCellMar>
            <w:top w:w="0" w:type="dxa"/>
            <w:left w:w="0" w:type="dxa"/>
            <w:bottom w:w="0" w:type="dxa"/>
            <w:right w:w="0" w:type="dxa"/>
          </w:tblCellMar>
        </w:tblPrEx>
        <w:trPr>
          <w:trHeight w:val="570" w:hRule="atLeast"/>
          <w:jc w:val="center"/>
        </w:trPr>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5</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手持麦克风希沃MC05</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套</w:t>
            </w:r>
          </w:p>
        </w:tc>
        <w:tc>
          <w:tcPr>
            <w:tcW w:w="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12</w:t>
            </w:r>
          </w:p>
        </w:tc>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heme="minorEastAsia" w:hAnsiTheme="minorEastAsia" w:eastAsiaTheme="minorEastAsia"/>
                <w:szCs w:val="21"/>
              </w:rPr>
            </w:pPr>
            <w:r>
              <w:rPr>
                <w:rFonts w:asciiTheme="minorEastAsia" w:hAnsiTheme="minorEastAsia" w:eastAsiaTheme="minorEastAsia"/>
                <w:szCs w:val="21"/>
              </w:rPr>
              <w:t>1.无线麦克风集音频发射处理器、天线、电池、拾音麦克风于一体，配合一体化有源音箱，无需任何外接辅助设备即可实现本地扩声功能。</w:t>
            </w:r>
            <w:r>
              <w:rPr>
                <w:rFonts w:asciiTheme="minorEastAsia" w:hAnsiTheme="minorEastAsia" w:eastAsiaTheme="minorEastAsia"/>
                <w:szCs w:val="21"/>
              </w:rPr>
              <w:br w:type="textWrapping"/>
            </w:r>
            <w:r>
              <w:rPr>
                <w:rFonts w:asciiTheme="minorEastAsia" w:hAnsiTheme="minorEastAsia" w:eastAsiaTheme="minorEastAsia"/>
                <w:szCs w:val="21"/>
              </w:rPr>
              <w:t>2.采样率≥48KHz，16bit；扩音增益≥15dB；声频响100Hz-16kHz，底噪≤100uVrms，声信噪比≥60dB；配合一体化有源音箱，扩音延时≤35ms。</w:t>
            </w:r>
            <w:r>
              <w:rPr>
                <w:rFonts w:asciiTheme="minorEastAsia" w:hAnsiTheme="minorEastAsia" w:eastAsiaTheme="minorEastAsia"/>
                <w:szCs w:val="21"/>
              </w:rPr>
              <w:br w:type="textWrapping"/>
            </w:r>
            <w:r>
              <w:rPr>
                <w:rFonts w:asciiTheme="minorEastAsia" w:hAnsiTheme="minorEastAsia" w:eastAsiaTheme="minorEastAsia"/>
                <w:szCs w:val="21"/>
              </w:rPr>
              <w:t>3.用Wi-Fi射频频段传输，有效避免环境中运营商U段（700MHz）信号干扰。</w:t>
            </w:r>
            <w:r>
              <w:rPr>
                <w:rFonts w:asciiTheme="minorEastAsia" w:hAnsiTheme="minorEastAsia" w:eastAsiaTheme="minorEastAsia"/>
                <w:szCs w:val="21"/>
              </w:rPr>
              <w:br w:type="textWrapping"/>
            </w:r>
            <w:r>
              <w:rPr>
                <w:rFonts w:asciiTheme="minorEastAsia" w:hAnsiTheme="minorEastAsia" w:eastAsiaTheme="minorEastAsia"/>
                <w:szCs w:val="21"/>
              </w:rPr>
              <w:t>4.支持2.4GHz与5G双频段工作，信道数量≥26个。</w:t>
            </w:r>
            <w:r>
              <w:rPr>
                <w:rFonts w:asciiTheme="minorEastAsia" w:hAnsiTheme="minorEastAsia" w:eastAsiaTheme="minorEastAsia"/>
                <w:szCs w:val="21"/>
              </w:rPr>
              <w:br w:type="textWrapping"/>
            </w:r>
            <w:r>
              <w:rPr>
                <w:rFonts w:asciiTheme="minorEastAsia" w:hAnsiTheme="minorEastAsia" w:eastAsiaTheme="minorEastAsia"/>
                <w:szCs w:val="21"/>
              </w:rPr>
              <w:t>5.电续航时间≥5小时，满电状态可满足一天内7节课（45分钟/一节课）的高频授课，充电10分钟满足一节课（45分钟/一节课）授课时间。</w:t>
            </w:r>
            <w:r>
              <w:rPr>
                <w:rFonts w:asciiTheme="minorEastAsia" w:hAnsiTheme="minorEastAsia" w:eastAsiaTheme="minorEastAsia"/>
                <w:szCs w:val="21"/>
              </w:rPr>
              <w:br w:type="textWrapping"/>
            </w:r>
            <w:r>
              <w:rPr>
                <w:rFonts w:asciiTheme="minorEastAsia" w:hAnsiTheme="minorEastAsia" w:eastAsiaTheme="minorEastAsia"/>
                <w:szCs w:val="21"/>
              </w:rPr>
              <w:t>6.采用红外对码方式连接，避免连接到其他教室音箱。可在5S内快速完成与教学扩声音箱对码，无需繁琐操作。</w:t>
            </w:r>
            <w:r>
              <w:rPr>
                <w:rFonts w:asciiTheme="minorEastAsia" w:hAnsiTheme="minorEastAsia" w:eastAsiaTheme="minorEastAsia"/>
                <w:szCs w:val="21"/>
              </w:rPr>
              <w:br w:type="textWrapping"/>
            </w:r>
            <w:r>
              <w:rPr>
                <w:rFonts w:asciiTheme="minorEastAsia" w:hAnsiTheme="minorEastAsia" w:eastAsiaTheme="minorEastAsia"/>
                <w:szCs w:val="21"/>
              </w:rPr>
              <w:t>7.支持两个无线麦克风同时配对一个一体化有源音箱使用，实现两个麦克风混音输出进行扩音。</w:t>
            </w:r>
            <w:r>
              <w:rPr>
                <w:rFonts w:asciiTheme="minorEastAsia" w:hAnsiTheme="minorEastAsia" w:eastAsiaTheme="minorEastAsia"/>
                <w:szCs w:val="21"/>
              </w:rPr>
              <w:br w:type="textWrapping"/>
            </w:r>
            <w:r>
              <w:rPr>
                <w:rFonts w:asciiTheme="minorEastAsia" w:hAnsiTheme="minorEastAsia" w:eastAsiaTheme="minorEastAsia"/>
                <w:szCs w:val="21"/>
              </w:rPr>
              <w:t>8.具备Type-c外置麦克风接口，与充电接口复用。可搭配Type-C接口的麦克风进行使用，比如头戴式、挂耳式的外置麦克风。</w:t>
            </w:r>
            <w:r>
              <w:rPr>
                <w:rFonts w:asciiTheme="minorEastAsia" w:hAnsiTheme="minorEastAsia" w:eastAsiaTheme="minorEastAsia"/>
                <w:szCs w:val="21"/>
              </w:rPr>
              <w:br w:type="textWrapping"/>
            </w:r>
            <w:r>
              <w:rPr>
                <w:rFonts w:asciiTheme="minorEastAsia" w:hAnsiTheme="minorEastAsia" w:eastAsiaTheme="minorEastAsia"/>
                <w:szCs w:val="21"/>
              </w:rPr>
              <w:t>9.空旷无干扰的环境，无线传输有效距离≥15 米。</w:t>
            </w:r>
            <w:r>
              <w:rPr>
                <w:rFonts w:asciiTheme="minorEastAsia" w:hAnsiTheme="minorEastAsia" w:eastAsiaTheme="minorEastAsia"/>
                <w:szCs w:val="21"/>
              </w:rPr>
              <w:br w:type="textWrapping"/>
            </w:r>
            <w:r>
              <w:rPr>
                <w:rFonts w:asciiTheme="minorEastAsia" w:hAnsiTheme="minorEastAsia" w:eastAsiaTheme="minorEastAsia"/>
                <w:szCs w:val="21"/>
              </w:rPr>
              <w:t>10.一体化领夹设计，无需额外配件便可实现麦克风的领夹式使用。</w:t>
            </w:r>
            <w:r>
              <w:rPr>
                <w:rFonts w:asciiTheme="minorEastAsia" w:hAnsiTheme="minorEastAsia" w:eastAsiaTheme="minorEastAsia"/>
                <w:szCs w:val="21"/>
              </w:rPr>
              <w:br w:type="textWrapping"/>
            </w:r>
            <w:r>
              <w:rPr>
                <w:rFonts w:asciiTheme="minorEastAsia" w:hAnsiTheme="minorEastAsia" w:eastAsiaTheme="minorEastAsia"/>
                <w:szCs w:val="21"/>
              </w:rPr>
              <w:t>11.外壳防火等级≥V1。</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360</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4320</w:t>
            </w:r>
          </w:p>
        </w:tc>
      </w:tr>
      <w:tr>
        <w:tblPrEx>
          <w:tblCellMar>
            <w:top w:w="0" w:type="dxa"/>
            <w:left w:w="0" w:type="dxa"/>
            <w:bottom w:w="0" w:type="dxa"/>
            <w:right w:w="0" w:type="dxa"/>
          </w:tblCellMar>
        </w:tblPrEx>
        <w:trPr>
          <w:trHeight w:val="570" w:hRule="atLeast"/>
          <w:jc w:val="center"/>
        </w:trPr>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6</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heme="minorEastAsia" w:hAnsiTheme="minorEastAsia" w:eastAsiaTheme="minorEastAsia"/>
                <w:szCs w:val="21"/>
              </w:rPr>
            </w:pPr>
            <w:r>
              <w:rPr>
                <w:rFonts w:asciiTheme="minorEastAsia" w:hAnsiTheme="minorEastAsia" w:eastAsiaTheme="minorEastAsia"/>
                <w:szCs w:val="21"/>
              </w:rPr>
              <w:t>系统集成控制</w:t>
            </w:r>
          </w:p>
          <w:p>
            <w:pPr>
              <w:pStyle w:val="5"/>
              <w:ind w:firstLine="0"/>
              <w:jc w:val="center"/>
              <w:rPr>
                <w:rFonts w:asciiTheme="minorEastAsia" w:hAnsiTheme="minorEastAsia" w:eastAsiaTheme="minorEastAsia"/>
                <w:szCs w:val="21"/>
              </w:rPr>
            </w:pPr>
            <w:r>
              <w:rPr>
                <w:rFonts w:hint="eastAsia" w:asciiTheme="minorEastAsia" w:hAnsiTheme="minorEastAsia" w:eastAsiaTheme="minorEastAsia"/>
                <w:szCs w:val="21"/>
              </w:rPr>
              <w:t>希沃</w:t>
            </w:r>
          </w:p>
          <w:p>
            <w:pPr>
              <w:pStyle w:val="5"/>
              <w:ind w:firstLine="0"/>
              <w:jc w:val="center"/>
              <w:rPr>
                <w:rFonts w:asciiTheme="minorEastAsia" w:hAnsiTheme="minorEastAsia" w:eastAsiaTheme="minorEastAsia"/>
                <w:szCs w:val="21"/>
              </w:rPr>
            </w:pPr>
            <w:r>
              <w:rPr>
                <w:rFonts w:hint="eastAsia" w:asciiTheme="minorEastAsia" w:hAnsiTheme="minorEastAsia" w:eastAsiaTheme="minorEastAsia"/>
                <w:szCs w:val="21"/>
              </w:rPr>
              <w:t>魔方-设备维</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套</w:t>
            </w:r>
          </w:p>
        </w:tc>
        <w:tc>
          <w:tcPr>
            <w:tcW w:w="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tLeast"/>
              <w:jc w:val="left"/>
              <w:textAlignment w:val="center"/>
              <w:rPr>
                <w:rFonts w:asciiTheme="minorEastAsia" w:hAnsiTheme="minorEastAsia" w:eastAsiaTheme="minorEastAsia"/>
                <w:szCs w:val="21"/>
              </w:rPr>
            </w:pPr>
            <w:r>
              <w:rPr>
                <w:rFonts w:hint="eastAsia" w:asciiTheme="minorEastAsia" w:hAnsiTheme="minorEastAsia" w:eastAsiaTheme="minorEastAsia"/>
                <w:szCs w:val="21"/>
              </w:rPr>
              <w:t>（一）电教工作台</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▲1. 专属工作台：支持老师根据管理习惯设置显隐组件来定制专属工作台。支持通过设备总览组件快捷查看学校所有设备实时状态及达标情况，以掌握设备应用于教学过程的状态。支持通过设备巡视组件实时了解教室和设备的情况，满足纪律监管、教研评课等场景。支持通过设备使用情况组件了解设备活跃分布及长时间未使用的设备情况，设置智能策略来对设备进行管控；支持通过软件使用情况组件掌握学校教师常用的教学软件，快速拦截风险应用；支持通过老师使用情况了解教师对信息化设备的使用率；支持通过网站访问情况了解设备上使用的常用网址，并可快速设置黑名单来禁止设备上的违规访问行为。</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▲2. 数据中心：支持自定义设备类型及数量，掌握校内设备资产分布情况；支持根据老师、学科、设备三大维度查看设备使用排行，并提供信息化设备利用率提升指南；支持查看本校常用软件、网址访问排行、全校设备画面截图；支持查看设备网络负载、硬件负载情况，并提供网络优化、硬件升级指南。</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（二）设备巡视</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▲1. 设备巡视：支持同时最多查看20个教室的实时摄像头画面、设备屏幕画面；支持在一个显示界面同时查看单个教室内所有屏幕、所有摄像头的实时画面，以及所有麦克风的声音，其中摄像头画面可直接使用班班通自带摄像头；支持批量将学校已有网络摄像头导入系统内，同场地下的班班通设备会主动和网络摄像头建立连接，巡视时可调用网络摄像头查看教室实时画面；单台设备巡视时，支持远程发送文本消息、语音消息，支持记录备注、听课评价；支持巡视日志功能，可以回溯管理员的巡视记录。</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2. 个性化巡视：支持自定义巡视水印类型、水印内容及水印颜色等设置，设置水印后，巡视过程中的摄像头画面和设备屏幕画面都会增加水印信息；支持自定义过滤摄像头、麦克风。</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▲3. 掌上看班：支持管理者开启掌上看班服务，开启/关闭掌上看班的管控功能；拥有掌上看班权限的老师可在移动端或PC客户端实时巡班，并进行基础远程管控，方便管理班级。支持管理者为普通老师直接分配、普通老师自行申请后由管理者在平台审核开通的2种方式管理掌上看班的班级权限，所有权限调整均配备操作日志，便于出现问题后回溯原因；支持通过教师、设备维度查看拥有掌上看班的权限明细，并支持快速调整权限。</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▲4. 点播巡视：支持根据班级课程表，自动获取正在上课或者即将上课的科目、老师列表，快速定位老师所在教室，实时远程听课；支持听课过程中针对本节课的教学过程进行评价，支持创建和使用多个评课表，并将评价记录于巡视记录，便于回溯。</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5.巡视录制：（当配有同品牌边缘服务管理AC时）支持自定义设置巡视录制计划，计划支持选择设备、重复方式、周期与时间段，根据配置自动录制教室内画面及声音；支持实时查看存储空间状态及占用情况，配置巡视录制清晰度、存储时限、存储空间不足时的录制方案；针对屏幕录制，支持设置仅录制主屏、不录制、录制所有屏幕；针对摄像头录制，支持选择需录制摄像头清单、选择不录制摄像头；针对麦克风录制，支持选择不录制、录制麦克风的优先级，最终录制时根据配置自动录制，节省存储空间的占用。</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（三）设备安全</w:t>
            </w:r>
          </w:p>
          <w:p>
            <w:pPr>
              <w:snapToGrid w:val="0"/>
              <w:spacing w:line="240" w:lineRule="atLeast"/>
              <w:rPr>
                <w:rFonts w:asciiTheme="minorEastAsia" w:hAnsiTheme="minorEastAsia" w:eastAsiaTheme="minorEastAsia"/>
                <w:color w:val="FF0000"/>
                <w:szCs w:val="21"/>
              </w:rPr>
            </w:pPr>
            <w:r>
              <w:rPr>
                <w:rFonts w:hint="eastAsia" w:asciiTheme="minorEastAsia" w:hAnsiTheme="minorEastAsia" w:eastAsiaTheme="minorEastAsia"/>
                <w:color w:val="FF0000"/>
                <w:szCs w:val="21"/>
              </w:rPr>
              <w:t>▲1. 批量磁盘清理：支持远程批量清理设备磁盘；支持清理指定磁盘的指定文件夹；支持清理系统盘备份、缓存、日志等垃圾文件；支持迁移系统盘视频、图片、音乐、文档文件；支持格式化非系统盘磁盘。（投标时须提供该功能完整截图辅佐证明）</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▲2. 冰点还原及穿透：支持远程向已冰冻的设备发送指令、安装软件，在设备正常关机时触发穿透动作，穿透完成后，设备即可使用已安装软件、执行已接收指令，且穿透过程中无需人为解冻。</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▲3. 弹窗拦截：支持一键开启拦截能力；支持查看学校当前已上报的所有疑似风险窗口和上报次数，并支持拦截某个应用所有窗口、某个具体窗口；支持将某个应用、某个具体窗口加入白名单，不对软件进行拦截。</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▲4. 流量监管：支持查看校内当日班班通设备流量使用的具体情况、带宽利用率；支持对设备进行限速设置。</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▲5. 网址过滤：支持设置网址访问黑名单、白名单，限制所有设备的网址访问。</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▲6. AI画面监测：支持AI自动监测设备画面色情、恐怖、暴力、游戏等风险内容或元素，保障学生身心安全；支持设置警告内容，当监测到不良画面后自动提醒以达到警示效果；支持将每天监测到的风险结果自动推送至公众号提醒管理；支持按设备、按画面维度回溯历史监测到的不良画面信息。</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（四）设备管控</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▲1. 多场景锁屏：支持一键下课锁屏、开机自动锁屏、无网络时验证身份解锁、联网时禁用密码解锁；支持“下课锁屏”，在班班通设备上点击“下课锁屏”按钮即可锁屏；支持“开机自动锁屏”可设置生效时间和生效设备；支持无网络情况下，通过手机微信扫一扫验证身份后获取密码进行解锁使用。支持设置屏幕锁壁纸；支持设置普通锁屏、极速锁屏模式。</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2. 智慧管控：支持用户自定义无人使用时间段，设备处于无人使用状态时，自动进入屏保、锁屏、息屏、关机状态。支持开启护眼模式，支持配置多个时间段内，每使用超过自定义时长后，指定设备自动进入息屏、锁屏的护眼模式；护眼模式支持配置仅管理员可解锁设备，</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3.软件管控：支持自建软件库，适用于Windows、Linux系统平台；支持根据管理需要，远程指定设备批量立即、定时安装；支持用户自主上传官方正版软件，将软件批量发送至设备静默安装；支持查看设备安装及运行的软件清单，支持查看软件的版本号、软件包大小、安装的设备明细，支持启用、禁用、卸载软件，并支持自动识别设备上运行的软件风险点，方便软件合规化管理；支持识别设备的系统版本及激活状态，可远程输入激活码激活设备正版系统。</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4. 音视频直播：支持多位老师同时向不同设备发起直播，直播方式包含纯桌面直播、视频直播、音频直播、桌面+视频直播方式；直播过程中支持增、删接收直播观看的班班通设备；支持实时查看收看端教室画面；支持切换直播画质清晰度；支持实时查看直播源码率、FPS数据。</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5. 多维管理：支持实时展示不少于20台设备的运行画面，并支持切换画面模式/列表模式；支持根据设备类型、设备所属年级/场地/自定义分组、设备开关机状态进行分组管理；支持文字检索设备名称。</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6. 详情管理：支持查看设备当前使用老师信息，以及最近一次设备解锁时间、解锁方式、解锁老师。支持查看单台设备的当日开机次数、开机时间分布情况、设备已安装软件列表及使用情况、内存/硬盘占用情况、基础参数；支持查看设备异常情况；支持查看设备所有待执行的指令信息；支持远程修改设备关联信息。</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7. 指令管理：支持设置即时、定时、循环模式的关机、重启、打铃、锁屏/解锁指令。其中打铃指令支持上传自定义铃声、设置播放时长；其中锁屏指令支持一键下课锁屏、开机自动锁屏、无网络时验证身份解锁、联网时禁用密码解锁、普通/极速锁屏模式；支持设置锁屏壁纸用于校园文化宣传；支持跑马灯、全局弹窗、桌面常驻通知3种类型的文本消息推送；支持定向传输多个超过50MB的文件至不同设备；支持开启/关闭指定设备的倒计日服务；支持批量设置设备音量；支持远程操作和控制设备；支持查看、编辑和撤销待执行指令；支持查看指令执行实时状态、设备操作日志，包含设备每次解锁方式、解锁时间、解锁人信息。</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8. 移动端管理：支持通过微信小程序远程管理学校所有电子设备，支持查看设备运行状态，支持下发远程指令，支持查看设备数据，支持推送指令执行异常的设备信息、出现不良画面的设备及不良内容。</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9.系统管理：支持学校高级管理员添加多位管理员协同管理及快速转让高级管理员，支持为普通管理员分配不同权限，权限支持按系统功能菜单分配、按管理设备分配方式；支持设置在自定义时间段内自动升级设备辅助管理软件、开启/关闭自动升级后自动关机服务、开启/关闭限制旧版本覆盖安装的安全服务；支持启用/禁用管家身份验证服务，包含扫码验证、复杂密码验证服务。支持记录并回看管理员的操作日志，包含操作人、操作时间、操作内容。</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10.批量关联和改绑：支持通过设备辅助管理软件，在单台班班通设备关联学校代码后，自动发现并关联同网段下其他班班通设备；支持批量解绑，解绑设备自动进入回收站，可随时恢复管理；支持修改设备的绑定关系，包含设备名称、建筑场地、班级信息、设备类型、设备品牌、采购年份。</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11.数据分析：支持实时查看和导出学校设备整体使用数据，并支持查看具体设备数据。数据包含设备的使用时长、活跃次数、常用软件使用时长和次数、教学应用使用情况、设备健康度分析、弹窗拦截次数、老师使用设备教学情况。</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（五）设备治理</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▲1. 设备概览：支持通过五大维度，科学合理监测评估基建设备的稳定性；支持通过网络达标情况了解设备是否常态化联网，网络速率是否满足教学需要；支持通过硬件达标情况了解设备使用年限、CPU/内存/磁盘等硬件的配置，通过流畅度情况了解设备CPU占用/温度、内存占用、系统盘容量占用的情况，以判断设备是否可以流畅应用于教学环节；支持通过安全达标情况了解设备启用安全防护服务的情况；支持通过设备应用情况来了解设备、教师在教学中的使用情况，包含使用率、软件使用情况、网址访问情况，以辅助判断教师信息化设备利用水平的高低。</w:t>
            </w:r>
          </w:p>
          <w:p>
            <w:pPr>
              <w:snapToGrid w:val="0"/>
              <w:spacing w:line="240" w:lineRule="atLeast"/>
              <w:rPr>
                <w:rFonts w:asciiTheme="minorEastAsia" w:hAnsiTheme="minorEastAsia" w:eastAsiaTheme="minorEastAsia"/>
                <w:color w:val="FF0000"/>
                <w:szCs w:val="21"/>
              </w:rPr>
            </w:pPr>
            <w:r>
              <w:rPr>
                <w:rFonts w:hint="eastAsia" w:asciiTheme="minorEastAsia" w:hAnsiTheme="minorEastAsia" w:eastAsiaTheme="minorEastAsia"/>
                <w:color w:val="FF0000"/>
                <w:szCs w:val="21"/>
              </w:rPr>
              <w:t>▲2. 设备盘点：支持快速筛选全校所有设备各项指标的达标率，快速定位和识别问题设备；支持单设备查看详情，掌握设备的基础参数，以及各项指标的明细数据；支持快速导出全校所有设备的网络状态、硬件参数、流畅度、安全防护服务开启情况，方便学校盘点设备使用。（投标时须提供该功能完整截图辅佐证明）</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3. 个性化配置：支持管理者配置学校设备总览页需展示的组件内容、顺序；支持学校设置符合本校管理需要的设备使用率、网络/硬件/流畅度/安全达标率，以满足个性化评估设备状态的需要。</w:t>
            </w:r>
          </w:p>
          <w:p>
            <w:pPr>
              <w:snapToGrid w:val="0"/>
              <w:spacing w:line="240" w:lineRule="atLeast"/>
              <w:rPr>
                <w:rFonts w:asciiTheme="minorEastAsia" w:hAnsiTheme="minorEastAsia" w:eastAsiaTheme="minorEastAsia"/>
                <w:color w:val="FF0000"/>
                <w:szCs w:val="21"/>
              </w:rPr>
            </w:pPr>
            <w:r>
              <w:rPr>
                <w:rFonts w:hint="eastAsia" w:asciiTheme="minorEastAsia" w:hAnsiTheme="minorEastAsia" w:eastAsiaTheme="minorEastAsia"/>
                <w:color w:val="FF0000"/>
                <w:szCs w:val="21"/>
              </w:rPr>
              <w:t>▲4.基建优化建议：支持解读设备运行数据，提供基建优化建议，以保障信息化设备在教学过程中的应用稳定性。支持根据网络带宽利用率分析网络稳定性并提供优化方案；支持根据硬件参数及流畅度达标情况分析设备运行稳定性并提供优化方案；支持根据安全服务开启情况分析设备运行风险比提供优化方案。（投标时须提供该功能完整截图辅佐证明）</w:t>
            </w:r>
          </w:p>
          <w:p>
            <w:pPr>
              <w:snapToGrid w:val="0"/>
              <w:spacing w:line="240" w:lineRule="atLeast"/>
              <w:rPr>
                <w:rFonts w:asciiTheme="minorEastAsia" w:hAnsiTheme="minorEastAsia" w:eastAsiaTheme="minorEastAsia"/>
                <w:color w:val="FF0000"/>
                <w:szCs w:val="21"/>
              </w:rPr>
            </w:pPr>
            <w:r>
              <w:rPr>
                <w:rFonts w:hint="eastAsia" w:asciiTheme="minorEastAsia" w:hAnsiTheme="minorEastAsia" w:eastAsiaTheme="minorEastAsia"/>
                <w:color w:val="FF0000"/>
                <w:szCs w:val="21"/>
              </w:rPr>
              <w:t>▲5.素养提升建议：支持分析解读教师使用数据，提供信息化素养提升建议，以提升全校整体信息化设备应用平均水平。支持根据各学科/设备/老师使用数据分析经验丰富的老师，并提供信息化素养提升建议；支持根据不同类型软件的使用明细分析本校常用软件，并提供软件普及、替换或拦截建议。（投标时须提供该功能完整截图辅佐证明）</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（六）校园宣传</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▲1. 海量资源：系统内置图片宣传资源、视频宣传资源、海报模板，可直接选择进行发布，宣传内容包含但不限于劳动教育、卫生健康、心理健康教育、安全教育、理想信念教育、生态文明教育、名校介绍、党建文化主题内容；</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2. 节目自定义：节目单支持添加自定义页面，自定义页面支持设置页面播放时长，支持颜色填充、背景图库、图片填充三种方式设置页面背景，支持添加文本、网页、倒计日、时间等通用组件，支持添加课表、值日生、评比等业务组件；</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▲3. 多终端播放：支持面向班班通设备、班牌设备、校园屏显设备发送节目单指令；支持实时预览内容，支持设置按照每周循环播放、指定日期播放、自定义日期播放3种节目播放机制；支持播完即结束、指定时间循环播两种循环模式；支持同时添加不少于5个不同的播放周期，进行定时播放；</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4. 节目单管理：支持通过后台进行所有节目的统一管理，可以查看节目发布设备及其在设备上的发布状态，可以对节目进行一键播放与暂停；支持草稿箱功能，未发布的节目可以保存至草稿箱。</w:t>
            </w:r>
          </w:p>
          <w:p>
            <w:pPr>
              <w:snapToGrid w:val="0"/>
              <w:spacing w:line="240" w:lineRule="atLeast"/>
              <w:rPr>
                <w:rFonts w:asciiTheme="minorEastAsia" w:hAnsiTheme="minorEastAsia" w:eastAsiaTheme="minorEastAsia"/>
                <w:szCs w:val="21"/>
              </w:rPr>
            </w:pPr>
            <w:r>
              <w:rPr>
                <w:rFonts w:hint="eastAsia" w:asciiTheme="minorEastAsia" w:hAnsiTheme="minorEastAsia" w:eastAsiaTheme="minorEastAsia"/>
                <w:szCs w:val="21"/>
              </w:rPr>
              <w:t>▲5.时事转播：支持实时强制转播时事新闻以协助校内思政内容传播，设备执行播放任务过程中可由学校老师扫码验证身份后退出本次转播服务执行；支持新闻网页地址、纯视频文件2种转播方式；支持立即、定时、周循环3种循环模式；支持指定设备定向发布内容；支持查看执行结果和计划列表。</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1200</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1200</w:t>
            </w:r>
          </w:p>
        </w:tc>
      </w:tr>
      <w:tr>
        <w:tblPrEx>
          <w:tblCellMar>
            <w:top w:w="0" w:type="dxa"/>
            <w:left w:w="0" w:type="dxa"/>
            <w:bottom w:w="0" w:type="dxa"/>
            <w:right w:w="0" w:type="dxa"/>
          </w:tblCellMar>
        </w:tblPrEx>
        <w:trPr>
          <w:trHeight w:val="570" w:hRule="atLeast"/>
          <w:jc w:val="center"/>
        </w:trPr>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7</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spacing w:line="360" w:lineRule="auto"/>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系统集成</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项</w:t>
            </w:r>
          </w:p>
        </w:tc>
        <w:tc>
          <w:tcPr>
            <w:tcW w:w="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w:t>
            </w:r>
          </w:p>
        </w:tc>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7"/>
              <w:spacing w:line="360" w:lineRule="auto"/>
              <w:jc w:val="left"/>
              <w:rPr>
                <w:rFonts w:cs="宋体" w:asciiTheme="minorEastAsia" w:hAnsiTheme="minorEastAsia" w:eastAsiaTheme="minorEastAsia"/>
                <w:bCs/>
                <w:kern w:val="0"/>
                <w:szCs w:val="21"/>
              </w:rPr>
            </w:pPr>
            <w:r>
              <w:rPr>
                <w:rFonts w:hint="eastAsia" w:asciiTheme="minorEastAsia" w:hAnsiTheme="minorEastAsia" w:eastAsiaTheme="minorEastAsia"/>
                <w:szCs w:val="21"/>
              </w:rPr>
              <w:t>负责所供设备的安装辅材、集成调试、培训服务。系统集成所需线材要求符合国标标准。</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2640</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2640</w:t>
            </w:r>
          </w:p>
        </w:tc>
      </w:tr>
      <w:tr>
        <w:tblPrEx>
          <w:tblCellMar>
            <w:top w:w="0" w:type="dxa"/>
            <w:left w:w="0" w:type="dxa"/>
            <w:bottom w:w="0" w:type="dxa"/>
            <w:right w:w="0" w:type="dxa"/>
          </w:tblCellMar>
        </w:tblPrEx>
        <w:trPr>
          <w:trHeight w:val="570" w:hRule="atLeast"/>
          <w:jc w:val="center"/>
        </w:trPr>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8</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spacing w:line="360" w:lineRule="auto"/>
              <w:jc w:val="center"/>
              <w:rPr>
                <w:rFonts w:cs="宋体" w:asciiTheme="minorEastAsia" w:hAnsiTheme="minorEastAsia" w:eastAsiaTheme="minorEastAsia"/>
                <w:bCs/>
                <w:kern w:val="0"/>
                <w:szCs w:val="21"/>
              </w:rPr>
            </w:pPr>
            <w:r>
              <w:rPr>
                <w:rFonts w:hint="eastAsia" w:asciiTheme="minorEastAsia" w:hAnsiTheme="minorEastAsia" w:eastAsiaTheme="minorEastAsia"/>
                <w:szCs w:val="21"/>
              </w:rPr>
              <w:t>小计</w:t>
            </w:r>
          </w:p>
        </w:tc>
        <w:tc>
          <w:tcPr>
            <w:tcW w:w="662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pStyle w:val="7"/>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人民币大写：贰拾捌万捌仟元整</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cs="宋体" w:asciiTheme="minorEastAsia" w:hAnsiTheme="minorEastAsia" w:eastAsiaTheme="minorEastAsia"/>
                <w:bCs/>
                <w:kern w:val="0"/>
                <w:szCs w:val="21"/>
              </w:rPr>
            </w:pP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fldChar w:fldCharType="begin"/>
            </w:r>
            <w:r>
              <w:rPr>
                <w:rFonts w:cs="宋体" w:asciiTheme="minorEastAsia" w:hAnsiTheme="minorEastAsia" w:eastAsiaTheme="minorEastAsia"/>
                <w:bCs/>
                <w:kern w:val="0"/>
                <w:szCs w:val="21"/>
              </w:rPr>
              <w:instrText xml:space="preserve"> </w:instrText>
            </w:r>
            <w:r>
              <w:rPr>
                <w:rFonts w:hint="eastAsia" w:cs="宋体" w:asciiTheme="minorEastAsia" w:hAnsiTheme="minorEastAsia" w:eastAsiaTheme="minorEastAsia"/>
                <w:bCs/>
                <w:kern w:val="0"/>
                <w:szCs w:val="21"/>
              </w:rPr>
              <w:instrText xml:space="preserve">=SUM(ABOVE)</w:instrText>
            </w:r>
            <w:r>
              <w:rPr>
                <w:rFonts w:cs="宋体" w:asciiTheme="minorEastAsia" w:hAnsiTheme="minorEastAsia" w:eastAsiaTheme="minorEastAsia"/>
                <w:bCs/>
                <w:kern w:val="0"/>
                <w:szCs w:val="21"/>
              </w:rPr>
              <w:instrText xml:space="preserve"> </w:instrText>
            </w:r>
            <w:r>
              <w:rPr>
                <w:rFonts w:cs="宋体" w:asciiTheme="minorEastAsia" w:hAnsiTheme="minorEastAsia" w:eastAsiaTheme="minorEastAsia"/>
                <w:bCs/>
                <w:kern w:val="0"/>
                <w:szCs w:val="21"/>
              </w:rPr>
              <w:fldChar w:fldCharType="separate"/>
            </w:r>
            <w:r>
              <w:rPr>
                <w:rFonts w:cs="宋体" w:asciiTheme="minorEastAsia" w:hAnsiTheme="minorEastAsia" w:eastAsiaTheme="minorEastAsia"/>
                <w:bCs/>
                <w:kern w:val="0"/>
                <w:szCs w:val="21"/>
              </w:rPr>
              <w:t>288000</w:t>
            </w:r>
            <w:r>
              <w:rPr>
                <w:rFonts w:cs="宋体" w:asciiTheme="minorEastAsia" w:hAnsiTheme="minorEastAsia" w:eastAsiaTheme="minorEastAsia"/>
                <w:bCs/>
                <w:kern w:val="0"/>
                <w:szCs w:val="21"/>
              </w:rPr>
              <w:fldChar w:fldCharType="end"/>
            </w:r>
          </w:p>
        </w:tc>
      </w:tr>
      <w:tr>
        <w:tblPrEx>
          <w:tblCellMar>
            <w:top w:w="0" w:type="dxa"/>
            <w:left w:w="0" w:type="dxa"/>
            <w:bottom w:w="0" w:type="dxa"/>
            <w:right w:w="0" w:type="dxa"/>
          </w:tblCellMar>
        </w:tblPrEx>
        <w:trPr>
          <w:trHeight w:val="570" w:hRule="atLeast"/>
          <w:jc w:val="center"/>
        </w:trPr>
        <w:tc>
          <w:tcPr>
            <w:tcW w:w="993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bottom"/>
              <w:rPr>
                <w:rFonts w:cs="宋体" w:asciiTheme="minorEastAsia" w:hAnsiTheme="minorEastAsia" w:eastAsiaTheme="minorEastAsia"/>
                <w:bCs/>
                <w:kern w:val="0"/>
                <w:szCs w:val="21"/>
              </w:rPr>
            </w:pPr>
            <w:bookmarkStart w:id="0" w:name="OLE_LINK2"/>
            <w:bookmarkStart w:id="1" w:name="OLE_LINK3"/>
            <w:r>
              <w:rPr>
                <w:rFonts w:hint="eastAsia" w:cs="宋体" w:asciiTheme="minorEastAsia" w:hAnsiTheme="minorEastAsia" w:eastAsiaTheme="minorEastAsia"/>
                <w:b/>
                <w:bCs/>
                <w:kern w:val="0"/>
                <w:szCs w:val="21"/>
              </w:rPr>
              <w:t>二、教师办公</w:t>
            </w:r>
            <w:r>
              <w:rPr>
                <w:rFonts w:hint="eastAsia" w:asciiTheme="minorEastAsia" w:hAnsiTheme="minorEastAsia" w:eastAsiaTheme="minorEastAsia"/>
                <w:b/>
                <w:szCs w:val="21"/>
              </w:rPr>
              <w:t>台式计算机</w:t>
            </w:r>
            <w:bookmarkEnd w:id="0"/>
            <w:bookmarkEnd w:id="1"/>
          </w:p>
        </w:tc>
      </w:tr>
      <w:tr>
        <w:tblPrEx>
          <w:tblCellMar>
            <w:top w:w="0" w:type="dxa"/>
            <w:left w:w="0" w:type="dxa"/>
            <w:bottom w:w="0" w:type="dxa"/>
            <w:right w:w="0" w:type="dxa"/>
          </w:tblCellMar>
        </w:tblPrEx>
        <w:trPr>
          <w:trHeight w:val="570" w:hRule="atLeast"/>
          <w:jc w:val="center"/>
        </w:trPr>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台式计算机</w:t>
            </w:r>
          </w:p>
          <w:p>
            <w:pPr>
              <w:pStyle w:val="7"/>
              <w:snapToGrid w:val="0"/>
              <w:spacing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希沃      型号：DZ0826-0067（含M243A显示器）</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套</w:t>
            </w:r>
          </w:p>
        </w:tc>
        <w:tc>
          <w:tcPr>
            <w:tcW w:w="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65</w:t>
            </w:r>
          </w:p>
        </w:tc>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rPr>
                <w:rFonts w:cs="宋体" w:asciiTheme="minorEastAsia" w:hAnsiTheme="minorEastAsia" w:eastAsiaTheme="minorEastAsia"/>
                <w:szCs w:val="21"/>
              </w:rPr>
            </w:pPr>
            <w:r>
              <w:rPr>
                <w:rFonts w:hint="eastAsia" w:asciiTheme="minorEastAsia" w:hAnsiTheme="minorEastAsia" w:eastAsiaTheme="minorEastAsia"/>
                <w:szCs w:val="21"/>
              </w:rPr>
              <w:t>一、</w:t>
            </w:r>
            <w:r>
              <w:rPr>
                <w:rFonts w:hint="eastAsia" w:cs="宋体" w:asciiTheme="minorEastAsia" w:hAnsiTheme="minorEastAsia" w:eastAsiaTheme="minorEastAsia"/>
                <w:szCs w:val="21"/>
              </w:rPr>
              <w:t>硬件设计：</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1.CPU：国产兆芯KX-U6780A芯片，主频≥2.7GHz 、≥8核处理器8线程，二级缓存≥8MB。</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2.主板：ZX200芯片组或以上。</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3.内存：2*8 GB DDR4 2666MT/s 内存或以上。最大可支持拓展64GB。</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4.硬盘：≥512 GB M.2 NVMe SSD硬盘。</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5.支持拓展9.5mm标准光驱。</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6.支持1000Mbps。网口支持wake on LAN。</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7.集成标准声卡。</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8.USB有线键盘、鼠标。</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9.前置面板：USB3.0≥3个；TypeC≥1个；音频接口≥1个（支持耳机麦克风二合一）</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10.支持物理网络开关按键。</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11.≥3前置USB端口支持在关机状态下对外供电。</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12.后置面板：USB3.0≥4个；HDMI输出≥1个；VGA输出≥1个；音频输入≥2个；音频输出≥1个；RJ45≥1个；PS/2≥2个；串口≥1个。</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13.显卡：集成显卡；</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14.内部插槽：PCIEX16≥1个（支持拓展独立显卡）；PCIEX8≥2个；M.2≥2个；SATA≥4个。</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15.机箱体积：≤8L。</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16.电源功率：≤200W。</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二、配套显示器：</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1、显示屏≥23.8英寸显示屏幕，分辨率≥1920*1080，</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2、屏幕亮度≥250nit，VA屏</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3、支持VGA≥1，HDMI≥1。</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4、为保证屏幕色彩显示真实度，显示屏幕DCI-P3色域覆盖率≥ 90%；</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5、屏幕刷新率达到75Hz，响应时间≤7ms，可视角度178/178</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6、电源能效转换效率≥86%</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7、为了适应日常使用和更好的视频播放体验，显示屏分别提供标准模式和炫彩模式选项</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。（投标时须提供国家认可的第三方检测机构出具的关于该功能的检测报告复印件）</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8、为保证教师、学生的用眼舒适，显示屏幕提供护眼模式，护眼模式下，蓝光比例≤20%。</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（投标时须提供国家认可的第三方检测机构出具的关于该功能的检测报告复印件）</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9、显示器提供阅读模式，为长时间阅读提供舒适的用眼体验。</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（投标时须提供国家认可的第三方检测机构出具的关于该功能的检测报告复印件）</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10、显示屏幕采用窄边设计，上左右边框≤3.6mm，下边框≤16.5mm，屏占比≥89%。</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11、为保护教师、学生视力健康，硬件具备硬件低蓝光，获得TUV硬件低蓝光认证。</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12、为保护教师、学生视力健康，硬件具备无频闪，获得TUV无频闪认证。</w:t>
            </w:r>
          </w:p>
          <w:p>
            <w:pPr>
              <w:widowControl/>
              <w:spacing w:line="380" w:lineRule="exact"/>
              <w:jc w:val="left"/>
              <w:rPr>
                <w:rFonts w:cs="宋体" w:asciiTheme="minorEastAsia" w:hAnsiTheme="minorEastAsia" w:eastAsiaTheme="minorEastAsia"/>
                <w:szCs w:val="21"/>
              </w:rPr>
            </w:pP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三、教学配套软件：</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1、教学平台为全校教师提供可扩展，易于学校管理，安全可靠的云存储空间，根据每名教师使用时长与教学资料制作频率提供可扩展升级至不小于200G的个人云空间。</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2、PPT小工具：支持小组端进入PPT放映模式后提供批注、黑板、橡皮、撤销、批注分享等工具，满足学生小组研讨的使用。</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3、书写工具具备地图图示（如铁路、城墙、山峰、港口、机场等）笔迹，可直接进行图示标注；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表层洋流、陆地自然带、海平面等压线等内容，方便教学。</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4、一键开课：教师可一键开课生成课程海报；学生扫描课程海报微信二维码即可加入直播课堂，无需额外安装APP。（投标文件中需提供国家认可的第三方检测机构出具的检测报告复印件）</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5、剪辑重录：支持按照课件页面片段剪辑和重录微课，支持一键上传至云端保存。</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6、课程回放：课程结束后自动生成直播回放，报名课程的学生可反复学习；回放课程自动保存在云端，支持人工删除。（投标文件中需提供国家认可的第三方检测机构出具的检测报告复印件）</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7、发起集备：支持选择教案、课件、胶囊资源上传发起集备研讨，支持设置多重访问权限，通过手机号搜索即可邀请外校老师，可用于跨校教研场景</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四、品质及服务：</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1.为了保障设备品质及服务，设备生产厂家须通过以下认证，符合GB/T 27922-2011售后服务评价体系标准，不低于十星级售后服务认证，供货时须提供相关证明材料。</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2.三年保修免费上门，可选2小时电话响应，第二日上门，365天全年无休。为保证设备的品质和服务，供货时需提供设备生产厂家针对此项目的售后服务承诺函原件；</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3.为了确保教育数据托付管理能力、存储能力及信息安全能力，所投产品生产厂家通过GB/T36073-2018《数据管理能力成熟度评估模型》认定，供货时须提供相关证明材料。</w:t>
            </w:r>
          </w:p>
          <w:p>
            <w:pPr>
              <w:widowControl/>
              <w:spacing w:line="3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4.根据市场需求持续进行软件开发、更新、维护，能出具SPCA软件能力成熟度模型等级3级或以上证书复印件的，供货时须提供相关证明材料。</w:t>
            </w:r>
          </w:p>
          <w:p>
            <w:pPr>
              <w:widowControl/>
              <w:spacing w:line="380" w:lineRule="exact"/>
              <w:jc w:val="left"/>
              <w:rPr>
                <w:rFonts w:asciiTheme="minorEastAsia" w:hAnsiTheme="minorEastAsia" w:eastAsiaTheme="minorEastAsia"/>
                <w:szCs w:val="21"/>
              </w:rPr>
            </w:pPr>
            <w:r>
              <w:rPr>
                <w:rFonts w:hint="eastAsia" w:cs="宋体" w:asciiTheme="minorEastAsia" w:hAnsiTheme="minorEastAsia" w:eastAsiaTheme="minorEastAsia"/>
                <w:color w:val="FF0000"/>
                <w:szCs w:val="21"/>
              </w:rPr>
              <w:t>5.配套正版操作</w:t>
            </w:r>
            <w:r>
              <w:rPr>
                <w:rFonts w:cs="宋体" w:asciiTheme="minorEastAsia" w:hAnsiTheme="minorEastAsia" w:eastAsiaTheme="minorEastAsia"/>
                <w:color w:val="FF0000"/>
                <w:szCs w:val="21"/>
              </w:rPr>
              <w:t>系统、杀毒软件、</w:t>
            </w:r>
            <w:r>
              <w:rPr>
                <w:rFonts w:hint="eastAsia" w:cs="宋体" w:asciiTheme="minorEastAsia" w:hAnsiTheme="minorEastAsia" w:eastAsiaTheme="minorEastAsia"/>
                <w:color w:val="FF0000"/>
                <w:szCs w:val="21"/>
              </w:rPr>
              <w:t>办公</w:t>
            </w:r>
            <w:r>
              <w:rPr>
                <w:rFonts w:hint="eastAsia" w:cs="宋体" w:asciiTheme="minorEastAsia" w:hAnsiTheme="minorEastAsia" w:eastAsiaTheme="minorEastAsia"/>
                <w:color w:val="FF0000"/>
                <w:szCs w:val="21"/>
                <w:lang w:eastAsia="zh-CN"/>
              </w:rPr>
              <w:t>软件</w:t>
            </w:r>
            <w:r>
              <w:rPr>
                <w:rFonts w:hint="eastAsia" w:cs="宋体" w:asciiTheme="minorEastAsia" w:hAnsiTheme="minorEastAsia" w:eastAsiaTheme="minorEastAsia"/>
                <w:color w:val="FF0000"/>
                <w:szCs w:val="21"/>
              </w:rPr>
              <w:t>授权。</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5400</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351000</w:t>
            </w:r>
          </w:p>
        </w:tc>
      </w:tr>
      <w:tr>
        <w:tblPrEx>
          <w:tblCellMar>
            <w:top w:w="0" w:type="dxa"/>
            <w:left w:w="0" w:type="dxa"/>
            <w:bottom w:w="0" w:type="dxa"/>
            <w:right w:w="0" w:type="dxa"/>
          </w:tblCellMar>
        </w:tblPrEx>
        <w:trPr>
          <w:trHeight w:val="570" w:hRule="atLeast"/>
          <w:jc w:val="center"/>
        </w:trPr>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spacing w:line="360" w:lineRule="auto"/>
              <w:jc w:val="center"/>
              <w:rPr>
                <w:rFonts w:cs="宋体" w:asciiTheme="minorEastAsia" w:hAnsiTheme="minorEastAsia" w:eastAsiaTheme="minorEastAsia"/>
                <w:bCs/>
                <w:kern w:val="0"/>
                <w:szCs w:val="21"/>
              </w:rPr>
            </w:pPr>
            <w:r>
              <w:rPr>
                <w:rFonts w:hint="eastAsia" w:asciiTheme="minorEastAsia" w:hAnsiTheme="minorEastAsia" w:eastAsiaTheme="minorEastAsia"/>
                <w:szCs w:val="21"/>
              </w:rPr>
              <w:t>小计</w:t>
            </w:r>
          </w:p>
        </w:tc>
        <w:tc>
          <w:tcPr>
            <w:tcW w:w="7349"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bottom"/>
              <w:rPr>
                <w:rFonts w:cs="宋体" w:asciiTheme="minorEastAsia" w:hAnsiTheme="minorEastAsia" w:eastAsiaTheme="minorEastAsia"/>
                <w:bCs/>
                <w:kern w:val="0"/>
                <w:szCs w:val="21"/>
              </w:rPr>
            </w:pPr>
            <w:r>
              <w:rPr>
                <w:rFonts w:hint="eastAsia" w:asciiTheme="minorEastAsia" w:hAnsiTheme="minorEastAsia" w:eastAsiaTheme="minorEastAsia"/>
                <w:szCs w:val="21"/>
              </w:rPr>
              <w:t>人民币大写：叁拾伍万壹仟元整</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351000</w:t>
            </w:r>
          </w:p>
        </w:tc>
      </w:tr>
      <w:tr>
        <w:tblPrEx>
          <w:tblCellMar>
            <w:top w:w="0" w:type="dxa"/>
            <w:left w:w="0" w:type="dxa"/>
            <w:bottom w:w="0" w:type="dxa"/>
            <w:right w:w="0" w:type="dxa"/>
          </w:tblCellMar>
        </w:tblPrEx>
        <w:trPr>
          <w:trHeight w:val="570" w:hRule="atLeast"/>
          <w:jc w:val="center"/>
        </w:trPr>
        <w:tc>
          <w:tcPr>
            <w:tcW w:w="993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snapToGrid w:val="0"/>
              <w:spacing w:line="240" w:lineRule="atLeast"/>
              <w:jc w:val="left"/>
              <w:rPr>
                <w:rFonts w:asciiTheme="minorEastAsia" w:hAnsiTheme="minorEastAsia" w:eastAsiaTheme="minorEastAsia"/>
                <w:b/>
                <w:szCs w:val="21"/>
              </w:rPr>
            </w:pPr>
            <w:r>
              <w:rPr>
                <w:rFonts w:hint="eastAsia" w:asciiTheme="minorEastAsia" w:hAnsiTheme="minorEastAsia" w:eastAsiaTheme="minorEastAsia"/>
                <w:b/>
                <w:szCs w:val="21"/>
              </w:rPr>
              <w:t>三、学生电脑教室专用设备</w:t>
            </w:r>
          </w:p>
        </w:tc>
      </w:tr>
      <w:tr>
        <w:tblPrEx>
          <w:tblCellMar>
            <w:top w:w="0" w:type="dxa"/>
            <w:left w:w="0" w:type="dxa"/>
            <w:bottom w:w="0" w:type="dxa"/>
            <w:right w:w="0" w:type="dxa"/>
          </w:tblCellMar>
        </w:tblPrEx>
        <w:trPr>
          <w:trHeight w:val="570" w:hRule="atLeast"/>
          <w:jc w:val="center"/>
        </w:trPr>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snapToGrid w:val="0"/>
              <w:spacing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学生</w:t>
            </w:r>
          </w:p>
          <w:p>
            <w:pPr>
              <w:pStyle w:val="7"/>
              <w:snapToGrid w:val="0"/>
              <w:spacing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台式计算机</w:t>
            </w:r>
          </w:p>
          <w:p>
            <w:pPr>
              <w:pStyle w:val="7"/>
              <w:snapToGrid w:val="0"/>
              <w:spacing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希沃 型号：DZ0826-0067（含M223A显示器）</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台</w:t>
            </w:r>
          </w:p>
        </w:tc>
        <w:tc>
          <w:tcPr>
            <w:tcW w:w="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60</w:t>
            </w:r>
          </w:p>
        </w:tc>
        <w:tc>
          <w:tcPr>
            <w:tcW w:w="5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Style w:val="23"/>
                <w:rFonts w:asciiTheme="majorEastAsia" w:hAnsiTheme="majorEastAsia" w:eastAsiaTheme="majorEastAsia" w:cstheme="majorEastAsia"/>
                <w:sz w:val="21"/>
                <w:szCs w:val="21"/>
                <w:lang w:bidi="ar"/>
              </w:rPr>
              <w:t>一、硬件设计：</w:t>
            </w:r>
            <w:r>
              <w:rPr>
                <w:rStyle w:val="23"/>
                <w:rFonts w:asciiTheme="majorEastAsia" w:hAnsiTheme="majorEastAsia" w:eastAsiaTheme="majorEastAsia" w:cstheme="majorEastAsia"/>
                <w:sz w:val="21"/>
                <w:szCs w:val="21"/>
                <w:lang w:bidi="ar"/>
              </w:rPr>
              <w:br w:type="textWrapping"/>
            </w:r>
            <w:r>
              <w:rPr>
                <w:rStyle w:val="23"/>
                <w:rFonts w:asciiTheme="majorEastAsia" w:hAnsiTheme="majorEastAsia" w:eastAsiaTheme="majorEastAsia" w:cstheme="majorEastAsia"/>
                <w:sz w:val="21"/>
                <w:szCs w:val="21"/>
                <w:lang w:bidi="ar"/>
              </w:rPr>
              <w:t>1.CPU：</w:t>
            </w:r>
            <w:r>
              <w:rPr>
                <w:rStyle w:val="24"/>
                <w:rFonts w:hint="eastAsia" w:asciiTheme="majorEastAsia" w:hAnsiTheme="majorEastAsia" w:eastAsiaTheme="majorEastAsia" w:cstheme="majorEastAsia"/>
                <w:sz w:val="21"/>
                <w:szCs w:val="21"/>
                <w:lang w:bidi="ar"/>
              </w:rPr>
              <w:t>采用兆芯KX-U6780A芯片;主频≥2.7GHz 、≥8核处理器8线程，二级缓存≥8MB。</w:t>
            </w:r>
            <w:r>
              <w:rPr>
                <w:rStyle w:val="24"/>
                <w:rFonts w:hint="eastAsia" w:asciiTheme="majorEastAsia" w:hAnsiTheme="majorEastAsia" w:eastAsiaTheme="majorEastAsia" w:cstheme="majorEastAsia"/>
                <w:sz w:val="21"/>
                <w:szCs w:val="21"/>
                <w:lang w:bidi="ar"/>
              </w:rPr>
              <w:br w:type="textWrapping"/>
            </w:r>
            <w:r>
              <w:rPr>
                <w:rStyle w:val="24"/>
                <w:rFonts w:hint="eastAsia" w:asciiTheme="majorEastAsia" w:hAnsiTheme="majorEastAsia" w:eastAsiaTheme="majorEastAsia" w:cstheme="majorEastAsia"/>
                <w:sz w:val="21"/>
                <w:szCs w:val="21"/>
                <w:lang w:bidi="ar"/>
              </w:rPr>
              <w:t>2.主板：ZX200芯片组或以上。</w:t>
            </w:r>
            <w:r>
              <w:rPr>
                <w:rStyle w:val="24"/>
                <w:rFonts w:hint="eastAsia" w:asciiTheme="majorEastAsia" w:hAnsiTheme="majorEastAsia" w:eastAsiaTheme="majorEastAsia" w:cstheme="majorEastAsia"/>
                <w:sz w:val="21"/>
                <w:szCs w:val="21"/>
                <w:lang w:bidi="ar"/>
              </w:rPr>
              <w:br w:type="textWrapping"/>
            </w:r>
            <w:r>
              <w:rPr>
                <w:rStyle w:val="24"/>
                <w:rFonts w:hint="eastAsia" w:asciiTheme="majorEastAsia" w:hAnsiTheme="majorEastAsia" w:eastAsiaTheme="majorEastAsia" w:cstheme="majorEastAsia"/>
                <w:sz w:val="21"/>
                <w:szCs w:val="21"/>
                <w:lang w:bidi="ar"/>
              </w:rPr>
              <w:t>3.内存：2*8 GB DDR4 2666MT/s 内存或以上。最大可支持拓展64GB。</w:t>
            </w:r>
            <w:r>
              <w:rPr>
                <w:rStyle w:val="24"/>
                <w:rFonts w:hint="eastAsia" w:asciiTheme="majorEastAsia" w:hAnsiTheme="majorEastAsia" w:eastAsiaTheme="majorEastAsia" w:cstheme="majorEastAsia"/>
                <w:sz w:val="21"/>
                <w:szCs w:val="21"/>
                <w:lang w:bidi="ar"/>
              </w:rPr>
              <w:br w:type="textWrapping"/>
            </w:r>
            <w:r>
              <w:rPr>
                <w:rStyle w:val="24"/>
                <w:rFonts w:hint="eastAsia" w:asciiTheme="majorEastAsia" w:hAnsiTheme="majorEastAsia" w:eastAsiaTheme="majorEastAsia" w:cstheme="majorEastAsia"/>
                <w:sz w:val="21"/>
                <w:szCs w:val="21"/>
                <w:lang w:bidi="ar"/>
              </w:rPr>
              <w:t>4.硬盘：≥</w:t>
            </w:r>
            <w:r>
              <w:rPr>
                <w:rStyle w:val="25"/>
                <w:rFonts w:asciiTheme="majorEastAsia" w:hAnsiTheme="majorEastAsia" w:eastAsiaTheme="majorEastAsia" w:cstheme="majorEastAsia"/>
                <w:sz w:val="21"/>
                <w:szCs w:val="21"/>
                <w:lang w:bidi="ar"/>
              </w:rPr>
              <w:t>512</w:t>
            </w:r>
            <w:r>
              <w:rPr>
                <w:rStyle w:val="23"/>
                <w:rFonts w:asciiTheme="majorEastAsia" w:hAnsiTheme="majorEastAsia" w:eastAsiaTheme="majorEastAsia" w:cstheme="majorEastAsia"/>
                <w:sz w:val="21"/>
                <w:szCs w:val="21"/>
                <w:lang w:bidi="ar"/>
              </w:rPr>
              <w:t xml:space="preserve"> </w:t>
            </w:r>
            <w:r>
              <w:rPr>
                <w:rStyle w:val="24"/>
                <w:rFonts w:hint="eastAsia" w:asciiTheme="majorEastAsia" w:hAnsiTheme="majorEastAsia" w:eastAsiaTheme="majorEastAsia" w:cstheme="majorEastAsia"/>
                <w:sz w:val="21"/>
                <w:szCs w:val="21"/>
                <w:lang w:bidi="ar"/>
              </w:rPr>
              <w:t>GB M.2 NVMe SSD硬盘，支持机械硬盘拓展。</w:t>
            </w:r>
            <w:r>
              <w:rPr>
                <w:rStyle w:val="24"/>
                <w:rFonts w:hint="eastAsia" w:asciiTheme="majorEastAsia" w:hAnsiTheme="majorEastAsia" w:eastAsiaTheme="majorEastAsia" w:cstheme="majorEastAsia"/>
                <w:sz w:val="21"/>
                <w:szCs w:val="21"/>
                <w:lang w:bidi="ar"/>
              </w:rPr>
              <w:br w:type="textWrapping"/>
            </w:r>
            <w:r>
              <w:rPr>
                <w:rStyle w:val="24"/>
                <w:rFonts w:hint="eastAsia" w:asciiTheme="majorEastAsia" w:hAnsiTheme="majorEastAsia" w:eastAsiaTheme="majorEastAsia" w:cstheme="majorEastAsia"/>
                <w:sz w:val="21"/>
                <w:szCs w:val="21"/>
                <w:lang w:bidi="ar"/>
              </w:rPr>
              <w:t>5.支持拓展9.5mm标准光驱。</w:t>
            </w:r>
            <w:r>
              <w:rPr>
                <w:rStyle w:val="24"/>
                <w:rFonts w:hint="eastAsia" w:asciiTheme="majorEastAsia" w:hAnsiTheme="majorEastAsia" w:eastAsiaTheme="majorEastAsia" w:cstheme="majorEastAsia"/>
                <w:sz w:val="21"/>
                <w:szCs w:val="21"/>
                <w:lang w:bidi="ar"/>
              </w:rPr>
              <w:br w:type="textWrapping"/>
            </w:r>
            <w:r>
              <w:rPr>
                <w:rStyle w:val="24"/>
                <w:rFonts w:hint="eastAsia" w:asciiTheme="majorEastAsia" w:hAnsiTheme="majorEastAsia" w:eastAsiaTheme="majorEastAsia" w:cstheme="majorEastAsia"/>
                <w:sz w:val="21"/>
                <w:szCs w:val="21"/>
                <w:lang w:bidi="ar"/>
              </w:rPr>
              <w:t>6.支持1000Mbps。网口支持wake on LAN。</w:t>
            </w:r>
            <w:r>
              <w:rPr>
                <w:rStyle w:val="24"/>
                <w:rFonts w:hint="eastAsia" w:asciiTheme="majorEastAsia" w:hAnsiTheme="majorEastAsia" w:eastAsiaTheme="majorEastAsia" w:cstheme="majorEastAsia"/>
                <w:sz w:val="21"/>
                <w:szCs w:val="21"/>
                <w:lang w:bidi="ar"/>
              </w:rPr>
              <w:br w:type="textWrapping"/>
            </w:r>
            <w:r>
              <w:rPr>
                <w:rStyle w:val="24"/>
                <w:rFonts w:hint="eastAsia" w:asciiTheme="majorEastAsia" w:hAnsiTheme="majorEastAsia" w:eastAsiaTheme="majorEastAsia" w:cstheme="majorEastAsia"/>
                <w:sz w:val="21"/>
                <w:szCs w:val="21"/>
                <w:lang w:bidi="ar"/>
              </w:rPr>
              <w:t>7.集成标准声卡。</w:t>
            </w:r>
            <w:r>
              <w:rPr>
                <w:rStyle w:val="24"/>
                <w:rFonts w:hint="eastAsia" w:asciiTheme="majorEastAsia" w:hAnsiTheme="majorEastAsia" w:eastAsiaTheme="majorEastAsia" w:cstheme="majorEastAsia"/>
                <w:sz w:val="21"/>
                <w:szCs w:val="21"/>
                <w:lang w:bidi="ar"/>
              </w:rPr>
              <w:br w:type="textWrapping"/>
            </w:r>
            <w:r>
              <w:rPr>
                <w:rStyle w:val="24"/>
                <w:rFonts w:hint="eastAsia" w:asciiTheme="majorEastAsia" w:hAnsiTheme="majorEastAsia" w:eastAsiaTheme="majorEastAsia" w:cstheme="majorEastAsia"/>
                <w:sz w:val="21"/>
                <w:szCs w:val="21"/>
                <w:lang w:bidi="ar"/>
              </w:rPr>
              <w:t>8.USB有线键盘、鼠标。</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9.前置面板：USB3.0≥3个；TypeC≥1个；音频接口≥1个（支持耳机麦克风二合一）</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10.支持物理网络开关按键。</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11.≥3前置USB端口支持在关机状态下对外供电。</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12.后置面板：USB3.0≥4个；HDMI输出≥1个；VGA输出≥1个；音频输入≥2个；音频输出≥1个；RJ45≥1个；PS/2≥2个；串口≥1个。</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13.显卡：集成显卡。</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14.内部插槽：PCIEX16≥1个（支持拓展独立显卡）；PCIEX8≥2个；M.2≥2个；SATA≥4个。</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15.机箱体积：≤8L。</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16.电源功率：≤200W。</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二、配套显示器：</w:t>
            </w:r>
            <w:r>
              <w:rPr>
                <w:rStyle w:val="27"/>
                <w:rFonts w:asciiTheme="majorEastAsia" w:hAnsiTheme="majorEastAsia" w:eastAsiaTheme="majorEastAsia" w:cstheme="majorEastAsia"/>
                <w:sz w:val="21"/>
                <w:szCs w:val="21"/>
                <w:lang w:bidi="ar"/>
              </w:rPr>
              <w:br w:type="textWrapping"/>
            </w:r>
            <w:r>
              <w:rPr>
                <w:rStyle w:val="27"/>
                <w:rFonts w:asciiTheme="majorEastAsia" w:hAnsiTheme="majorEastAsia" w:eastAsiaTheme="majorEastAsia" w:cstheme="majorEastAsia"/>
                <w:sz w:val="21"/>
                <w:szCs w:val="21"/>
                <w:lang w:bidi="ar"/>
              </w:rPr>
              <w:t>1.显示屏≥21.5英寸显示屏幕，分辨率≥1920*1080。</w:t>
            </w:r>
            <w:r>
              <w:rPr>
                <w:rStyle w:val="27"/>
                <w:rFonts w:asciiTheme="majorEastAsia" w:hAnsiTheme="majorEastAsia" w:eastAsiaTheme="majorEastAsia" w:cstheme="majorEastAsia"/>
                <w:sz w:val="21"/>
                <w:szCs w:val="21"/>
                <w:lang w:bidi="ar"/>
              </w:rPr>
              <w:br w:type="textWrapping"/>
            </w:r>
            <w:r>
              <w:rPr>
                <w:rStyle w:val="27"/>
                <w:rFonts w:asciiTheme="majorEastAsia" w:hAnsiTheme="majorEastAsia" w:eastAsiaTheme="majorEastAsia" w:cstheme="majorEastAsia"/>
                <w:sz w:val="21"/>
                <w:szCs w:val="21"/>
                <w:lang w:bidi="ar"/>
              </w:rPr>
              <w:t>★2.屏幕亮度≥250nit，VA屏</w:t>
            </w:r>
            <w:r>
              <w:rPr>
                <w:rStyle w:val="27"/>
                <w:rFonts w:asciiTheme="majorEastAsia" w:hAnsiTheme="majorEastAsia" w:eastAsiaTheme="majorEastAsia" w:cstheme="majorEastAsia"/>
                <w:sz w:val="21"/>
                <w:szCs w:val="21"/>
                <w:lang w:bidi="ar"/>
              </w:rPr>
              <w:br w:type="textWrapping"/>
            </w:r>
            <w:r>
              <w:rPr>
                <w:rStyle w:val="27"/>
                <w:rFonts w:asciiTheme="majorEastAsia" w:hAnsiTheme="majorEastAsia" w:eastAsiaTheme="majorEastAsia" w:cstheme="majorEastAsia"/>
                <w:sz w:val="21"/>
                <w:szCs w:val="21"/>
                <w:lang w:bidi="ar"/>
              </w:rPr>
              <w:t>3.支持VGA≥1，HDMI≥1。</w:t>
            </w:r>
            <w:r>
              <w:rPr>
                <w:rStyle w:val="27"/>
                <w:rFonts w:asciiTheme="majorEastAsia" w:hAnsiTheme="majorEastAsia" w:eastAsiaTheme="majorEastAsia" w:cstheme="majorEastAsia"/>
                <w:sz w:val="21"/>
                <w:szCs w:val="21"/>
                <w:lang w:bidi="ar"/>
              </w:rPr>
              <w:br w:type="textWrapping"/>
            </w:r>
            <w:r>
              <w:rPr>
                <w:rStyle w:val="27"/>
                <w:rFonts w:asciiTheme="majorEastAsia" w:hAnsiTheme="majorEastAsia" w:eastAsiaTheme="majorEastAsia" w:cstheme="majorEastAsia"/>
                <w:sz w:val="21"/>
                <w:szCs w:val="21"/>
                <w:lang w:bidi="ar"/>
              </w:rPr>
              <w:t>★4.为保证屏幕色彩显示真实度，显示屏幕DCI-P3色域覆盖率≥ 90%。</w:t>
            </w:r>
            <w:r>
              <w:rPr>
                <w:rStyle w:val="27"/>
                <w:rFonts w:asciiTheme="majorEastAsia" w:hAnsiTheme="majorEastAsia" w:eastAsiaTheme="majorEastAsia" w:cstheme="majorEastAsia"/>
                <w:sz w:val="21"/>
                <w:szCs w:val="21"/>
                <w:lang w:bidi="ar"/>
              </w:rPr>
              <w:br w:type="textWrapping"/>
            </w:r>
            <w:r>
              <w:rPr>
                <w:rStyle w:val="27"/>
                <w:rFonts w:asciiTheme="majorEastAsia" w:hAnsiTheme="majorEastAsia" w:eastAsiaTheme="majorEastAsia" w:cstheme="majorEastAsia"/>
                <w:sz w:val="21"/>
                <w:szCs w:val="21"/>
                <w:lang w:bidi="ar"/>
              </w:rPr>
              <w:t>5.对比度达到3000:1，屏幕刷新率达到75Hz，响应时间≤7ms，可视角度178/178</w:t>
            </w:r>
            <w:r>
              <w:rPr>
                <w:rStyle w:val="27"/>
                <w:rFonts w:asciiTheme="majorEastAsia" w:hAnsiTheme="majorEastAsia" w:eastAsiaTheme="majorEastAsia" w:cstheme="majorEastAsia"/>
                <w:sz w:val="21"/>
                <w:szCs w:val="21"/>
                <w:lang w:bidi="ar"/>
              </w:rPr>
              <w:br w:type="textWrapping"/>
            </w:r>
            <w:r>
              <w:rPr>
                <w:rStyle w:val="27"/>
                <w:rFonts w:asciiTheme="majorEastAsia" w:hAnsiTheme="majorEastAsia" w:eastAsiaTheme="majorEastAsia" w:cstheme="majorEastAsia"/>
                <w:sz w:val="21"/>
                <w:szCs w:val="21"/>
                <w:lang w:bidi="ar"/>
              </w:rPr>
              <w:t>6.电源能效转换效率≥86%</w:t>
            </w:r>
            <w:r>
              <w:rPr>
                <w:rStyle w:val="27"/>
                <w:rFonts w:asciiTheme="majorEastAsia" w:hAnsiTheme="majorEastAsia" w:eastAsiaTheme="majorEastAsia" w:cstheme="majorEastAsia"/>
                <w:sz w:val="21"/>
                <w:szCs w:val="21"/>
                <w:lang w:bidi="ar"/>
              </w:rPr>
              <w:br w:type="textWrapping"/>
            </w:r>
            <w:r>
              <w:rPr>
                <w:rStyle w:val="27"/>
                <w:rFonts w:asciiTheme="majorEastAsia" w:hAnsiTheme="majorEastAsia" w:eastAsiaTheme="majorEastAsia" w:cstheme="majorEastAsia"/>
                <w:sz w:val="21"/>
                <w:szCs w:val="21"/>
                <w:lang w:bidi="ar"/>
              </w:rPr>
              <w:t>★7.显示屏具备标准模式和炫彩模式选项。（投标时须提供国家认可的第三方检测机构出具的关于该功能的检测报告复印件）</w:t>
            </w:r>
            <w:r>
              <w:rPr>
                <w:rStyle w:val="27"/>
                <w:rFonts w:asciiTheme="majorEastAsia" w:hAnsiTheme="majorEastAsia" w:eastAsiaTheme="majorEastAsia" w:cstheme="majorEastAsia"/>
                <w:sz w:val="21"/>
                <w:szCs w:val="21"/>
                <w:lang w:bidi="ar"/>
              </w:rPr>
              <w:br w:type="textWrapping"/>
            </w:r>
            <w:r>
              <w:rPr>
                <w:rStyle w:val="27"/>
                <w:rFonts w:asciiTheme="majorEastAsia" w:hAnsiTheme="majorEastAsia" w:eastAsiaTheme="majorEastAsia" w:cstheme="majorEastAsia"/>
                <w:sz w:val="21"/>
                <w:szCs w:val="21"/>
                <w:lang w:bidi="ar"/>
              </w:rPr>
              <w:t>★8.显示屏幕具备护眼模式，护眼模式下，蓝光比例≤20%。（投标时须提供国家认可的第三方检测机构出具的关于该功能的检测报告复印件）</w:t>
            </w:r>
            <w:r>
              <w:rPr>
                <w:rStyle w:val="27"/>
                <w:rFonts w:asciiTheme="majorEastAsia" w:hAnsiTheme="majorEastAsia" w:eastAsiaTheme="majorEastAsia" w:cstheme="majorEastAsia"/>
                <w:sz w:val="21"/>
                <w:szCs w:val="21"/>
                <w:lang w:bidi="ar"/>
              </w:rPr>
              <w:br w:type="textWrapping"/>
            </w:r>
            <w:r>
              <w:rPr>
                <w:rStyle w:val="27"/>
                <w:rFonts w:asciiTheme="majorEastAsia" w:hAnsiTheme="majorEastAsia" w:eastAsiaTheme="majorEastAsia" w:cstheme="majorEastAsia"/>
                <w:sz w:val="21"/>
                <w:szCs w:val="21"/>
                <w:lang w:bidi="ar"/>
              </w:rPr>
              <w:t>9.显示器提供阅读模式，为长时间阅读提供舒适的用眼体验。</w:t>
            </w:r>
            <w:r>
              <w:rPr>
                <w:rStyle w:val="27"/>
                <w:rFonts w:asciiTheme="majorEastAsia" w:hAnsiTheme="majorEastAsia" w:eastAsiaTheme="majorEastAsia" w:cstheme="majorEastAsia"/>
                <w:sz w:val="21"/>
                <w:szCs w:val="21"/>
                <w:lang w:bidi="ar"/>
              </w:rPr>
              <w:br w:type="textWrapping"/>
            </w:r>
            <w:r>
              <w:rPr>
                <w:rStyle w:val="27"/>
                <w:rFonts w:asciiTheme="majorEastAsia" w:hAnsiTheme="majorEastAsia" w:eastAsiaTheme="majorEastAsia" w:cstheme="majorEastAsia"/>
                <w:sz w:val="21"/>
                <w:szCs w:val="21"/>
                <w:lang w:bidi="ar"/>
              </w:rPr>
              <w:t>10.显示屏幕采用窄边设计，上左右边框≤3.6mm，下边框≤16.5mm，屏占比≥89%。</w:t>
            </w:r>
            <w:r>
              <w:rPr>
                <w:rStyle w:val="27"/>
                <w:rFonts w:asciiTheme="majorEastAsia" w:hAnsiTheme="majorEastAsia" w:eastAsiaTheme="majorEastAsia" w:cstheme="majorEastAsia"/>
                <w:sz w:val="21"/>
                <w:szCs w:val="21"/>
                <w:lang w:bidi="ar"/>
              </w:rPr>
              <w:br w:type="textWrapping"/>
            </w:r>
            <w:r>
              <w:rPr>
                <w:rStyle w:val="27"/>
                <w:rFonts w:asciiTheme="majorEastAsia" w:hAnsiTheme="majorEastAsia" w:eastAsiaTheme="majorEastAsia" w:cstheme="majorEastAsia"/>
                <w:sz w:val="21"/>
                <w:szCs w:val="21"/>
                <w:lang w:bidi="ar"/>
              </w:rPr>
              <w:t>11.为保护教师、学生视力健康，硬件具备硬件低蓝光，获得TUV硬件低蓝光认证。</w:t>
            </w:r>
            <w:r>
              <w:rPr>
                <w:rStyle w:val="27"/>
                <w:rFonts w:asciiTheme="majorEastAsia" w:hAnsiTheme="majorEastAsia" w:eastAsiaTheme="majorEastAsia" w:cstheme="majorEastAsia"/>
                <w:sz w:val="21"/>
                <w:szCs w:val="21"/>
                <w:lang w:bidi="ar"/>
              </w:rPr>
              <w:br w:type="textWrapping"/>
            </w:r>
            <w:r>
              <w:rPr>
                <w:rStyle w:val="27"/>
                <w:rFonts w:asciiTheme="majorEastAsia" w:hAnsiTheme="majorEastAsia" w:eastAsiaTheme="majorEastAsia" w:cstheme="majorEastAsia"/>
                <w:sz w:val="21"/>
                <w:szCs w:val="21"/>
                <w:lang w:bidi="ar"/>
              </w:rPr>
              <w:t>12.为保护教师、学生视力健康，硬件具备无频闪，获得TUV无频闪认证。</w:t>
            </w:r>
            <w:r>
              <w:rPr>
                <w:rStyle w:val="27"/>
                <w:rFonts w:asciiTheme="majorEastAsia" w:hAnsiTheme="majorEastAsia" w:eastAsiaTheme="majorEastAsia" w:cstheme="majorEastAsia"/>
                <w:sz w:val="21"/>
                <w:szCs w:val="21"/>
                <w:lang w:bidi="ar"/>
              </w:rPr>
              <w:br w:type="textWrapping"/>
            </w:r>
            <w:r>
              <w:rPr>
                <w:rStyle w:val="27"/>
                <w:rFonts w:asciiTheme="majorEastAsia" w:hAnsiTheme="majorEastAsia" w:eastAsiaTheme="majorEastAsia" w:cstheme="majorEastAsia"/>
                <w:sz w:val="21"/>
                <w:szCs w:val="21"/>
                <w:lang w:bidi="ar"/>
              </w:rPr>
              <w:t>13.为保证兼容性，显示器与教学主机保持同一品牌。</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三、配套云平台设计：</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（一）系统设计</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1.部署的终端设备采用一体化设计，减少灰尘积累与接触不良的干扰。</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★2.在配置管理平台使用终端设备时，支持多种身份识别方式，支持通过账号登录、手机扫码登录、无账号访客登录。</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3.支持断网使用，即在终端设备网络中断或管理平台连接中断时，正在操作的教学业务不受影响，依然可使用当前云桌面镜像继续开展业务，打开的程序也不会中断，保障业务连续性。</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4.账号互通：终端设备配置管理平台后，支持统一互通的用户身份认证服务，账号登录进入云桌面镜像后，打开教学白板软件、学生行为评价软件的教学应用工具时无需再次输入账号密码重复登录。（投标时须提供国家认可的第三方检测机构出具的关于该功能检测报告复印件）</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5.支持终端设备运行时无需运行独立的虚拟化系统，终端设备配置的IP与进入云桌面镜像后的IP能够保持一致，同一个终端无需使用多个IP，简化运维管理与网络规划复杂度。</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6.支持在终端设备部署多个云桌面镜像切换使用，支持Windows、UOS、KylinOS、Ubuntu等桌面操作系统的云桌面镜像支持国产化操作系统的使用，包括但不限于UOS、银河麒麟。</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7.支持在无法进入操作系统的情况下，快速恢复操作系统的使用，无需依赖网络、服务器、以及还原类软件。</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8.支持包括Windows、统信、麒麟云桌面镜像，在对应云桌面镜像系统中查看设备的CPU型号、GPU型号、系统型号、BIOS版本等系统信息显示与终端物理设备一致。</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9.支持配置传统模式，关闭传统模式时，终端启动默认进入云电脑系统，终端存在多个系统基础镜像时可以进行系统切换使用；开启传统模式时，终端启动默认进入系统基础镜像，与传统桌面使用一致；管理员可以对传统模式的开关进行管理，普通使用者可在桌面内临时重启到云电脑系统进行桌面切换。</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（二）管理平台设计</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1. 管理平台采用B/S架构，中文图形化操作界面；无需本地额外部署服务器等设备，通过浏览器打开即可运维管理云桌面终端设备，支持手机扫码登录/账号密码登录完成鉴权。</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★2. 具备基于广域网统一纳管多分支机构云桌面的能力，支持三层网络、多校区等复杂网络环境安装。（投标时须提供国家认可的第三方检测机构出具的关于该功能检测报告复印件）</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3. 基于Web浏览器，提供用户统一登录认证功能，包括：手机号码注册、登录、忘记密码、扫码登录、账号管理功能。</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4.支持PC终端设备与云桌面终端设备统一管理，支持在同一个设备分组中添加不同类型的PC和云桌面设备，并支持对选择的PC和云桌面设备的批量操作。</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5.支持查看全部设备和分组下设备的运行状态，包括CPU、内存、磁盘的使用率，CPU温度，实时上下行网速与上下行网络流量。</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6.硬件资产管理：收集平台中所有云桌面终端和PC终端的硬件配置与状态信息，包括终端名称、主板型号、CPU型号、内存容量、最近运行时间、硬盘信息等。</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7. 支持终端发现，无需安装插件或程序，仅通过浏览器即可扫描局域网内可访问互联网的终端设备进行批量配置，包括关联学校、关联分组、设置名称、配置网络。</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★8. 支持增强终端发现，安装插件后通过浏览器即可扫描局域网内不可访问互联网的终端设备进行批量配置，包括关联学校、关联分组、设置名称、配置网络。（投标时须提供国家认可的第三方检测机构出具的关于该功能检测报告复印件）</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9.支持远程管理终端设备，通过管理平台进行开机、关机、重启、还原、初始化、删除、配置更改、硬件信息查看、桌面运行状态查看等。</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10.支持终端设备分组管理，支持按照楼栋、楼层、教室、小组等范围进行终端分组划分管理，支持在终端组中添加不同型号的终端设备，支持为终端组添加不同的云桌面镜像，统一管理多台终端；同时能够实现对独立分组中的教师终端分别进行配置和管理。</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11.支持终端设备分组管理，支持在终端组中添加不同型号的终端设备，支持为分组启用座位编号管理。</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12.支持批量修改计算机名、IP地址；支持对使用Windows系统的终端，统一设置群组的计算机名，也支持单独设置群组内某一终端的计算机名。</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13.支持终端批量配置，通过管理平台批量修改终端设备的所属组织（学校、校区、租户等）、设备名称、网络IP、时间自动同步等设置，无需逐台配置。（投标时须提供国家认可的第三方检测机构出具的关于该功能检测报告复印件）</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14.支持日志信息管理，对终端、镜像等操作信息进行汇总，方便对常见问题的判断追查；支持保留桌面下发记录，包括终端名称，镜像名称，状态等信息。</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15.单个终端可同时支持访客桌面和登录桌面两种使用方式，访客桌面开机无需账号直接进入桌面，满足学生上课使用；登录桌面开机须输入账号密码进入桌面，便于个性化实验或教师办公使用；管理台可控制允许终端进入的桌面类型，包括仅使用访客桌面，仅使用登录桌面，混合登录三种方式。（投标时须提供国家认可的第三方检测机构出具的关于该功能检测报告复印件）</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16.支持通过账号登录、手机扫码登录、无账号访客登录启动的云桌面镜像均可访问公共数据分区（D盘）。</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17.支持终端云桌面系统升级，开启自动升级后，终端自动下载最新的终端版本并升级安装</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18.可由管理平台指定启动镜像且多个镜像系统环境可快速切换。</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19.支持远程还原终端设备，在终端设备在云桌面镜像系统无法启动、系统异常时，可远程操作系统恢复；同时可选清空终端设备的公共数据分区（D盘）的数据。</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20.支持配置终端设备的使用方式统一配置，可配置成开机自动启动云桌面镜像或进入云桌面系统。</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21.支持配置终端设备使用鉴权方式统一配置，可配置成仅使用无账号登录、仅使用有账号登录、同时启用两种登录方式，支持同时配置不同登录方式的还原设置。（投标时须提供国家认可的第三方检测机构出具的关于该功能检测报告复印件）</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22.支持分别配置无账号登录、有账号登录方式的还原模式，开启还原后终端设备的云桌面镜像系统的使用记录与数据将不被保留。</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23.支持策略生命周期管理，包括新建、删除、启用、停用。</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24.支持设备计划关机，支持按照全部设备、指定分组、指定设备，设置终端关机操作，并可设置某时间单次执行或周期循环执行。</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25.支持一键打开管理平台的帮助手册。</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26.提供组织管理员管理功能，包括：管理员添加、移除和转移，同时支持设置管理员的管理权限，包括：组织管理，系统管理员管理，角色权限，工作台配置，应用管理，区域语言和操作日志。</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27. 教职工管理：支持管理员手动添加教职工，教职工信息包括：教工号，姓名，手机号码，角色，管理范围；添加方式包括：Excel批量导入，批量复制，手动添加；支持导出，查询，删除教职工；教职工支持设置部门组织架构，支持多级组织架构，支持在组织架构节点上导入用户。</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四、品质及服务：</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★1.为了保障设备品质及服务，设备生产厂家须通过以下认证，符合GB/T 27922-2011售后服务评价体系标准，不低于十星级售后服务认证，供货时须提供相关证明材料。</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★2.三年保修免费上门，可选2小时电话响应，第二日上门，365天全年无休。为保证设备的品质和服务，供货时需提供设备生产厂家针对此项目的售后服务承诺函原件；</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★3.为了确保教育数据托付管理能力、存储能力及信息安全能力，所投产品生产厂家通过GB/T36073-2018《数据管理能力成熟度评估模型》认定，供货时须提供相关证明材料。</w:t>
            </w:r>
            <w:r>
              <w:rPr>
                <w:rStyle w:val="26"/>
                <w:rFonts w:hint="eastAsia" w:asciiTheme="majorEastAsia" w:hAnsiTheme="majorEastAsia" w:eastAsiaTheme="majorEastAsia" w:cstheme="majorEastAsia"/>
                <w:sz w:val="21"/>
                <w:szCs w:val="21"/>
                <w:lang w:bidi="ar"/>
              </w:rPr>
              <w:br w:type="textWrapping"/>
            </w:r>
            <w:r>
              <w:rPr>
                <w:rStyle w:val="26"/>
                <w:rFonts w:hint="eastAsia" w:asciiTheme="majorEastAsia" w:hAnsiTheme="majorEastAsia" w:eastAsiaTheme="majorEastAsia" w:cstheme="majorEastAsia"/>
                <w:sz w:val="21"/>
                <w:szCs w:val="21"/>
                <w:lang w:bidi="ar"/>
              </w:rPr>
              <w:t>★4.根据市场需求持续进行软件开发、更新、维护，能出具SPCA软件能力成熟度模型等级3级或以上证书复印件的，供货时须提供相关证明材料。</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7"/>
              <w:snapToGrid w:val="0"/>
              <w:spacing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5000</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7"/>
              <w:snapToGrid w:val="0"/>
              <w:spacing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300000</w:t>
            </w:r>
          </w:p>
        </w:tc>
      </w:tr>
      <w:tr>
        <w:tblPrEx>
          <w:tblCellMar>
            <w:top w:w="0" w:type="dxa"/>
            <w:left w:w="0" w:type="dxa"/>
            <w:bottom w:w="0" w:type="dxa"/>
            <w:right w:w="0" w:type="dxa"/>
          </w:tblCellMar>
        </w:tblPrEx>
        <w:trPr>
          <w:trHeight w:val="570" w:hRule="atLeast"/>
          <w:jc w:val="center"/>
        </w:trPr>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snapToGrid w:val="0"/>
              <w:spacing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教师</w:t>
            </w:r>
          </w:p>
          <w:p>
            <w:pPr>
              <w:pStyle w:val="7"/>
              <w:snapToGrid w:val="0"/>
              <w:spacing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台式计算机</w:t>
            </w:r>
          </w:p>
          <w:p>
            <w:pPr>
              <w:pStyle w:val="3"/>
              <w:numPr>
                <w:ilvl w:val="0"/>
                <w:numId w:val="0"/>
              </w:numPr>
              <w:rPr>
                <w:color w:val="FF0000"/>
                <w:lang w:val="en-US"/>
              </w:rPr>
            </w:pPr>
            <w:r>
              <w:rPr>
                <w:rFonts w:hint="eastAsia" w:asciiTheme="minorEastAsia" w:hAnsiTheme="minorEastAsia" w:eastAsiaTheme="minorEastAsia"/>
                <w:b w:val="0"/>
                <w:bCs w:val="0"/>
                <w:sz w:val="21"/>
                <w:szCs w:val="21"/>
                <w:lang w:val="en-US"/>
              </w:rPr>
              <w:t>希沃品牌：希沃，型号DZ0826-0067（含M243A显示器）</w:t>
            </w:r>
          </w:p>
          <w:p>
            <w:pPr>
              <w:pStyle w:val="7"/>
              <w:snapToGrid w:val="0"/>
              <w:spacing w:line="240" w:lineRule="atLeast"/>
              <w:jc w:val="center"/>
              <w:rPr>
                <w:rFonts w:asciiTheme="minorEastAsia" w:hAnsiTheme="minorEastAsia" w:eastAsiaTheme="minorEastAsia"/>
                <w:szCs w:val="21"/>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pStyle w:val="7"/>
              <w:snapToGrid w:val="0"/>
              <w:spacing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台</w:t>
            </w:r>
          </w:p>
        </w:tc>
        <w:tc>
          <w:tcPr>
            <w:tcW w:w="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pStyle w:val="7"/>
              <w:snapToGrid w:val="0"/>
              <w:spacing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5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一、硬件设计：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1.CPU：采用兆芯KX-U6780A芯片;主频≥2.7GHz 、≥8核处理器8线程，二级缓存≥8MB。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2.主板：ZX200芯片组或以上。</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3.内存：2*8GB DDR4 2666MT/s 内存或以上。最大可支持拓展64GB。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4.硬盘：≥512GB M.2 NVMe SSD硬盘，支持机械硬盘拓展。</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5.支持拓展9.5mm标准光驱。</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6.支持1000Mbps。网口支持wake on LAN。</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7.集成标准声卡。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8.USB有线键盘、鼠标。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9.前置面板：USB3.0≥3个；TypeC≥1个；音频接口≥1个（支持耳机麦克风二合一）</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10.支持物理网络开关按键。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11.≥3前置USB端口支持在关机状态下对外供电。</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12.后置面板：USB3.0≥4个；HDMI输出≥1个；VGA输出≥1个；音频输入≥2个；音频输出≥1个；RJ45≥1个；PS/2≥2个；串口≥1个。</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13.显卡：集成显卡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14.内部插槽：PCIEX16≥1个（支持拓展独立显卡）；PCIEX8≥2个；M.2≥2个；SATA≥4个。</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15.机箱体积：≤8L。</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16.电源功率：≤200W。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二、配套显示器：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1、显示屏≥23.8英寸显示屏幕，分辨率≥1920*1080，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2、屏幕亮度≥250nit，VA屏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3、支持VGA≥1，HDMI≥1。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4、为保证屏幕色彩显示真实度，显示屏幕DCI-P3色域覆盖率≥ 90%；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5、屏幕刷新率达到75Hz，响应时间≤7ms，可视角度178/178</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6、电源能效转换效率≥86%</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7、为了适应日常使用和更好的视频播放体验，显示屏分别提供标准模式和炫彩模式选项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。（投标文件中须提供具有CMA或CNAS认证资质的第三方检测机构出具的该功能检测报告复印件）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8、为保证教师、学生的用眼舒适，显示屏幕提供护眼模式，护眼模式下，蓝光比例≤20%。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（投标文件中须提供具有CMA或CNAS认证资质的第三方检测机构出具的该功能检测报告复印件）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9、显示器提供阅读模式，为长时间阅读提供舒适的用眼体验。</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（投标文件中须提供具有CMA或CNAS认证资质的第三方检测机构出具的该功能检测报告复印件）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10、显示屏幕采用窄边设计，上左右边框≤3.6mm，下边框≤16.5mm，屏占比≥89%。</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11、为保护教师、学生视力健康，硬件具备硬件低蓝光，获得TUV硬件低蓝光认证。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12、为保护教师、学生视力健康，硬件具备无频闪，获得TUV无频闪认证。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三、品质及服务：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1.为了保障设备品质及服务，设备生产厂家须通过以下认证，符合GB/T 27922-2011售后服务评价体系标准，不低于十星级售后服务认证，供货时须提供相关证明材料。</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2.三年保修免费上门，可选2小时电话响应，第二日上门，365天全年无休。为保证设备的品质和服务，供货时需提供设备生产厂家针对此项目的售后服务承诺函原件；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3.为了确保教育数据托付管理能力、存储能力及信息安全能力，所投产品生产厂家通过GB/T36073-2018《数据管理能力成熟度评估模型》认定，供货时须提供相关证明材料。</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4.根据市场需求持续进行软件开发、更新、维护，能出具SPCA软件能力成熟度模型等级3级或以上证书复印件的，供货时须提供相关证明材料。</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7"/>
              <w:snapToGrid w:val="0"/>
              <w:spacing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5000</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7"/>
              <w:snapToGrid w:val="0"/>
              <w:spacing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5000</w:t>
            </w:r>
          </w:p>
        </w:tc>
      </w:tr>
      <w:tr>
        <w:tblPrEx>
          <w:tblCellMar>
            <w:top w:w="0" w:type="dxa"/>
            <w:left w:w="0" w:type="dxa"/>
            <w:bottom w:w="0" w:type="dxa"/>
            <w:right w:w="0" w:type="dxa"/>
          </w:tblCellMar>
        </w:tblPrEx>
        <w:trPr>
          <w:trHeight w:val="570" w:hRule="atLeast"/>
          <w:jc w:val="center"/>
        </w:trPr>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3</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电子教室管理软件</w:t>
            </w:r>
          </w:p>
          <w:p>
            <w:pPr>
              <w:jc w:val="left"/>
              <w:rPr>
                <w:rFonts w:asciiTheme="minorEastAsia" w:hAnsiTheme="minorEastAsia" w:eastAsiaTheme="minorEastAsia"/>
                <w:color w:val="000000"/>
                <w:szCs w:val="21"/>
              </w:rPr>
            </w:pPr>
            <w:r>
              <w:rPr>
                <w:rFonts w:hint="eastAsia"/>
                <w:color w:val="000000" w:themeColor="text1"/>
                <w14:textFill>
                  <w14:solidFill>
                    <w14:schemeClr w14:val="tx1"/>
                  </w14:solidFill>
                </w14:textFill>
              </w:rPr>
              <w:t>希沃易启学软件</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pStyle w:val="7"/>
              <w:snapToGrid w:val="0"/>
              <w:spacing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套</w:t>
            </w:r>
          </w:p>
        </w:tc>
        <w:tc>
          <w:tcPr>
            <w:tcW w:w="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pStyle w:val="7"/>
              <w:snapToGrid w:val="0"/>
              <w:spacing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1.登录方式多样性：支持账号/密码和手机微信扫码两种登录方式。</w:t>
            </w:r>
          </w:p>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2.设备管理：可实现实时监控学生机画面、以及进行统一的教学管理，文件共享和回收。</w:t>
            </w:r>
          </w:p>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3.人员管理：学校超级管理员可以添加教师和管理员的角色，添加之后管理员能够绑定设备和进行正常的授课工作，教师只能在终端应用软件进行授课操作。</w:t>
            </w:r>
          </w:p>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4.教师云空间：支持老师自定义上传、存储文件内容。</w:t>
            </w:r>
          </w:p>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支持上传的格式有：</w:t>
            </w:r>
          </w:p>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文档：ppt、pptx、word、pdf;</w:t>
            </w:r>
          </w:p>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图片：bmp、png、jpg、jpeg、gif;</w:t>
            </w:r>
          </w:p>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音视频：mp3、wav、ogg、aac、mp4</w:t>
            </w:r>
          </w:p>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5.教师广播：不需要借助任何外接设备，支持将教师机的画面以及声音广播给全班学生。</w:t>
            </w:r>
          </w:p>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6.学生演示：支持老师将指定学生的屏幕画面广播给其他所有学生，同时老师也能看到该指定学生的屏幕图像。</w:t>
            </w:r>
          </w:p>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7.下发课堂活动：在开启授课时支持教师发起不低于4种课堂活动，支持学生拖动答案进行作答，系统将自动判断是否正确。（投标时须提供国家认可的第三方检测机构出具的关于该功能检测报告复印件）</w:t>
            </w:r>
          </w:p>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8.课堂活动作答：支持学生在完成教师下发的课堂活动时，查看自己的排名、耗时以及答题情况。</w:t>
            </w:r>
          </w:p>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9.学生未进入课堂通知：支持在管理后台录入学生名单后，教师选择授课班级，学生在开课后输入个人姓名即可完成班级点名签到，当未签到人数低于6人时会自动显示未进入课堂的学生名单。</w:t>
            </w:r>
          </w:p>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10.切换课堂通知：当课堂通知大于或等于2条时，支持用户手动切换查看。</w:t>
            </w:r>
          </w:p>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11.教学白板课件同步：支持同步教学白板软件的课件内容，支持按照大小、更新时间进行排序，支持按照按照文件类型进行筛选。（投标时须提供国家认可的第三方检测机构出具的关于该功能检测报告复印件）</w:t>
            </w:r>
          </w:p>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12.文件上传：支持上传“本地文件”到终端应用软件的教师云空间。</w:t>
            </w:r>
          </w:p>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13.文件共享：支持教师把云空间的文件批量共享给指定的多个授课班级，资料被删除后文件仍可重新下载。支持教师把已共享的资料进行取消共享。（投标时须提供国家认可的第三方检测机构出具的关于该功能检测报告复印件）</w:t>
            </w:r>
          </w:p>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14.授课班级状态：当作业空间存在多个班级的时候，支持显示当前正在授课班级。</w:t>
            </w:r>
          </w:p>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15.文件查看：当开启需输入姓名进入课堂功能时，系统支持按照班级学生的姓名归档查看学生提交的作业文件。</w:t>
            </w:r>
          </w:p>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16.导入文件共享：支持教师直接把“我的文件”内容导入共享给班级学生。（投标时须提供国家认可的第三方检测机构出具的关于该功能检测报告复印件）</w:t>
            </w:r>
          </w:p>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17.黑屏管控：教师可以选定学生执行黑屏操作。</w:t>
            </w:r>
          </w:p>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18.离线自动黑屏：支持教师统一配置授课是否开启离线黑屏。</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4200</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4200</w:t>
            </w:r>
          </w:p>
        </w:tc>
      </w:tr>
      <w:tr>
        <w:tblPrEx>
          <w:tblCellMar>
            <w:top w:w="0" w:type="dxa"/>
            <w:left w:w="0" w:type="dxa"/>
            <w:bottom w:w="0" w:type="dxa"/>
            <w:right w:w="0" w:type="dxa"/>
          </w:tblCellMar>
        </w:tblPrEx>
        <w:trPr>
          <w:trHeight w:val="570" w:hRule="atLeast"/>
          <w:jc w:val="center"/>
        </w:trPr>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4</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木质讲台</w:t>
            </w:r>
          </w:p>
          <w:p>
            <w:pPr>
              <w:jc w:val="center"/>
              <w:rPr>
                <w:rFonts w:asciiTheme="minorEastAsia" w:hAnsiTheme="minorEastAsia" w:eastAsiaTheme="minorEastAsia"/>
                <w:szCs w:val="21"/>
              </w:rPr>
            </w:pPr>
            <w:r>
              <w:rPr>
                <w:rFonts w:hint="eastAsia"/>
                <w:color w:val="000000" w:themeColor="text1"/>
                <w14:textFill>
                  <w14:solidFill>
                    <w14:schemeClr w14:val="tx1"/>
                  </w14:solidFill>
                </w14:textFill>
              </w:rPr>
              <w:t>希沃 型号：TSD01</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张</w:t>
            </w:r>
          </w:p>
        </w:tc>
        <w:tc>
          <w:tcPr>
            <w:tcW w:w="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Theme="minorEastAsia" w:hAnsiTheme="minorEastAsia" w:eastAsiaTheme="minorEastAsia"/>
                <w:szCs w:val="21"/>
              </w:rPr>
            </w:pPr>
            <w:r>
              <w:rPr>
                <w:rFonts w:hint="eastAsia" w:asciiTheme="minorEastAsia" w:hAnsiTheme="minorEastAsia" w:eastAsiaTheme="minorEastAsia"/>
                <w:szCs w:val="21"/>
              </w:rPr>
              <w:t>1.智能讲台结构：木结构部分均采用E0级木质板材结构，甲醛释放量≤0.05mg/m³，桌面防静电。</w:t>
            </w:r>
          </w:p>
          <w:p>
            <w:pPr>
              <w:rPr>
                <w:rFonts w:asciiTheme="minorEastAsia" w:hAnsiTheme="minorEastAsia" w:eastAsiaTheme="minorEastAsia"/>
                <w:szCs w:val="21"/>
              </w:rPr>
            </w:pPr>
            <w:r>
              <w:rPr>
                <w:rFonts w:hint="eastAsia" w:asciiTheme="minorEastAsia" w:hAnsiTheme="minorEastAsia" w:eastAsiaTheme="minorEastAsia"/>
                <w:szCs w:val="21"/>
              </w:rPr>
              <w:t>2.智能讲台底座尺寸及外观：（长×宽×高）≥ 1100×550×1030 ±5mm，讲台三面环抱式设计，根据人体力学设计，讲台桌面高度合适老师放置教学用品，讲台产品外观桌面平整，悬浮式设计，边缘光滑，无棱角处理，保护师生安全。</w:t>
            </w:r>
          </w:p>
          <w:p>
            <w:pPr>
              <w:rPr>
                <w:rFonts w:asciiTheme="minorEastAsia" w:hAnsiTheme="minorEastAsia" w:eastAsiaTheme="minorEastAsia"/>
                <w:szCs w:val="21"/>
              </w:rPr>
            </w:pPr>
            <w:r>
              <w:rPr>
                <w:rFonts w:hint="eastAsia" w:asciiTheme="minorEastAsia" w:hAnsiTheme="minorEastAsia" w:eastAsiaTheme="minorEastAsia"/>
                <w:szCs w:val="21"/>
              </w:rPr>
              <w:t>3.智能讲台底座提供大容量收纳空间，可供老师放置无线麦克风、粉笔、键盘、鼠标、作业试卷等，时刻保持讲台桌面干净整洁。</w:t>
            </w:r>
          </w:p>
          <w:p>
            <w:pPr>
              <w:rPr>
                <w:rFonts w:cs="宋体" w:asciiTheme="minorEastAsia" w:hAnsiTheme="minorEastAsia" w:eastAsiaTheme="minorEastAsia"/>
                <w:szCs w:val="21"/>
              </w:rPr>
            </w:pPr>
            <w:r>
              <w:rPr>
                <w:rFonts w:hint="eastAsia" w:asciiTheme="minorEastAsia" w:hAnsiTheme="minorEastAsia" w:eastAsiaTheme="minorEastAsia"/>
                <w:szCs w:val="21"/>
              </w:rPr>
              <w:t>4.智能讲台底座自带4只脚杯，脚杯支持地钉锁定，可确保讲台安装更稳固、牢靠，避免师生椅靠、挪动等行为造成人身伤害。</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900</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900</w:t>
            </w:r>
          </w:p>
        </w:tc>
      </w:tr>
      <w:tr>
        <w:tblPrEx>
          <w:tblCellMar>
            <w:top w:w="0" w:type="dxa"/>
            <w:left w:w="0" w:type="dxa"/>
            <w:bottom w:w="0" w:type="dxa"/>
            <w:right w:w="0" w:type="dxa"/>
          </w:tblCellMar>
        </w:tblPrEx>
        <w:trPr>
          <w:trHeight w:val="570" w:hRule="atLeast"/>
          <w:jc w:val="center"/>
        </w:trPr>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5</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eastAsiaTheme="minorEastAsia"/>
                <w:szCs w:val="21"/>
              </w:rPr>
            </w:pPr>
            <w:r>
              <w:rPr>
                <w:rFonts w:hint="eastAsia" w:cs="宋体" w:asciiTheme="minorEastAsia" w:hAnsiTheme="minorEastAsia" w:eastAsiaTheme="minorEastAsia"/>
                <w:szCs w:val="21"/>
              </w:rPr>
              <w:t>学生双人电脑桌椅</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张</w:t>
            </w:r>
          </w:p>
        </w:tc>
        <w:tc>
          <w:tcPr>
            <w:tcW w:w="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30</w:t>
            </w:r>
          </w:p>
        </w:tc>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szCs w:val="21"/>
              </w:rPr>
            </w:pPr>
            <w:r>
              <w:rPr>
                <w:rFonts w:hint="eastAsia" w:cs="宋体" w:asciiTheme="minorEastAsia" w:hAnsiTheme="minorEastAsia" w:eastAsiaTheme="minorEastAsia"/>
                <w:szCs w:val="21"/>
              </w:rPr>
              <w:t>一.双人电脑桌：</w:t>
            </w:r>
          </w:p>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1、桌子长度1.2m宽度0.6m高度0.75m    </w:t>
            </w:r>
          </w:p>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桌面厚度2.5厘米三聚氰胺板 ； </w:t>
            </w:r>
          </w:p>
          <w:p>
            <w:pPr>
              <w:rPr>
                <w:rFonts w:cs="宋体" w:asciiTheme="minorEastAsia" w:hAnsiTheme="minorEastAsia" w:eastAsiaTheme="minorEastAsia"/>
                <w:szCs w:val="21"/>
              </w:rPr>
            </w:pPr>
            <w:r>
              <w:rPr>
                <w:rFonts w:hint="eastAsia" w:cs="宋体" w:asciiTheme="minorEastAsia" w:hAnsiTheme="minorEastAsia" w:eastAsiaTheme="minorEastAsia"/>
                <w:szCs w:val="21"/>
              </w:rPr>
              <w:t>架子25方弯，管壁厚度0.8毫米（不含表面喷涂后的厚度），冷轧板厚度0.5毫米，机箱高度54厘米宽度20厘米内径，开放式机箱，设计有透气孔防止机箱过热，更防盗，下身铁架表面是经过磷化除锈除油处理后静电喷涂，喷后均匀，光洁度好，塑面经久耐用，表面垫固性粉末涂层，环保无毒害无气味，且耐候性强，桌脚为耐磨防滑尼龙脚垫</w:t>
            </w:r>
          </w:p>
          <w:p>
            <w:pPr>
              <w:rPr>
                <w:rFonts w:cs="宋体" w:asciiTheme="minorEastAsia" w:hAnsiTheme="minorEastAsia" w:eastAsiaTheme="minorEastAsia"/>
                <w:szCs w:val="21"/>
              </w:rPr>
            </w:pPr>
            <w:r>
              <w:rPr>
                <w:rFonts w:hint="eastAsia" w:cs="宋体" w:asciiTheme="minorEastAsia" w:hAnsiTheme="minorEastAsia" w:eastAsiaTheme="minorEastAsia"/>
                <w:szCs w:val="21"/>
              </w:rPr>
              <w:t>3、颜色：可选。</w:t>
            </w:r>
          </w:p>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二.学生凳： </w:t>
            </w:r>
          </w:p>
          <w:p>
            <w:pPr>
              <w:rPr>
                <w:rFonts w:cs="宋体" w:asciiTheme="minorEastAsia" w:hAnsiTheme="minorEastAsia" w:eastAsiaTheme="minorEastAsia"/>
                <w:szCs w:val="21"/>
              </w:rPr>
            </w:pPr>
            <w:r>
              <w:rPr>
                <w:rFonts w:hint="eastAsia" w:cs="宋体" w:asciiTheme="minorEastAsia" w:hAnsiTheme="minorEastAsia" w:eastAsiaTheme="minorEastAsia"/>
                <w:szCs w:val="21"/>
              </w:rPr>
              <w:t>凳子采用25*25方管，壁厚08凳面采用和桌面同色系厚度2.5厘米板 凳子尺寸约34cm长*24cm宽*44cm高，钢制脚</w:t>
            </w:r>
          </w:p>
          <w:p>
            <w:pPr>
              <w:rPr>
                <w:rFonts w:cs="宋体" w:asciiTheme="minorEastAsia" w:hAnsiTheme="minorEastAsia" w:eastAsiaTheme="minorEastAsia"/>
                <w:szCs w:val="21"/>
              </w:rPr>
            </w:pPr>
            <w:r>
              <w:rPr>
                <w:rFonts w:hint="eastAsia" w:cs="宋体" w:asciiTheme="minorEastAsia" w:hAnsiTheme="minorEastAsia" w:eastAsiaTheme="minorEastAsia"/>
                <w:szCs w:val="21"/>
              </w:rPr>
              <w:t>3、颜色：可选。</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600</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18000</w:t>
            </w:r>
          </w:p>
        </w:tc>
      </w:tr>
      <w:tr>
        <w:tblPrEx>
          <w:tblCellMar>
            <w:top w:w="0" w:type="dxa"/>
            <w:left w:w="0" w:type="dxa"/>
            <w:bottom w:w="0" w:type="dxa"/>
            <w:right w:w="0" w:type="dxa"/>
          </w:tblCellMar>
        </w:tblPrEx>
        <w:trPr>
          <w:trHeight w:val="570" w:hRule="atLeast"/>
          <w:jc w:val="center"/>
        </w:trPr>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6</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eastAsiaTheme="minorEastAsia"/>
                <w:szCs w:val="21"/>
              </w:rPr>
            </w:pPr>
            <w:r>
              <w:rPr>
                <w:rFonts w:hint="eastAsia" w:cs="宋体" w:asciiTheme="minorEastAsia" w:hAnsiTheme="minorEastAsia" w:eastAsiaTheme="minorEastAsia"/>
                <w:szCs w:val="21"/>
              </w:rPr>
              <w:t>企业级路由器</w:t>
            </w:r>
          </w:p>
          <w:p>
            <w:pPr>
              <w:jc w:val="center"/>
              <w:rPr>
                <w:rFonts w:asciiTheme="minorEastAsia" w:hAnsiTheme="minorEastAsia" w:eastAsiaTheme="minorEastAsia"/>
              </w:rPr>
            </w:pPr>
            <w:r>
              <w:rPr>
                <w:rFonts w:hint="eastAsia" w:cs="宋体" w:asciiTheme="minorEastAsia" w:hAnsiTheme="minorEastAsia" w:eastAsiaTheme="minorEastAsia"/>
                <w:szCs w:val="21"/>
              </w:rPr>
              <w:t>锐捷RG-EG206MG</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台</w:t>
            </w:r>
          </w:p>
        </w:tc>
        <w:tc>
          <w:tcPr>
            <w:tcW w:w="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szCs w:val="21"/>
              </w:rPr>
            </w:pPr>
            <w:r>
              <w:rPr>
                <w:rFonts w:hint="eastAsia" w:cs="宋体" w:asciiTheme="minorEastAsia" w:hAnsiTheme="minorEastAsia" w:eastAsiaTheme="minorEastAsia"/>
                <w:szCs w:val="21"/>
              </w:rPr>
              <w:t>整机拥有5个2.5G电口+1个千兆电口，最大支持5个WAN口接入。推荐带机量200台，推荐带宽2000Mbps。集成统一网络控制器功能，最大可管理150台支持智能组网特性的EAP、RAP或网管交换机（网关模式），以及128台以内的ES2xx系列智能交换机。支持AI会话数管理、智能家居专属通道、青少年模式、电竞模式、安全模式、监控专属通道、应用识别、流量控制、SD-WAN、VPN、PPPoE、认证计费、行为管理等丰富功能。</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1000</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1000</w:t>
            </w:r>
          </w:p>
        </w:tc>
      </w:tr>
      <w:tr>
        <w:tblPrEx>
          <w:tblCellMar>
            <w:top w:w="0" w:type="dxa"/>
            <w:left w:w="0" w:type="dxa"/>
            <w:bottom w:w="0" w:type="dxa"/>
            <w:right w:w="0" w:type="dxa"/>
          </w:tblCellMar>
        </w:tblPrEx>
        <w:trPr>
          <w:trHeight w:val="570" w:hRule="atLeast"/>
          <w:jc w:val="center"/>
        </w:trPr>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7</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heme="minorEastAsia" w:hAnsiTheme="minorEastAsia" w:eastAsiaTheme="minorEastAsia"/>
                <w:szCs w:val="21"/>
              </w:rPr>
            </w:pPr>
            <w:r>
              <w:rPr>
                <w:rFonts w:hint="eastAsia" w:asciiTheme="minorEastAsia" w:hAnsiTheme="minorEastAsia" w:eastAsiaTheme="minorEastAsia"/>
                <w:szCs w:val="21"/>
              </w:rPr>
              <w:t>网络交换机</w:t>
            </w:r>
          </w:p>
          <w:p>
            <w:pPr>
              <w:jc w:val="center"/>
              <w:rPr>
                <w:rFonts w:cs="宋体" w:asciiTheme="minorEastAsia" w:hAnsiTheme="minorEastAsia" w:eastAsiaTheme="minorEastAsia"/>
                <w:szCs w:val="21"/>
              </w:rPr>
            </w:pPr>
            <w:r>
              <w:rPr>
                <w:rFonts w:hint="eastAsia" w:cs="宋体" w:asciiTheme="minorEastAsia" w:hAnsiTheme="minorEastAsia" w:eastAsiaTheme="minorEastAsia"/>
                <w:color w:val="000000"/>
                <w:szCs w:val="21"/>
              </w:rPr>
              <w:t>锐捷RG-ES224GC</w:t>
            </w:r>
            <w:r>
              <w:rPr>
                <w:rFonts w:hint="eastAsia" w:cs="宋体" w:asciiTheme="minorEastAsia" w:hAnsiTheme="minorEastAsia" w:eastAsiaTheme="minorEastAsia"/>
                <w:color w:val="000000"/>
                <w:szCs w:val="21"/>
              </w:rPr>
              <w:tab/>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台</w:t>
            </w:r>
          </w:p>
        </w:tc>
        <w:tc>
          <w:tcPr>
            <w:tcW w:w="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3</w:t>
            </w:r>
          </w:p>
        </w:tc>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24个10/100/1000Mbps电口，机架式；交换容量：48Gbps；整机包转发率：36Mpps；端口防雷：共模6KV；MAC容量 8K；静态MAC地址：16；VLAN：支持802.1Q VLAN；端口管理：支持端口状态显示、端口流量统计、端口双工/协商速率配置、流控配置；安全特性 支持广播风暴抑制、端口限速、端口隔离、DHCP Snooping；L2特性：支持端口镜像、环路保护、线缆检测；支持Web/APP/MACC管理</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1200</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3600</w:t>
            </w:r>
          </w:p>
        </w:tc>
      </w:tr>
      <w:tr>
        <w:tblPrEx>
          <w:tblCellMar>
            <w:top w:w="0" w:type="dxa"/>
            <w:left w:w="0" w:type="dxa"/>
            <w:bottom w:w="0" w:type="dxa"/>
            <w:right w:w="0" w:type="dxa"/>
          </w:tblCellMar>
        </w:tblPrEx>
        <w:trPr>
          <w:trHeight w:val="570" w:hRule="atLeast"/>
          <w:jc w:val="center"/>
        </w:trPr>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8</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cs="宋体" w:asciiTheme="minorEastAsia" w:hAnsiTheme="minorEastAsia" w:eastAsiaTheme="minorEastAsia"/>
                <w:szCs w:val="21"/>
              </w:rPr>
            </w:pPr>
            <w:r>
              <w:rPr>
                <w:rFonts w:hint="eastAsia" w:cs="宋体" w:asciiTheme="minorEastAsia" w:hAnsiTheme="minorEastAsia" w:eastAsiaTheme="minorEastAsia"/>
                <w:szCs w:val="21"/>
              </w:rPr>
              <w:t>配套软件</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项</w:t>
            </w:r>
          </w:p>
        </w:tc>
        <w:tc>
          <w:tcPr>
            <w:tcW w:w="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配套正版操作系统、杀毒软件、办公系统授权。</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24200</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24200</w:t>
            </w:r>
          </w:p>
        </w:tc>
      </w:tr>
      <w:tr>
        <w:tblPrEx>
          <w:tblCellMar>
            <w:top w:w="0" w:type="dxa"/>
            <w:left w:w="0" w:type="dxa"/>
            <w:bottom w:w="0" w:type="dxa"/>
            <w:right w:w="0" w:type="dxa"/>
          </w:tblCellMar>
        </w:tblPrEx>
        <w:trPr>
          <w:trHeight w:val="570" w:hRule="atLeast"/>
          <w:jc w:val="center"/>
        </w:trPr>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9</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系统集成</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项</w:t>
            </w:r>
          </w:p>
        </w:tc>
        <w:tc>
          <w:tcPr>
            <w:tcW w:w="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 所有货物到各个项目学校的运输以及到用户指定教室的搬运；</w:t>
            </w:r>
          </w:p>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 系统集成所需辅材辅料由中标商提供并要求符合国标标准。如达到国标要求的空气开关、漏电保护开关、网线、水晶头、电源插座、电源线、PVC线槽、抗踩踏线槽、钉子、胶布等，需满足本项目需求。</w:t>
            </w:r>
          </w:p>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 计算机网络教室的计算机和网络机柜的安装调试；全部软件系统的安装调试；教师和学生桌椅的安装；每台设备的网络布设、电源空开、电源电缆及PVC线槽、电源插排布设；过道耐压弧形走线槽等工程所需配件的安装调试。</w:t>
            </w:r>
          </w:p>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4.其他辅料：国标超五类网线、电源插座、含水晶头、漏电开关、交换机机箱、铜芯电源线（火线、零线2.5 mm2；地线1.5 mm2）、抗踩踏弧形线槽、钉子、胶布等一批满足本项目需求。</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bookmarkStart w:id="2" w:name="OLE_LINK6"/>
            <w:bookmarkStart w:id="3" w:name="OLE_LINK5"/>
            <w:r>
              <w:rPr>
                <w:rFonts w:hint="eastAsia" w:cs="宋体" w:asciiTheme="minorEastAsia" w:hAnsiTheme="minorEastAsia" w:eastAsiaTheme="minorEastAsia"/>
                <w:color w:val="000000"/>
                <w:szCs w:val="21"/>
              </w:rPr>
              <w:t>4100</w:t>
            </w:r>
            <w:bookmarkEnd w:id="2"/>
            <w:bookmarkEnd w:id="3"/>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4100</w:t>
            </w:r>
          </w:p>
        </w:tc>
      </w:tr>
      <w:tr>
        <w:tblPrEx>
          <w:tblCellMar>
            <w:top w:w="0" w:type="dxa"/>
            <w:left w:w="0" w:type="dxa"/>
            <w:bottom w:w="0" w:type="dxa"/>
            <w:right w:w="0" w:type="dxa"/>
          </w:tblCellMar>
        </w:tblPrEx>
        <w:trPr>
          <w:trHeight w:val="570" w:hRule="atLeast"/>
          <w:jc w:val="center"/>
        </w:trPr>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10</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eastAsiaTheme="minorEastAsia"/>
                <w:szCs w:val="21"/>
              </w:rPr>
            </w:pPr>
            <w:r>
              <w:rPr>
                <w:rFonts w:asciiTheme="minorEastAsia" w:hAnsiTheme="minorEastAsia" w:eastAsiaTheme="minorEastAsia"/>
                <w:szCs w:val="21"/>
              </w:rPr>
              <w:t>小计</w:t>
            </w:r>
          </w:p>
        </w:tc>
        <w:tc>
          <w:tcPr>
            <w:tcW w:w="7349"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szCs w:val="21"/>
              </w:rPr>
              <w:t>人民币大写：叁拾伍万元整</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350000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309" w:hRule="atLeast"/>
          <w:jc w:val="center"/>
        </w:trPr>
        <w:tc>
          <w:tcPr>
            <w:tcW w:w="9939" w:type="dxa"/>
            <w:gridSpan w:val="7"/>
            <w:tcBorders>
              <w:top w:val="single" w:color="auto" w:sz="4" w:space="0"/>
              <w:left w:val="single" w:color="auto" w:sz="4" w:space="0"/>
              <w:bottom w:val="single" w:color="auto" w:sz="4" w:space="0"/>
              <w:right w:val="single" w:color="auto" w:sz="4" w:space="0"/>
            </w:tcBorders>
            <w:vAlign w:val="center"/>
          </w:tcPr>
          <w:p>
            <w:pPr>
              <w:numPr>
                <w:ilvl w:val="0"/>
                <w:numId w:val="4"/>
              </w:numPr>
              <w:textAlignment w:val="baseline"/>
              <w:rPr>
                <w:rFonts w:ascii="宋体" w:hAnsi="宋体" w:cs="宋体"/>
                <w:b/>
                <w:bCs/>
                <w:szCs w:val="21"/>
                <w:lang w:val="zh-CN"/>
              </w:rPr>
            </w:pPr>
            <w:r>
              <w:rPr>
                <w:rFonts w:hint="eastAsia" w:cs="宋体" w:asciiTheme="minorEastAsia" w:hAnsiTheme="minorEastAsia" w:eastAsiaTheme="minorEastAsia"/>
                <w:b/>
                <w:szCs w:val="21"/>
              </w:rPr>
              <w:t>商务要求表：</w:t>
            </w:r>
          </w:p>
          <w:p>
            <w:pPr>
              <w:pStyle w:val="3"/>
              <w:numPr>
                <w:ilvl w:val="0"/>
                <w:numId w:val="0"/>
              </w:numPr>
              <w:ind w:firstLine="420" w:firstLineChars="200"/>
              <w:rPr>
                <w:rFonts w:hint="eastAsia" w:hAnsi="宋体" w:cs="宋体"/>
                <w:b w:val="0"/>
                <w:bCs w:val="0"/>
                <w:sz w:val="21"/>
                <w:szCs w:val="21"/>
                <w:lang w:val="en-US"/>
              </w:rPr>
            </w:pPr>
            <w:r>
              <w:rPr>
                <w:rFonts w:hint="eastAsia" w:hAnsi="宋体" w:cs="宋体"/>
                <w:b w:val="0"/>
                <w:bCs w:val="0"/>
                <w:sz w:val="21"/>
                <w:szCs w:val="21"/>
                <w:lang w:val="en-US"/>
              </w:rPr>
              <w:t>1、为了保障采购人的正常使用，保障高效的售后服务，保证设备的稳定运行，为确保货物质量，签订合同前中标单位须提供生产厂家针对此项目售后服务保证函原件及供货证明原件，否则不予验收通过。</w:t>
            </w:r>
          </w:p>
          <w:p>
            <w:pPr>
              <w:pStyle w:val="3"/>
              <w:numPr>
                <w:ilvl w:val="0"/>
                <w:numId w:val="0"/>
              </w:numPr>
              <w:ind w:firstLine="420" w:firstLineChars="200"/>
              <w:rPr>
                <w:rFonts w:hint="eastAsia" w:hAnsi="宋体" w:cs="宋体"/>
                <w:b w:val="0"/>
                <w:bCs w:val="0"/>
                <w:sz w:val="21"/>
                <w:szCs w:val="21"/>
                <w:lang w:val="en-US"/>
              </w:rPr>
            </w:pPr>
            <w:r>
              <w:rPr>
                <w:rFonts w:hint="eastAsia" w:hAnsi="宋体" w:cs="宋体"/>
                <w:b w:val="0"/>
                <w:bCs w:val="0"/>
                <w:sz w:val="21"/>
                <w:szCs w:val="21"/>
                <w:lang w:val="en-US"/>
              </w:rPr>
              <w:t>2、投标人请务必认真了解项目采购需求和要求，本项目供应商报价仅限推荐品牌及型号，不接受推荐品牌及型号外的产品，供应商不得以任何理由更改设备的品牌、配置。 为保障采购单位的合法权益，在签订成交合同前，成交供应商在接到成交通知3个工作日内，必须提供一套与技术参数要求及功能相符的产品到采购单位处进行技术参数认证演示。</w:t>
            </w:r>
          </w:p>
          <w:p>
            <w:pPr>
              <w:pStyle w:val="3"/>
              <w:numPr>
                <w:ilvl w:val="0"/>
                <w:numId w:val="0"/>
              </w:numPr>
              <w:ind w:firstLine="420" w:firstLineChars="200"/>
              <w:rPr>
                <w:rFonts w:hint="eastAsia"/>
                <w:b w:val="0"/>
                <w:sz w:val="21"/>
                <w:szCs w:val="21"/>
              </w:rPr>
            </w:pPr>
            <w:r>
              <w:rPr>
                <w:rFonts w:hint="eastAsia"/>
                <w:b w:val="0"/>
                <w:sz w:val="21"/>
                <w:szCs w:val="21"/>
              </w:rPr>
              <w:t xml:space="preserve">3、成交供应商提供的产品必须是原厂生产的正品全新的合格产品，产品质量符合国家相关标准和规范，具备正规合法经销渠道。所有产品除满足上表要求的技术参数外，其余均按国家标准及生产厂家出厂标准配置。成交供应商提供的产品品牌、型号、规格、技术参数、质量不符合合同规定及采购需求规定标准的，采购人有权拒收该货物。 </w:t>
            </w:r>
          </w:p>
          <w:p>
            <w:pPr>
              <w:pStyle w:val="3"/>
              <w:numPr>
                <w:ilvl w:val="0"/>
                <w:numId w:val="0"/>
              </w:numPr>
              <w:ind w:firstLine="420" w:firstLineChars="200"/>
              <w:rPr>
                <w:rFonts w:hint="eastAsia"/>
                <w:b w:val="0"/>
                <w:sz w:val="21"/>
                <w:szCs w:val="21"/>
              </w:rPr>
            </w:pPr>
            <w:r>
              <w:rPr>
                <w:rFonts w:hint="eastAsia"/>
                <w:b w:val="0"/>
                <w:sz w:val="21"/>
                <w:szCs w:val="21"/>
              </w:rPr>
              <w:t xml:space="preserve">4、供应商响应时，必须满足采购需求的全部功能，供应商须对附件中的参数要求及商务要求进行全部响应，并提供所投产品的3C、节能认证证书复印件和以国家权威部门或第三方检测机构出具认可的检测报告复印件等证明材料(竞价时投标人必须上传扫描件，否则采购人有权利取消预成交供应商的中标资格；报价结束后24小时内对预成交供应商核查原件，核查无误后方能确定成交供应商) </w:t>
            </w:r>
          </w:p>
          <w:p>
            <w:pPr>
              <w:pStyle w:val="3"/>
              <w:numPr>
                <w:ilvl w:val="0"/>
                <w:numId w:val="0"/>
              </w:numPr>
              <w:ind w:firstLine="420" w:firstLineChars="200"/>
              <w:rPr>
                <w:rFonts w:hint="eastAsia"/>
                <w:b w:val="0"/>
                <w:sz w:val="21"/>
                <w:szCs w:val="21"/>
              </w:rPr>
            </w:pPr>
            <w:r>
              <w:rPr>
                <w:rFonts w:hint="eastAsia"/>
                <w:b w:val="0"/>
                <w:sz w:val="21"/>
                <w:szCs w:val="21"/>
              </w:rPr>
              <w:t>5、报价必须包含所有货物、随配附件、售后服务、培训、税金及其他所有可能发生的一切费用，采购人不再支付任何费用。</w:t>
            </w:r>
          </w:p>
          <w:p>
            <w:pPr>
              <w:pStyle w:val="3"/>
              <w:numPr>
                <w:ilvl w:val="0"/>
                <w:numId w:val="0"/>
              </w:numPr>
              <w:ind w:firstLine="420" w:firstLineChars="200"/>
              <w:rPr>
                <w:rFonts w:hint="eastAsia"/>
                <w:b w:val="0"/>
                <w:sz w:val="21"/>
                <w:szCs w:val="21"/>
              </w:rPr>
            </w:pPr>
            <w:r>
              <w:rPr>
                <w:rFonts w:hint="eastAsia"/>
                <w:b w:val="0"/>
                <w:sz w:val="21"/>
                <w:szCs w:val="21"/>
              </w:rPr>
              <w:t xml:space="preserve">6、交货时间及地点:1)、完成时间:自合同签订之日起5天内 2)、交货地点:采购人指定地点。 </w:t>
            </w:r>
          </w:p>
          <w:p>
            <w:pPr>
              <w:pStyle w:val="3"/>
              <w:numPr>
                <w:ilvl w:val="0"/>
                <w:numId w:val="0"/>
              </w:numPr>
              <w:ind w:firstLine="420" w:firstLineChars="200"/>
              <w:rPr>
                <w:rFonts w:hint="eastAsia"/>
                <w:b w:val="0"/>
                <w:sz w:val="21"/>
                <w:szCs w:val="21"/>
              </w:rPr>
            </w:pPr>
            <w:r>
              <w:rPr>
                <w:rFonts w:hint="eastAsia"/>
                <w:b w:val="0"/>
                <w:sz w:val="21"/>
                <w:szCs w:val="21"/>
              </w:rPr>
              <w:t>7、验收标准 1)、成交供应商须针对商务条款要求及技术参数逐条响应，若无法满足招标文件需求则按照虚假应标处理，造成的一切后果及损失由成交供应商承担。 2)、验收过程中，如采购人觉得有必要，可以邀请有资质的第三方检测机构对中标人提供的产品进行检测，费用由中标人负担。</w:t>
            </w:r>
          </w:p>
          <w:p>
            <w:pPr>
              <w:pStyle w:val="3"/>
              <w:numPr>
                <w:ilvl w:val="0"/>
                <w:numId w:val="0"/>
              </w:numPr>
              <w:ind w:firstLine="420" w:firstLineChars="200"/>
              <w:rPr>
                <w:rFonts w:hint="eastAsia"/>
                <w:b w:val="0"/>
                <w:sz w:val="21"/>
                <w:szCs w:val="21"/>
              </w:rPr>
            </w:pPr>
            <w:r>
              <w:rPr>
                <w:rFonts w:hint="eastAsia"/>
                <w:b w:val="0"/>
                <w:sz w:val="21"/>
                <w:szCs w:val="21"/>
              </w:rPr>
              <w:t>8、售后服务要求：</w:t>
            </w:r>
          </w:p>
          <w:p>
            <w:pPr>
              <w:pStyle w:val="3"/>
              <w:numPr>
                <w:ilvl w:val="0"/>
                <w:numId w:val="0"/>
              </w:numPr>
              <w:ind w:firstLine="420" w:firstLineChars="200"/>
              <w:rPr>
                <w:rFonts w:hint="eastAsia"/>
                <w:b w:val="0"/>
                <w:sz w:val="21"/>
                <w:szCs w:val="21"/>
              </w:rPr>
            </w:pPr>
            <w:r>
              <w:rPr>
                <w:rFonts w:hint="eastAsia"/>
                <w:b w:val="0"/>
                <w:sz w:val="21"/>
                <w:szCs w:val="21"/>
              </w:rPr>
              <w:t>（1）免费送货上门，安装调试。</w:t>
            </w:r>
          </w:p>
          <w:p>
            <w:pPr>
              <w:pStyle w:val="3"/>
              <w:numPr>
                <w:ilvl w:val="0"/>
                <w:numId w:val="0"/>
              </w:numPr>
              <w:ind w:firstLine="420" w:firstLineChars="200"/>
              <w:rPr>
                <w:rFonts w:hint="eastAsia"/>
                <w:b w:val="0"/>
                <w:sz w:val="21"/>
                <w:szCs w:val="21"/>
              </w:rPr>
            </w:pPr>
            <w:r>
              <w:rPr>
                <w:rFonts w:hint="eastAsia"/>
                <w:b w:val="0"/>
                <w:sz w:val="21"/>
                <w:szCs w:val="21"/>
              </w:rPr>
              <w:t>（2）故障响应时间：接到故障通知后成交供应商应在20分钟内电话服务应答，2个小时内现场维护响应，2小时内提供解决方案。特殊情况无法修复的，质保期内成交供应商应无条件更换新设备、提供代用设备或采取使设备可正常运转的措施。</w:t>
            </w:r>
          </w:p>
          <w:p>
            <w:pPr>
              <w:pStyle w:val="3"/>
              <w:numPr>
                <w:ilvl w:val="0"/>
                <w:numId w:val="0"/>
              </w:numPr>
              <w:ind w:firstLine="420" w:firstLineChars="200"/>
              <w:rPr>
                <w:rFonts w:hint="eastAsia"/>
                <w:b w:val="0"/>
                <w:sz w:val="21"/>
                <w:szCs w:val="21"/>
              </w:rPr>
            </w:pPr>
            <w:r>
              <w:rPr>
                <w:rFonts w:hint="eastAsia"/>
                <w:b w:val="0"/>
                <w:sz w:val="21"/>
                <w:szCs w:val="21"/>
              </w:rPr>
              <w:t>（3）为保证服务质量，及时响应服务要求，需提供本地化服务（为确保服务时效及服务力量落实，需要合同签订后10天内在防城港建有一个防城港的服务点（本地营业执照证明）。</w:t>
            </w:r>
          </w:p>
          <w:p>
            <w:pPr>
              <w:ind w:firstLine="420" w:firstLineChars="200"/>
              <w:rPr>
                <w:rFonts w:hint="default" w:ascii="仿宋_GB2312" w:hAnsi="仿宋" w:eastAsia="仿宋_GB2312" w:cs="Times New Roman"/>
                <w:b w:val="0"/>
                <w:bCs/>
                <w:kern w:val="2"/>
                <w:sz w:val="21"/>
                <w:szCs w:val="21"/>
                <w:lang w:val="en-US" w:eastAsia="zh-CN" w:bidi="ar-SA"/>
              </w:rPr>
            </w:pPr>
            <w:r>
              <w:rPr>
                <w:rFonts w:hint="eastAsia" w:ascii="仿宋_GB2312" w:hAnsi="仿宋" w:eastAsia="仿宋_GB2312" w:cs="Times New Roman"/>
                <w:b w:val="0"/>
                <w:bCs/>
                <w:kern w:val="2"/>
                <w:sz w:val="21"/>
                <w:szCs w:val="21"/>
                <w:lang w:val="en-US" w:eastAsia="zh-CN" w:bidi="ar-SA"/>
              </w:rPr>
              <w:t>9、付款方式：验收合格后30日内，支付全部合同价款。</w:t>
            </w:r>
          </w:p>
          <w:p>
            <w:pPr>
              <w:pStyle w:val="3"/>
              <w:numPr>
                <w:ilvl w:val="0"/>
                <w:numId w:val="0"/>
              </w:numPr>
              <w:ind w:firstLine="420" w:firstLineChars="200"/>
              <w:rPr>
                <w:rFonts w:hint="eastAsia" w:ascii="仿宋_GB2312" w:hAnsi="仿宋" w:eastAsia="仿宋_GB2312" w:cs="Times New Roman"/>
                <w:b w:val="0"/>
                <w:bCs/>
                <w:kern w:val="2"/>
                <w:sz w:val="21"/>
                <w:szCs w:val="21"/>
                <w:lang w:val="zh-CN" w:eastAsia="zh-CN" w:bidi="ar-SA"/>
              </w:rPr>
            </w:pPr>
            <w:r>
              <w:rPr>
                <w:rFonts w:hint="eastAsia" w:ascii="仿宋_GB2312" w:hAnsi="仿宋" w:eastAsia="仿宋_GB2312" w:cs="Times New Roman"/>
                <w:b w:val="0"/>
                <w:bCs/>
                <w:kern w:val="2"/>
                <w:sz w:val="21"/>
                <w:szCs w:val="21"/>
                <w:lang w:val="en-US" w:eastAsia="zh-CN" w:bidi="ar-SA"/>
              </w:rPr>
              <w:t>10、其它要求：为保证项目质量，反向竞价报价明显低于成本价的，采购人有权拒绝该报价。</w:t>
            </w:r>
          </w:p>
          <w:p>
            <w:pPr>
              <w:spacing w:line="420" w:lineRule="exact"/>
              <w:textAlignment w:val="baseline"/>
              <w:rPr>
                <w:rFonts w:cs="宋体" w:asciiTheme="minorEastAsia" w:hAnsiTheme="minorEastAsia" w:eastAsiaTheme="minorEastAsia"/>
                <w:szCs w:val="21"/>
              </w:rPr>
            </w:pPr>
            <w:bookmarkStart w:id="4" w:name="_GoBack"/>
            <w:bookmarkEnd w:id="4"/>
          </w:p>
          <w:p>
            <w:pPr>
              <w:spacing w:line="420" w:lineRule="exact"/>
              <w:textAlignment w:val="baseline"/>
              <w:rPr>
                <w:rFonts w:cs="宋体" w:asciiTheme="minorEastAsia" w:hAnsiTheme="minorEastAsia" w:eastAsiaTheme="minorEastAsia"/>
                <w:szCs w:val="21"/>
              </w:rPr>
            </w:pPr>
          </w:p>
          <w:p>
            <w:pPr>
              <w:spacing w:line="420" w:lineRule="exact"/>
              <w:textAlignment w:val="baseline"/>
              <w:rPr>
                <w:rFonts w:cs="宋体" w:asciiTheme="minorEastAsia" w:hAnsiTheme="minorEastAsia" w:eastAsiaTheme="minorEastAsia"/>
                <w:szCs w:val="21"/>
              </w:rPr>
            </w:pPr>
          </w:p>
          <w:p>
            <w:pPr>
              <w:spacing w:line="420" w:lineRule="exact"/>
              <w:textAlignment w:val="baseline"/>
              <w:rPr>
                <w:rFonts w:cs="宋体" w:asciiTheme="minorEastAsia" w:hAnsiTheme="minorEastAsia" w:eastAsiaTheme="minorEastAsia"/>
                <w:szCs w:val="21"/>
              </w:rPr>
            </w:pPr>
          </w:p>
        </w:tc>
      </w:tr>
    </w:tbl>
    <w:p>
      <w:pPr>
        <w:textAlignment w:val="baseline"/>
        <w:rPr>
          <w:rFonts w:asciiTheme="minorEastAsia" w:hAnsiTheme="minorEastAsia" w:eastAsiaTheme="minorEastAsia"/>
          <w:szCs w:val="21"/>
        </w:rPr>
      </w:pPr>
    </w:p>
    <w:sectPr>
      <w:footerReference r:id="rId3" w:type="default"/>
      <w:pgSz w:w="11906" w:h="16838"/>
      <w:pgMar w:top="1247" w:right="1417"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altName w:val="Noto Sans Syriac Eastern"/>
    <w:panose1 w:val="02040503050406030204"/>
    <w:charset w:val="00"/>
    <w:family w:val="roman"/>
    <w:pitch w:val="default"/>
    <w:sig w:usb0="00000000" w:usb1="00000000" w:usb2="02000000"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微软雅黑">
    <w:altName w:val="黑体"/>
    <w:panose1 w:val="020B0503020204020204"/>
    <w:charset w:val="86"/>
    <w:family w:val="swiss"/>
    <w:pitch w:val="default"/>
    <w:sig w:usb0="00000000" w:usb1="00000000" w:usb2="00000016" w:usb3="00000000" w:csb0="0004001F"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3405333"/>
    </w:sdtPr>
    <w:sdtEndPr>
      <w:rPr>
        <w:rFonts w:asciiTheme="minorEastAsia" w:hAnsiTheme="minorEastAsia" w:eastAsiaTheme="minorEastAsia"/>
        <w:sz w:val="21"/>
        <w:szCs w:val="21"/>
      </w:rPr>
    </w:sdtEndPr>
    <w:sdtContent>
      <w:p>
        <w:pPr>
          <w:pStyle w:val="9"/>
          <w:jc w:val="center"/>
          <w:rPr>
            <w:rFonts w:asciiTheme="minorEastAsia" w:hAnsiTheme="minorEastAsia" w:eastAsiaTheme="minorEastAsia"/>
            <w:sz w:val="21"/>
            <w:szCs w:val="21"/>
          </w:rP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PAGE   \* MERGEFORMAT</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lang w:val="zh-CN"/>
          </w:rPr>
          <w:t>21</w:t>
        </w:r>
        <w:r>
          <w:rPr>
            <w:rFonts w:asciiTheme="minorEastAsia" w:hAnsiTheme="minorEastAsia" w:eastAsiaTheme="minorEastAsia"/>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FC4A2"/>
    <w:multiLevelType w:val="singleLevel"/>
    <w:tmpl w:val="B7FFC4A2"/>
    <w:lvl w:ilvl="0" w:tentative="0">
      <w:start w:val="1"/>
      <w:numFmt w:val="chineseCounting"/>
      <w:suff w:val="nothing"/>
      <w:lvlText w:val="%1、"/>
      <w:lvlJc w:val="left"/>
      <w:rPr>
        <w:rFonts w:hint="eastAsia"/>
      </w:rPr>
    </w:lvl>
  </w:abstractNum>
  <w:abstractNum w:abstractNumId="1">
    <w:nsid w:val="BB026C39"/>
    <w:multiLevelType w:val="singleLevel"/>
    <w:tmpl w:val="BB026C39"/>
    <w:lvl w:ilvl="0" w:tentative="0">
      <w:start w:val="2"/>
      <w:numFmt w:val="chineseCounting"/>
      <w:suff w:val="nothing"/>
      <w:lvlText w:val="%1、"/>
      <w:lvlJc w:val="left"/>
      <w:rPr>
        <w:rFonts w:hint="eastAsia"/>
      </w:rPr>
    </w:lvl>
  </w:abstractNum>
  <w:abstractNum w:abstractNumId="2">
    <w:nsid w:val="F7FB26F4"/>
    <w:multiLevelType w:val="singleLevel"/>
    <w:tmpl w:val="F7FB26F4"/>
    <w:lvl w:ilvl="0" w:tentative="0">
      <w:start w:val="4"/>
      <w:numFmt w:val="decimal"/>
      <w:lvlText w:val="%1."/>
      <w:lvlJc w:val="left"/>
      <w:pPr>
        <w:tabs>
          <w:tab w:val="left" w:pos="312"/>
        </w:tabs>
      </w:pPr>
    </w:lvl>
  </w:abstractNum>
  <w:abstractNum w:abstractNumId="3">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NzYwNDQyZjNhYWFlMjliZTk3NmI5YjRmZjQ3ZDQifQ=="/>
  </w:docVars>
  <w:rsids>
    <w:rsidRoot w:val="7B977886"/>
    <w:rsid w:val="00010B6F"/>
    <w:rsid w:val="000358E0"/>
    <w:rsid w:val="000F467D"/>
    <w:rsid w:val="00103938"/>
    <w:rsid w:val="00112F98"/>
    <w:rsid w:val="001349A1"/>
    <w:rsid w:val="001457EE"/>
    <w:rsid w:val="00156AE5"/>
    <w:rsid w:val="00157411"/>
    <w:rsid w:val="001D29FC"/>
    <w:rsid w:val="001F5175"/>
    <w:rsid w:val="00213017"/>
    <w:rsid w:val="0021456B"/>
    <w:rsid w:val="00245361"/>
    <w:rsid w:val="00276EB0"/>
    <w:rsid w:val="002B7D38"/>
    <w:rsid w:val="00320029"/>
    <w:rsid w:val="003A2DE2"/>
    <w:rsid w:val="003E08AC"/>
    <w:rsid w:val="003E0B15"/>
    <w:rsid w:val="004802F1"/>
    <w:rsid w:val="004A302A"/>
    <w:rsid w:val="004B4993"/>
    <w:rsid w:val="004C0595"/>
    <w:rsid w:val="004D0FCF"/>
    <w:rsid w:val="004E1F59"/>
    <w:rsid w:val="00565155"/>
    <w:rsid w:val="00566CAC"/>
    <w:rsid w:val="005C74AF"/>
    <w:rsid w:val="005D5FE2"/>
    <w:rsid w:val="005E1EA5"/>
    <w:rsid w:val="005F0FCB"/>
    <w:rsid w:val="00620BE7"/>
    <w:rsid w:val="006346EF"/>
    <w:rsid w:val="006377C7"/>
    <w:rsid w:val="00643218"/>
    <w:rsid w:val="006442F9"/>
    <w:rsid w:val="006D1652"/>
    <w:rsid w:val="006D27BA"/>
    <w:rsid w:val="00712608"/>
    <w:rsid w:val="00751D0F"/>
    <w:rsid w:val="0076717B"/>
    <w:rsid w:val="0077073A"/>
    <w:rsid w:val="00791AB6"/>
    <w:rsid w:val="007D0210"/>
    <w:rsid w:val="007E131B"/>
    <w:rsid w:val="007F2433"/>
    <w:rsid w:val="007F2735"/>
    <w:rsid w:val="00806CAB"/>
    <w:rsid w:val="00886F14"/>
    <w:rsid w:val="008B19AB"/>
    <w:rsid w:val="008C3F3A"/>
    <w:rsid w:val="00923F28"/>
    <w:rsid w:val="00980B16"/>
    <w:rsid w:val="00980F64"/>
    <w:rsid w:val="009828E3"/>
    <w:rsid w:val="009B5410"/>
    <w:rsid w:val="009D7760"/>
    <w:rsid w:val="00A0118F"/>
    <w:rsid w:val="00A12CC2"/>
    <w:rsid w:val="00A22480"/>
    <w:rsid w:val="00A66DCB"/>
    <w:rsid w:val="00A7532A"/>
    <w:rsid w:val="00AC3959"/>
    <w:rsid w:val="00AE6D31"/>
    <w:rsid w:val="00B511E8"/>
    <w:rsid w:val="00BB562B"/>
    <w:rsid w:val="00BC2EA8"/>
    <w:rsid w:val="00BC57AB"/>
    <w:rsid w:val="00C21B77"/>
    <w:rsid w:val="00C670F9"/>
    <w:rsid w:val="00C744E6"/>
    <w:rsid w:val="00C9043E"/>
    <w:rsid w:val="00C926CB"/>
    <w:rsid w:val="00D23A77"/>
    <w:rsid w:val="00D93E67"/>
    <w:rsid w:val="00E14D0C"/>
    <w:rsid w:val="00E32F10"/>
    <w:rsid w:val="00E536FA"/>
    <w:rsid w:val="00E73333"/>
    <w:rsid w:val="00EC428A"/>
    <w:rsid w:val="00ED33BE"/>
    <w:rsid w:val="00EF01B3"/>
    <w:rsid w:val="00EF5DD5"/>
    <w:rsid w:val="00F96A3E"/>
    <w:rsid w:val="00FB6A3D"/>
    <w:rsid w:val="00FC0D4F"/>
    <w:rsid w:val="01E54801"/>
    <w:rsid w:val="021455EA"/>
    <w:rsid w:val="03816E6D"/>
    <w:rsid w:val="08146D2C"/>
    <w:rsid w:val="0B331BD7"/>
    <w:rsid w:val="0EDA70D5"/>
    <w:rsid w:val="16F963FB"/>
    <w:rsid w:val="199545CB"/>
    <w:rsid w:val="1BE4366A"/>
    <w:rsid w:val="236F23F8"/>
    <w:rsid w:val="25134EE9"/>
    <w:rsid w:val="27624273"/>
    <w:rsid w:val="282E0A28"/>
    <w:rsid w:val="2AD67C84"/>
    <w:rsid w:val="2B4B2AFB"/>
    <w:rsid w:val="2BFF132C"/>
    <w:rsid w:val="2EA2487C"/>
    <w:rsid w:val="33A41DF3"/>
    <w:rsid w:val="35EA551E"/>
    <w:rsid w:val="367504B8"/>
    <w:rsid w:val="37C9450E"/>
    <w:rsid w:val="3D0C4E0B"/>
    <w:rsid w:val="3F392793"/>
    <w:rsid w:val="3F6D5A16"/>
    <w:rsid w:val="433C5946"/>
    <w:rsid w:val="44FA5BCC"/>
    <w:rsid w:val="4613113E"/>
    <w:rsid w:val="4658559D"/>
    <w:rsid w:val="4E38738D"/>
    <w:rsid w:val="4F675506"/>
    <w:rsid w:val="500656EA"/>
    <w:rsid w:val="54952CC5"/>
    <w:rsid w:val="56117F5F"/>
    <w:rsid w:val="566E759B"/>
    <w:rsid w:val="58CF52A1"/>
    <w:rsid w:val="590A5FCE"/>
    <w:rsid w:val="5ABF1B5E"/>
    <w:rsid w:val="5F9F0286"/>
    <w:rsid w:val="60B17FB3"/>
    <w:rsid w:val="62312465"/>
    <w:rsid w:val="63BB4D1F"/>
    <w:rsid w:val="65B03CD6"/>
    <w:rsid w:val="65C27E0C"/>
    <w:rsid w:val="67AC7D87"/>
    <w:rsid w:val="67C60BA5"/>
    <w:rsid w:val="6AD40FE2"/>
    <w:rsid w:val="6B0E6412"/>
    <w:rsid w:val="6CD94469"/>
    <w:rsid w:val="6D8F0B6C"/>
    <w:rsid w:val="6EDBACAF"/>
    <w:rsid w:val="72CF07C8"/>
    <w:rsid w:val="73973068"/>
    <w:rsid w:val="761864BB"/>
    <w:rsid w:val="77734CC1"/>
    <w:rsid w:val="7777E002"/>
    <w:rsid w:val="78E95FC9"/>
    <w:rsid w:val="7B977886"/>
    <w:rsid w:val="7C670F2A"/>
    <w:rsid w:val="7DB92AEB"/>
    <w:rsid w:val="7FF593A0"/>
    <w:rsid w:val="FE7A2342"/>
    <w:rsid w:val="FFD1B8F9"/>
    <w:rsid w:val="FFDF2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99" w:semiHidden="0" w:name="annotation text"/>
    <w:lsdException w:qFormat="1"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numPr>
        <w:ilvl w:val="0"/>
        <w:numId w:val="1"/>
      </w:numPr>
      <w:spacing w:line="360" w:lineRule="auto"/>
      <w:jc w:val="left"/>
      <w:outlineLvl w:val="1"/>
    </w:pPr>
    <w:rPr>
      <w:rFonts w:ascii="仿宋_GB2312" w:hAnsi="仿宋" w:eastAsia="仿宋_GB2312"/>
      <w:b/>
      <w:bCs/>
      <w:sz w:val="32"/>
      <w:szCs w:val="32"/>
      <w:lang w:val="zh-CN"/>
    </w:rPr>
  </w:style>
  <w:style w:type="paragraph" w:styleId="4">
    <w:name w:val="heading 4"/>
    <w:basedOn w:val="1"/>
    <w:next w:val="1"/>
    <w:qFormat/>
    <w:uiPriority w:val="0"/>
    <w:pPr>
      <w:keepNext/>
      <w:keepLines/>
      <w:spacing w:before="280" w:after="290" w:line="480" w:lineRule="exact"/>
      <w:jc w:val="center"/>
      <w:outlineLvl w:val="3"/>
    </w:pPr>
    <w:rPr>
      <w:rFonts w:ascii="Cambria" w:hAnsi="Cambria"/>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sz w:val="32"/>
    </w:rPr>
  </w:style>
  <w:style w:type="paragraph" w:styleId="5">
    <w:name w:val="Normal Indent"/>
    <w:basedOn w:val="1"/>
    <w:qFormat/>
    <w:uiPriority w:val="99"/>
    <w:pPr>
      <w:ind w:firstLine="420"/>
    </w:pPr>
    <w:rPr>
      <w:szCs w:val="20"/>
    </w:rPr>
  </w:style>
  <w:style w:type="paragraph" w:styleId="6">
    <w:name w:val="annotation text"/>
    <w:basedOn w:val="1"/>
    <w:qFormat/>
    <w:uiPriority w:val="99"/>
    <w:pPr>
      <w:jc w:val="left"/>
    </w:pPr>
  </w:style>
  <w:style w:type="paragraph" w:styleId="7">
    <w:name w:val="Plain Text"/>
    <w:basedOn w:val="1"/>
    <w:link w:val="21"/>
    <w:qFormat/>
    <w:uiPriority w:val="0"/>
    <w:rPr>
      <w:rFonts w:ascii="宋体"/>
      <w:szCs w:val="20"/>
    </w:rPr>
  </w:style>
  <w:style w:type="paragraph" w:styleId="8">
    <w:name w:val="Body Text Indent 2"/>
    <w:basedOn w:val="1"/>
    <w:qFormat/>
    <w:uiPriority w:val="0"/>
    <w:pPr>
      <w:spacing w:after="120" w:line="480" w:lineRule="auto"/>
      <w:ind w:left="420" w:leftChars="200"/>
    </w:pPr>
  </w:style>
  <w:style w:type="paragraph" w:styleId="9">
    <w:name w:val="footer"/>
    <w:basedOn w:val="1"/>
    <w:link w:val="22"/>
    <w:qFormat/>
    <w:uiPriority w:val="99"/>
    <w:pPr>
      <w:tabs>
        <w:tab w:val="center" w:pos="4153"/>
        <w:tab w:val="right" w:pos="8306"/>
      </w:tabs>
      <w:snapToGrid w:val="0"/>
      <w:jc w:val="left"/>
    </w:pPr>
    <w:rPr>
      <w:rFonts w:ascii="宋体" w:hAnsi="Courier New"/>
      <w:sz w:val="18"/>
      <w:szCs w:val="20"/>
    </w:rPr>
  </w:style>
  <w:style w:type="paragraph" w:styleId="10">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qFormat/>
    <w:uiPriority w:val="99"/>
    <w:rPr>
      <w:sz w:val="21"/>
    </w:rPr>
  </w:style>
  <w:style w:type="paragraph" w:customStyle="1" w:styleId="15">
    <w:name w:val="列出段落1"/>
    <w:qFormat/>
    <w:uiPriority w:val="34"/>
    <w:pPr>
      <w:widowControl w:val="0"/>
      <w:ind w:firstLine="420"/>
      <w:jc w:val="both"/>
    </w:pPr>
    <w:rPr>
      <w:rFonts w:ascii="Calibri" w:hAnsi="Calibri" w:eastAsia="Calibri" w:cs="Calibri"/>
      <w:color w:val="000000"/>
      <w:kern w:val="2"/>
      <w:sz w:val="21"/>
      <w:szCs w:val="21"/>
      <w:u w:color="000000"/>
      <w:lang w:val="en-US" w:eastAsia="zh-CN" w:bidi="ar-SA"/>
    </w:rPr>
  </w:style>
  <w:style w:type="paragraph" w:customStyle="1" w:styleId="16">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styleId="17">
    <w:name w:val="List Paragraph"/>
    <w:basedOn w:val="1"/>
    <w:qFormat/>
    <w:uiPriority w:val="0"/>
    <w:pPr>
      <w:widowControl/>
      <w:ind w:firstLine="420" w:firstLineChars="200"/>
      <w:jc w:val="left"/>
    </w:pPr>
    <w:rPr>
      <w:rFonts w:ascii="宋体" w:hAnsi="宋体" w:cs="宋体"/>
    </w:rPr>
  </w:style>
  <w:style w:type="character" w:customStyle="1" w:styleId="18">
    <w:name w:val="正文 + 宋体 Char"/>
    <w:link w:val="19"/>
    <w:qFormat/>
    <w:uiPriority w:val="0"/>
    <w:rPr>
      <w:rFonts w:ascii="宋体" w:hAnsi="宋体"/>
      <w:b/>
      <w:sz w:val="24"/>
    </w:rPr>
  </w:style>
  <w:style w:type="paragraph" w:customStyle="1" w:styleId="19">
    <w:name w:val="正文 + 宋体"/>
    <w:basedOn w:val="8"/>
    <w:link w:val="18"/>
    <w:qFormat/>
    <w:uiPriority w:val="0"/>
    <w:pPr>
      <w:spacing w:line="480" w:lineRule="exact"/>
      <w:ind w:left="0" w:leftChars="0"/>
    </w:pPr>
    <w:rPr>
      <w:rFonts w:ascii="宋体" w:hAnsi="宋体"/>
      <w:b/>
      <w:sz w:val="24"/>
    </w:rPr>
  </w:style>
  <w:style w:type="character" w:customStyle="1" w:styleId="20">
    <w:name w:val="页眉 Char"/>
    <w:basedOn w:val="13"/>
    <w:link w:val="10"/>
    <w:qFormat/>
    <w:uiPriority w:val="0"/>
    <w:rPr>
      <w:rFonts w:ascii="Times New Roman" w:hAnsi="Times New Roman" w:eastAsia="宋体" w:cs="Times New Roman"/>
      <w:kern w:val="2"/>
      <w:sz w:val="18"/>
      <w:szCs w:val="18"/>
    </w:rPr>
  </w:style>
  <w:style w:type="character" w:customStyle="1" w:styleId="21">
    <w:name w:val="纯文本 Char"/>
    <w:basedOn w:val="13"/>
    <w:link w:val="7"/>
    <w:qFormat/>
    <w:uiPriority w:val="0"/>
    <w:rPr>
      <w:rFonts w:ascii="宋体"/>
      <w:kern w:val="2"/>
      <w:sz w:val="21"/>
    </w:rPr>
  </w:style>
  <w:style w:type="character" w:customStyle="1" w:styleId="22">
    <w:name w:val="页脚 Char"/>
    <w:basedOn w:val="13"/>
    <w:link w:val="9"/>
    <w:qFormat/>
    <w:uiPriority w:val="99"/>
    <w:rPr>
      <w:rFonts w:ascii="宋体" w:hAnsi="Courier New"/>
      <w:kern w:val="2"/>
      <w:sz w:val="18"/>
    </w:rPr>
  </w:style>
  <w:style w:type="character" w:customStyle="1" w:styleId="23">
    <w:name w:val="font31"/>
    <w:basedOn w:val="13"/>
    <w:qFormat/>
    <w:uiPriority w:val="0"/>
    <w:rPr>
      <w:rFonts w:hint="eastAsia" w:ascii="宋体" w:hAnsi="宋体" w:eastAsia="宋体" w:cs="宋体"/>
      <w:color w:val="000000"/>
      <w:sz w:val="20"/>
      <w:szCs w:val="20"/>
      <w:u w:val="none"/>
    </w:rPr>
  </w:style>
  <w:style w:type="character" w:customStyle="1" w:styleId="24">
    <w:name w:val="font81"/>
    <w:basedOn w:val="13"/>
    <w:qFormat/>
    <w:uiPriority w:val="0"/>
    <w:rPr>
      <w:rFonts w:ascii="微软雅黑" w:hAnsi="微软雅黑" w:eastAsia="微软雅黑" w:cs="微软雅黑"/>
      <w:color w:val="000000"/>
      <w:sz w:val="20"/>
      <w:szCs w:val="20"/>
      <w:u w:val="none"/>
    </w:rPr>
  </w:style>
  <w:style w:type="character" w:customStyle="1" w:styleId="25">
    <w:name w:val="font91"/>
    <w:basedOn w:val="13"/>
    <w:qFormat/>
    <w:uiPriority w:val="0"/>
    <w:rPr>
      <w:rFonts w:hint="eastAsia" w:ascii="宋体" w:hAnsi="宋体" w:eastAsia="宋体" w:cs="宋体"/>
      <w:color w:val="000000"/>
      <w:sz w:val="20"/>
      <w:szCs w:val="20"/>
      <w:u w:val="none"/>
    </w:rPr>
  </w:style>
  <w:style w:type="character" w:customStyle="1" w:styleId="26">
    <w:name w:val="font101"/>
    <w:basedOn w:val="13"/>
    <w:qFormat/>
    <w:uiPriority w:val="0"/>
    <w:rPr>
      <w:rFonts w:hint="default" w:ascii="微软雅黑" w:hAnsi="微软雅黑" w:eastAsia="微软雅黑" w:cs="微软雅黑"/>
      <w:color w:val="000000"/>
      <w:sz w:val="20"/>
      <w:szCs w:val="20"/>
      <w:u w:val="none"/>
    </w:rPr>
  </w:style>
  <w:style w:type="character" w:customStyle="1" w:styleId="27">
    <w:name w:val="font11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5082</Words>
  <Characters>28969</Characters>
  <Lines>241</Lines>
  <Paragraphs>67</Paragraphs>
  <TotalTime>9</TotalTime>
  <ScaleCrop>false</ScaleCrop>
  <LinksUpToDate>false</LinksUpToDate>
  <CharactersWithSpaces>33984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2026-06-22T19:54:00Z</dcterms:created>
  <dc:creator>djz</dc:creator>
  <cp:lastModifiedBy>djz</cp:lastModifiedBy>
  <cp:lastPrinted>2021-08-06T14:50:00Z</cp:lastPrinted>
  <dcterms:modified xsi:type="dcterms:W3CDTF">2026-06-23T15:30:19Z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AB05FD5673B94000879DAC276DC70C54</vt:lpwstr>
  </property>
  <property fmtid="{D5CDD505-2E9C-101B-9397-08002B2CF9AE}" pid="4" name="KSOTemplateDocerSaveRecord">
    <vt:lpwstr>eyJoZGlkIjoiZTAyNzk0MjI3MDFiMTQzNDRhYmMzNjY1OGFkNDY0ZWEiLCJ1c2VySWQiOiIzMjU1Njk5ODUifQ==</vt:lpwstr>
  </property>
</Properties>
</file>