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EAAF5">
      <w:pPr>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商务要求偏离表</w:t>
      </w:r>
    </w:p>
    <w:tbl>
      <w:tblPr>
        <w:tblStyle w:val="10"/>
        <w:tblpPr w:leftFromText="180" w:rightFromText="180" w:vertAnchor="text" w:horzAnchor="page" w:tblpX="902" w:tblpY="351"/>
        <w:tblOverlap w:val="never"/>
        <w:tblW w:w="154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84"/>
        <w:gridCol w:w="6585"/>
        <w:gridCol w:w="1395"/>
      </w:tblGrid>
      <w:tr w14:paraId="34D09D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7484" w:type="dxa"/>
            <w:tcBorders>
              <w:top w:val="single" w:color="auto" w:sz="4" w:space="0"/>
              <w:left w:val="single" w:color="auto" w:sz="4" w:space="0"/>
              <w:bottom w:val="single" w:color="auto" w:sz="4" w:space="0"/>
              <w:right w:val="single" w:color="auto" w:sz="4" w:space="0"/>
            </w:tcBorders>
            <w:noWrap w:val="0"/>
            <w:vAlign w:val="center"/>
          </w:tcPr>
          <w:p w14:paraId="03C325FC">
            <w:pPr>
              <w:snapToGrid w:val="0"/>
              <w:spacing w:before="156" w:beforeLines="50" w:line="360" w:lineRule="auto"/>
              <w:jc w:val="center"/>
              <w:rPr>
                <w:rFonts w:hint="eastAsia" w:ascii="宋体" w:hAnsi="宋体" w:cs="宋体"/>
                <w:b/>
                <w:bCs/>
                <w:szCs w:val="21"/>
              </w:rPr>
            </w:pPr>
            <w:r>
              <w:rPr>
                <w:rFonts w:hint="eastAsia" w:ascii="宋体" w:hAnsi="宋体" w:cs="宋体"/>
                <w:b/>
                <w:bCs/>
                <w:szCs w:val="21"/>
              </w:rPr>
              <w:t>询价文件商务要求</w:t>
            </w:r>
          </w:p>
        </w:tc>
        <w:tc>
          <w:tcPr>
            <w:tcW w:w="6585" w:type="dxa"/>
            <w:tcBorders>
              <w:top w:val="single" w:color="auto" w:sz="4" w:space="0"/>
              <w:left w:val="single" w:color="auto" w:sz="4" w:space="0"/>
              <w:bottom w:val="single" w:color="auto" w:sz="4" w:space="0"/>
              <w:right w:val="single" w:color="auto" w:sz="4" w:space="0"/>
            </w:tcBorders>
            <w:noWrap w:val="0"/>
            <w:vAlign w:val="center"/>
          </w:tcPr>
          <w:p w14:paraId="5E08B791">
            <w:pPr>
              <w:snapToGrid w:val="0"/>
              <w:spacing w:before="156" w:beforeLines="50" w:line="360" w:lineRule="auto"/>
              <w:jc w:val="center"/>
              <w:rPr>
                <w:rFonts w:hint="eastAsia" w:ascii="宋体" w:hAnsi="宋体" w:cs="宋体"/>
                <w:b/>
                <w:bCs/>
                <w:szCs w:val="21"/>
              </w:rPr>
            </w:pPr>
            <w:r>
              <w:rPr>
                <w:rFonts w:hint="eastAsia" w:ascii="宋体" w:hAnsi="宋体" w:cs="宋体"/>
                <w:b/>
                <w:bCs/>
                <w:szCs w:val="21"/>
              </w:rPr>
              <w:t>供应商报价文件的响应情况</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4A41F5C">
            <w:pPr>
              <w:snapToGrid w:val="0"/>
              <w:spacing w:before="156" w:beforeLines="50" w:line="360" w:lineRule="auto"/>
              <w:jc w:val="center"/>
              <w:rPr>
                <w:rFonts w:hint="eastAsia" w:ascii="宋体" w:hAnsi="宋体" w:cs="宋体"/>
                <w:b/>
                <w:bCs/>
                <w:szCs w:val="21"/>
              </w:rPr>
            </w:pPr>
            <w:r>
              <w:rPr>
                <w:rFonts w:hint="eastAsia" w:ascii="宋体" w:hAnsi="宋体" w:cs="宋体"/>
                <w:b/>
                <w:bCs/>
                <w:szCs w:val="21"/>
              </w:rPr>
              <w:t>偏离说明</w:t>
            </w:r>
          </w:p>
        </w:tc>
      </w:tr>
      <w:tr w14:paraId="3DAF1C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7484" w:type="dxa"/>
            <w:tcBorders>
              <w:top w:val="single" w:color="auto" w:sz="4" w:space="0"/>
              <w:left w:val="single" w:color="auto" w:sz="4" w:space="0"/>
              <w:bottom w:val="single" w:color="auto" w:sz="4" w:space="0"/>
              <w:right w:val="single" w:color="auto" w:sz="4" w:space="0"/>
            </w:tcBorders>
            <w:noWrap w:val="0"/>
            <w:vAlign w:val="center"/>
          </w:tcPr>
          <w:p w14:paraId="0B33B2BB">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（一）供应商资格要求</w:t>
            </w:r>
          </w:p>
          <w:p w14:paraId="01067A5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1.符合《中华人民共和国政府采购法》第二十二条规定；</w:t>
            </w:r>
          </w:p>
          <w:p w14:paraId="2488F93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2.未被信用中国网站（www.creditchina.gov.cn）列入失信被执行人、重大税收违法失信主体名单、政府采购严重违法失信行为记录名单；</w:t>
            </w:r>
          </w:p>
          <w:p w14:paraId="6D7717A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szCs w:val="21"/>
              </w:rPr>
            </w:pPr>
            <w:r>
              <w:rPr>
                <w:rFonts w:hint="eastAsia" w:ascii="仿宋_GB2312" w:hAnsi="仿宋_GB2312" w:eastAsia="仿宋_GB2312" w:cs="仿宋_GB2312"/>
                <w:color w:val="auto"/>
                <w:sz w:val="24"/>
                <w:szCs w:val="24"/>
                <w:highlight w:val="none"/>
                <w:lang w:val="en-US" w:eastAsia="zh-CN"/>
              </w:rPr>
              <w:t>3.本项目不接受联合体报价。</w:t>
            </w:r>
          </w:p>
        </w:tc>
        <w:tc>
          <w:tcPr>
            <w:tcW w:w="6585" w:type="dxa"/>
            <w:tcBorders>
              <w:top w:val="single" w:color="auto" w:sz="4" w:space="0"/>
              <w:left w:val="single" w:color="auto" w:sz="4" w:space="0"/>
              <w:bottom w:val="single" w:color="auto" w:sz="4" w:space="0"/>
              <w:right w:val="single" w:color="auto" w:sz="4" w:space="0"/>
            </w:tcBorders>
            <w:noWrap w:val="0"/>
            <w:vAlign w:val="center"/>
          </w:tcPr>
          <w:p w14:paraId="7D04C317">
            <w:pPr>
              <w:snapToGrid w:val="0"/>
              <w:spacing w:before="156" w:beforeLines="50" w:line="360" w:lineRule="auto"/>
              <w:jc w:val="center"/>
              <w:rPr>
                <w:rFonts w:hint="eastAsia" w:ascii="宋体" w:hAnsi="宋体" w:cs="宋体"/>
                <w:szCs w:val="21"/>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61FF50DA">
            <w:pPr>
              <w:snapToGrid w:val="0"/>
              <w:spacing w:before="156" w:beforeLines="50" w:line="360" w:lineRule="auto"/>
              <w:jc w:val="center"/>
              <w:rPr>
                <w:rFonts w:hint="eastAsia" w:ascii="宋体" w:hAnsi="宋体" w:cs="宋体"/>
                <w:szCs w:val="21"/>
              </w:rPr>
            </w:pPr>
          </w:p>
        </w:tc>
      </w:tr>
      <w:tr w14:paraId="2D574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7484" w:type="dxa"/>
            <w:tcBorders>
              <w:top w:val="single" w:color="auto" w:sz="4" w:space="0"/>
              <w:left w:val="single" w:color="auto" w:sz="4" w:space="0"/>
              <w:bottom w:val="single" w:color="auto" w:sz="4" w:space="0"/>
              <w:right w:val="single" w:color="auto" w:sz="4" w:space="0"/>
            </w:tcBorders>
            <w:noWrap w:val="0"/>
            <w:vAlign w:val="center"/>
          </w:tcPr>
          <w:p w14:paraId="5943E780">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（二）报价要求</w:t>
            </w:r>
          </w:p>
          <w:p w14:paraId="41AA02BF">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1.竞标报价为采购人指定地点的现场交货价，包括但不限于：</w:t>
            </w:r>
          </w:p>
          <w:p w14:paraId="0B8D9F9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（1）货物的价格：货物本体价款、标准附件、备品备件、专用工具价款等；</w:t>
            </w:r>
          </w:p>
          <w:p w14:paraId="7DD272C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（2）配套零配件、辅材、安装调试、现场验收、现场技术培训、人员培训费用；</w:t>
            </w:r>
          </w:p>
          <w:p w14:paraId="4D26E15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（3）运输、装卸、上楼搬运、安装垃圾清运、货物摆放就位、成品保护费用；</w:t>
            </w:r>
          </w:p>
          <w:p w14:paraId="7D8096E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（4）质保期售后服务、保险、管理费、合理利润、所有税费，以及完成本项目全部义务所需一切相关费用。</w:t>
            </w:r>
          </w:p>
          <w:p w14:paraId="2248F64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注：</w:t>
            </w:r>
            <w:r>
              <w:rPr>
                <w:rFonts w:hint="eastAsia" w:asciiTheme="minorEastAsia" w:hAnsiTheme="minorEastAsia" w:eastAsiaTheme="minorEastAsia" w:cstheme="minorEastAsia"/>
                <w:color w:val="auto"/>
                <w:sz w:val="24"/>
                <w:szCs w:val="24"/>
                <w:highlight w:val="none"/>
                <w:lang w:val="en-US" w:eastAsia="zh-CN"/>
              </w:rPr>
              <w:t>①</w:t>
            </w:r>
            <w:r>
              <w:rPr>
                <w:rFonts w:hint="eastAsia" w:ascii="仿宋_GB2312" w:hAnsi="仿宋_GB2312" w:eastAsia="仿宋_GB2312" w:cs="仿宋_GB2312"/>
                <w:color w:val="auto"/>
                <w:sz w:val="24"/>
                <w:szCs w:val="24"/>
                <w:highlight w:val="none"/>
                <w:lang w:val="en-US" w:eastAsia="zh-CN"/>
              </w:rPr>
              <w:t>本项目设置</w:t>
            </w:r>
            <w:r>
              <w:rPr>
                <w:rFonts w:hint="eastAsia" w:ascii="仿宋_GB2312" w:hAnsi="仿宋_GB2312" w:eastAsia="仿宋_GB2312" w:cs="仿宋_GB2312"/>
                <w:b w:val="0"/>
                <w:bCs w:val="0"/>
                <w:color w:val="auto"/>
                <w:sz w:val="24"/>
                <w:szCs w:val="24"/>
                <w:highlight w:val="none"/>
                <w:lang w:val="en-US" w:eastAsia="zh-CN"/>
              </w:rPr>
              <w:t>项目总价最高限价</w:t>
            </w:r>
            <w:r>
              <w:rPr>
                <w:rFonts w:hint="eastAsia" w:ascii="仿宋_GB2312" w:hAnsi="仿宋_GB2312" w:eastAsia="仿宋_GB2312" w:cs="仿宋_GB2312"/>
                <w:color w:val="auto"/>
                <w:sz w:val="24"/>
                <w:szCs w:val="24"/>
                <w:highlight w:val="none"/>
                <w:lang w:val="en-US" w:eastAsia="zh-CN"/>
              </w:rPr>
              <w:t>，供应商项目总价超出总价最高限价的，按竞标无效处理。</w:t>
            </w:r>
          </w:p>
          <w:p w14:paraId="4FD170D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②</w:t>
            </w:r>
            <w:r>
              <w:rPr>
                <w:rFonts w:hint="eastAsia" w:ascii="仿宋_GB2312" w:hAnsi="仿宋_GB2312" w:eastAsia="仿宋_GB2312" w:cs="仿宋_GB2312"/>
                <w:color w:val="auto"/>
                <w:sz w:val="24"/>
                <w:szCs w:val="24"/>
                <w:highlight w:val="none"/>
                <w:lang w:val="en-US" w:eastAsia="zh-CN"/>
              </w:rPr>
              <w:t xml:space="preserve">供应商须充分研读采购需求，自行测算完成本项目所需全部辅材、配套耗材、配件数量。凡为满足采购文件技术要求、实现货物正常使用功能所需的配套材料、辅助构件，无论清单是否单独列明，均视为已包含在报价内。成交后，采购人不再支付任何额外费用。                                                                                                           </w:t>
            </w:r>
          </w:p>
          <w:p w14:paraId="0CEEE1E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本项目最高限价为847430.00元，供应商报价不得超过该最高限价，否则按无效投标处理。若供应商电子版报价材料与政采云平台系统报价不一致，以政采云平台填报的报价为准，由此产生的一切后果由供应商自行承担。</w:t>
            </w:r>
          </w:p>
          <w:p w14:paraId="70C8350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3.供应商在报价时必须按要求提供报价文件（每页加盖单位公章）扫描件，否则报价无效。如果不能按时按要求提供，则视为供应商响应无效。</w:t>
            </w:r>
          </w:p>
          <w:p w14:paraId="74BC6AF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4.供应商不得随意更改需求内容（包含型号规格等），否则按无效投标处理。</w:t>
            </w:r>
          </w:p>
          <w:p w14:paraId="3DC9B65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供应商要了解采购需求及商务要求，如因中标企业弃标、因中标企业造成的废标、因中标企业在项目中标后以不合理理由申请更换标的物、中标企业存在故意拖延不签订合同等行为，造成采购人损失的，应由中标企业负责，采购人有权投诉至主管部门并追究中标企业相关责任。</w:t>
            </w:r>
          </w:p>
          <w:p w14:paraId="6CFC9A5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若供应商报价低于本项目最高限价45%的，即投标（响应）报价&lt;采购项目最高限价×45%，评审委员会启动异常低价投标（响应）审查程序，要求相关供应商在评审现场合理的时间内对响应价格作出解释，提供项目具体成本测算等与报价合理性相关的书面说明及必要的证明材料，包括但不限于原材料成本、人工成本、制造费用等，给予相关供应商合理时间1小时。供应商不能提供书面说明、证明材料，或者提供的书面说明、证明材料不能证明其报价合理性的，评审委员会应当将其作为无效响应处理。</w:t>
            </w:r>
          </w:p>
          <w:p w14:paraId="2B0644B8">
            <w:pPr>
              <w:jc w:val="center"/>
              <w:rPr>
                <w:rFonts w:hint="eastAsia" w:ascii="宋体" w:hAnsi="宋体" w:cs="宋体"/>
                <w:szCs w:val="21"/>
              </w:rPr>
            </w:pPr>
          </w:p>
        </w:tc>
        <w:tc>
          <w:tcPr>
            <w:tcW w:w="6585" w:type="dxa"/>
            <w:tcBorders>
              <w:top w:val="single" w:color="auto" w:sz="4" w:space="0"/>
              <w:left w:val="single" w:color="auto" w:sz="4" w:space="0"/>
              <w:bottom w:val="single" w:color="auto" w:sz="4" w:space="0"/>
              <w:right w:val="single" w:color="auto" w:sz="4" w:space="0"/>
            </w:tcBorders>
            <w:noWrap w:val="0"/>
            <w:vAlign w:val="center"/>
          </w:tcPr>
          <w:p w14:paraId="4B4AAF79">
            <w:pPr>
              <w:snapToGrid w:val="0"/>
              <w:spacing w:before="156" w:beforeLines="50" w:line="360" w:lineRule="auto"/>
              <w:ind w:left="43"/>
              <w:jc w:val="center"/>
              <w:rPr>
                <w:rFonts w:hint="eastAsia" w:ascii="宋体" w:hAnsi="宋体" w:cs="宋体"/>
                <w:szCs w:val="21"/>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002E5539">
            <w:pPr>
              <w:snapToGrid w:val="0"/>
              <w:spacing w:before="156" w:beforeLines="50" w:line="360" w:lineRule="auto"/>
              <w:ind w:left="43"/>
              <w:jc w:val="center"/>
              <w:rPr>
                <w:rFonts w:hint="eastAsia" w:ascii="宋体" w:hAnsi="宋体" w:cs="宋体"/>
                <w:szCs w:val="21"/>
              </w:rPr>
            </w:pPr>
          </w:p>
        </w:tc>
      </w:tr>
      <w:tr w14:paraId="5651FE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7484" w:type="dxa"/>
            <w:tcBorders>
              <w:top w:val="single" w:color="auto" w:sz="4" w:space="0"/>
              <w:left w:val="single" w:color="auto" w:sz="4" w:space="0"/>
              <w:bottom w:val="single" w:color="auto" w:sz="4" w:space="0"/>
              <w:right w:val="single" w:color="auto" w:sz="4" w:space="0"/>
            </w:tcBorders>
            <w:noWrap w:val="0"/>
            <w:vAlign w:val="center"/>
          </w:tcPr>
          <w:p w14:paraId="63A8A4E5">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（三）供货及收货</w:t>
            </w:r>
          </w:p>
          <w:p w14:paraId="4535F5D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1.收货地点：广西壮族自治区防城港市防城区江山乡江山半岛科教园区防城港职业技术学院内指定地点（具体位置由采购人在合同签订时提供），收货人：杨老师 ，联系方式： 17878461511 。</w:t>
            </w:r>
          </w:p>
          <w:p w14:paraId="2A9EEE0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2.交货期： 自合同签订之日起10个工作日内，中标企业完成全部货物的生产、供货、安装调试。</w:t>
            </w:r>
          </w:p>
          <w:p w14:paraId="7A89AB2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3.合同签订期：自成交通知书发出之日起10日内。</w:t>
            </w:r>
          </w:p>
          <w:p w14:paraId="5FBCB61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4.所有产品必须是厂家合法渠道的全新产品，符合规定的质量、规格、性能，并按照相关国家及专业标准检验合格，其产品须符合国家有关规定并承诺实行“三包”，需提供产品质量保证承诺。</w:t>
            </w:r>
          </w:p>
          <w:p w14:paraId="4BB9EB1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cs="宋体"/>
                <w:szCs w:val="21"/>
              </w:rPr>
            </w:pPr>
            <w:r>
              <w:rPr>
                <w:rFonts w:hint="eastAsia" w:ascii="仿宋_GB2312" w:hAnsi="仿宋_GB2312" w:eastAsia="仿宋_GB2312" w:cs="仿宋_GB2312"/>
                <w:color w:val="auto"/>
                <w:sz w:val="24"/>
                <w:szCs w:val="24"/>
                <w:highlight w:val="none"/>
                <w:lang w:val="en-US" w:eastAsia="zh-CN"/>
              </w:rPr>
              <w:t>5.若因采购人自身原因（含场地不具备交付条件、配套设施未完工等），导致供应商不具备进场安装条件的，双方可通过书面补充说明形式协商一致，明确延期时长，合理顺延供货、安装及履约期限，顺延期间不计算供应商逾期违约罚款。除采购人书面确认延期情形外，供应商逾期完成供货安装的，按合同约定承担逾期违约责任。</w:t>
            </w:r>
          </w:p>
        </w:tc>
        <w:tc>
          <w:tcPr>
            <w:tcW w:w="6585" w:type="dxa"/>
            <w:tcBorders>
              <w:top w:val="single" w:color="auto" w:sz="4" w:space="0"/>
              <w:left w:val="single" w:color="auto" w:sz="4" w:space="0"/>
              <w:bottom w:val="single" w:color="auto" w:sz="4" w:space="0"/>
              <w:right w:val="single" w:color="auto" w:sz="4" w:space="0"/>
            </w:tcBorders>
            <w:noWrap w:val="0"/>
            <w:vAlign w:val="center"/>
          </w:tcPr>
          <w:p w14:paraId="7141F1F0">
            <w:pPr>
              <w:snapToGrid w:val="0"/>
              <w:spacing w:before="156" w:beforeLines="50" w:line="360" w:lineRule="auto"/>
              <w:ind w:left="43"/>
              <w:jc w:val="center"/>
              <w:rPr>
                <w:rFonts w:hint="eastAsia" w:ascii="宋体" w:hAnsi="宋体" w:cs="宋体"/>
                <w:szCs w:val="21"/>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74AB3D83">
            <w:pPr>
              <w:snapToGrid w:val="0"/>
              <w:spacing w:before="156" w:beforeLines="50" w:line="360" w:lineRule="auto"/>
              <w:ind w:left="43"/>
              <w:jc w:val="center"/>
              <w:rPr>
                <w:rFonts w:hint="eastAsia" w:ascii="宋体" w:hAnsi="宋体" w:cs="宋体"/>
                <w:szCs w:val="21"/>
              </w:rPr>
            </w:pPr>
          </w:p>
        </w:tc>
      </w:tr>
      <w:tr w14:paraId="2FD5C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7484" w:type="dxa"/>
            <w:tcBorders>
              <w:top w:val="single" w:color="auto" w:sz="4" w:space="0"/>
              <w:left w:val="single" w:color="auto" w:sz="4" w:space="0"/>
              <w:bottom w:val="single" w:color="auto" w:sz="4" w:space="0"/>
              <w:right w:val="single" w:color="auto" w:sz="4" w:space="0"/>
            </w:tcBorders>
            <w:noWrap w:val="0"/>
            <w:vAlign w:val="center"/>
          </w:tcPr>
          <w:p w14:paraId="085036BA">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（四）验收及支付</w:t>
            </w:r>
          </w:p>
          <w:p w14:paraId="7B6368BB">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sz w:val="24"/>
                <w:szCs w:val="24"/>
                <w:highlight w:val="none"/>
                <w:lang w:val="en-US" w:eastAsia="zh-CN"/>
              </w:rPr>
              <w:t>1.验收</w:t>
            </w:r>
            <w:r>
              <w:rPr>
                <w:rFonts w:hint="eastAsia" w:ascii="仿宋_GB2312" w:hAnsi="仿宋_GB2312" w:eastAsia="仿宋_GB2312" w:cs="仿宋_GB2312"/>
                <w:color w:val="auto"/>
                <w:sz w:val="24"/>
                <w:szCs w:val="24"/>
                <w:highlight w:val="none"/>
                <w:lang w:val="en-US" w:eastAsia="zh-CN"/>
              </w:rPr>
              <w:t>要求：货物按照采购人要求位置安装完毕并且能正常使用后，按照参数需求、报价文件的各项指标和国家有关质量标准进行最终验收。</w:t>
            </w:r>
          </w:p>
          <w:p w14:paraId="1724AA3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2.验收材料：验收单、产品合格证书、标的物详细规格参数清单、检测报告、售后服务承诺函以及负责验收部门提出的其他要求。</w:t>
            </w:r>
          </w:p>
          <w:p w14:paraId="362D1FB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成交供应商必须提供全新的、符合有关质量标准的产品和按要求提供相关资料。验收时，所需工具、器材由成交供应商自理，货物各项性能指标达到技术要求的，经双方共同签字认可，现场验收。若发现产品不符合采购文件和响应文件承诺要求的，采购人不予验收，成交供应商应当在7日内采取措施消除缺陷后重新申请终验，并承担由此产生的全部费用及赔偿责任。</w:t>
            </w:r>
          </w:p>
          <w:p w14:paraId="764838A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4.供应商请款材料：请款函、验收单/验收证书、发票、合同、采购公告、中标公告、售后服务承诺函、验收照片以及负责验收部门提出的其他要求。</w:t>
            </w:r>
          </w:p>
          <w:p w14:paraId="1950F9E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u w:val="single"/>
                <w:lang w:val="en-US" w:eastAsia="zh-CN"/>
              </w:rPr>
            </w:pPr>
            <w:r>
              <w:rPr>
                <w:rFonts w:hint="eastAsia" w:ascii="仿宋_GB2312" w:hAnsi="仿宋_GB2312" w:eastAsia="仿宋_GB2312" w:cs="仿宋_GB2312"/>
                <w:sz w:val="24"/>
                <w:szCs w:val="24"/>
                <w:highlight w:val="none"/>
                <w:lang w:val="en-US" w:eastAsia="zh-CN"/>
              </w:rPr>
              <w:t>5.支付方式：合同签订后10 个工作日内采购人向成交供应商支付30%合同价款作为预付款，预付款仅用于本项目货物采购，成交供应商应提供等额发票。全部货物最终验收合格，且采购人收到成交供应商提交的完整请款材料（包括但不限于合同、验收单、全额发票、检测报告等）后30个工作日内，向成交供应商一次性支</w:t>
            </w:r>
            <w:bookmarkStart w:id="0" w:name="_GoBack"/>
            <w:bookmarkEnd w:id="0"/>
            <w:r>
              <w:rPr>
                <w:rFonts w:hint="eastAsia" w:ascii="仿宋_GB2312" w:hAnsi="仿宋_GB2312" w:eastAsia="仿宋_GB2312" w:cs="仿宋_GB2312"/>
                <w:sz w:val="24"/>
                <w:szCs w:val="24"/>
                <w:highlight w:val="none"/>
                <w:lang w:val="en-US" w:eastAsia="zh-CN"/>
              </w:rPr>
              <w:t>付剩余合同款。</w:t>
            </w:r>
          </w:p>
          <w:p w14:paraId="12923B34">
            <w:pPr>
              <w:jc w:val="center"/>
              <w:rPr>
                <w:rFonts w:hint="eastAsia" w:ascii="宋体" w:hAnsi="宋体" w:cs="宋体"/>
                <w:szCs w:val="21"/>
              </w:rPr>
            </w:pPr>
          </w:p>
        </w:tc>
        <w:tc>
          <w:tcPr>
            <w:tcW w:w="6585" w:type="dxa"/>
            <w:tcBorders>
              <w:top w:val="single" w:color="auto" w:sz="4" w:space="0"/>
              <w:left w:val="single" w:color="auto" w:sz="4" w:space="0"/>
              <w:bottom w:val="single" w:color="auto" w:sz="4" w:space="0"/>
              <w:right w:val="single" w:color="auto" w:sz="4" w:space="0"/>
            </w:tcBorders>
            <w:noWrap w:val="0"/>
            <w:vAlign w:val="center"/>
          </w:tcPr>
          <w:p w14:paraId="55D40CC4">
            <w:pPr>
              <w:snapToGrid w:val="0"/>
              <w:spacing w:before="156" w:beforeLines="50" w:line="360" w:lineRule="auto"/>
              <w:ind w:left="43"/>
              <w:jc w:val="center"/>
              <w:rPr>
                <w:rFonts w:hint="eastAsia" w:ascii="宋体" w:hAnsi="宋体" w:cs="宋体"/>
                <w:szCs w:val="21"/>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40527DBD">
            <w:pPr>
              <w:snapToGrid w:val="0"/>
              <w:spacing w:before="156" w:beforeLines="50" w:line="360" w:lineRule="auto"/>
              <w:ind w:left="43"/>
              <w:jc w:val="center"/>
              <w:rPr>
                <w:rFonts w:hint="eastAsia" w:ascii="宋体" w:hAnsi="宋体" w:cs="宋体"/>
                <w:szCs w:val="21"/>
              </w:rPr>
            </w:pPr>
          </w:p>
        </w:tc>
      </w:tr>
      <w:tr w14:paraId="5E900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7484" w:type="dxa"/>
            <w:tcBorders>
              <w:top w:val="single" w:color="auto" w:sz="4" w:space="0"/>
              <w:left w:val="single" w:color="auto" w:sz="4" w:space="0"/>
              <w:bottom w:val="single" w:color="auto" w:sz="4" w:space="0"/>
              <w:right w:val="single" w:color="auto" w:sz="4" w:space="0"/>
            </w:tcBorders>
            <w:noWrap w:val="0"/>
            <w:vAlign w:val="center"/>
          </w:tcPr>
          <w:p w14:paraId="02FE5F10">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（五）售后服务要求</w:t>
            </w:r>
          </w:p>
          <w:p w14:paraId="683CA9E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1.货物包装完整，送货上门，按现场条件全程安装调试，直至最终验收前产生的所有费用由成交供应商承担。</w:t>
            </w:r>
          </w:p>
          <w:p w14:paraId="5CC7669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2质保期：</w:t>
            </w:r>
            <w:r>
              <w:rPr>
                <w:rFonts w:hint="eastAsia" w:ascii="仿宋_GB2312" w:hAnsi="仿宋_GB2312" w:eastAsia="仿宋_GB2312" w:cs="仿宋_GB2312"/>
                <w:color w:val="auto"/>
                <w:sz w:val="24"/>
                <w:szCs w:val="24"/>
                <w:highlight w:val="none"/>
                <w:lang w:val="en-US" w:eastAsia="zh-CN"/>
              </w:rPr>
              <w:t>自项目验收合格之日算起，质保期2年。</w:t>
            </w:r>
            <w:r>
              <w:rPr>
                <w:rFonts w:hint="eastAsia" w:ascii="仿宋_GB2312" w:hAnsi="仿宋_GB2312" w:eastAsia="仿宋_GB2312" w:cs="仿宋_GB2312"/>
                <w:sz w:val="24"/>
                <w:szCs w:val="24"/>
                <w:highlight w:val="none"/>
                <w:lang w:val="en-US" w:eastAsia="zh-CN"/>
              </w:rPr>
              <w:t>成交供应商</w:t>
            </w:r>
            <w:r>
              <w:rPr>
                <w:rFonts w:hint="eastAsia" w:ascii="仿宋_GB2312" w:hAnsi="仿宋_GB2312" w:eastAsia="仿宋_GB2312" w:cs="仿宋_GB2312"/>
                <w:color w:val="auto"/>
                <w:sz w:val="24"/>
                <w:szCs w:val="24"/>
                <w:highlight w:val="none"/>
                <w:lang w:val="en-US" w:eastAsia="zh-CN"/>
              </w:rPr>
              <w:t>须提供售后服务承诺，在质保期内，</w:t>
            </w:r>
            <w:r>
              <w:rPr>
                <w:rFonts w:hint="eastAsia" w:ascii="仿宋_GB2312" w:hAnsi="仿宋_GB2312" w:eastAsia="仿宋_GB2312" w:cs="仿宋_GB2312"/>
                <w:sz w:val="24"/>
                <w:szCs w:val="24"/>
                <w:highlight w:val="none"/>
                <w:lang w:val="en-US" w:eastAsia="zh-CN"/>
              </w:rPr>
              <w:t>对全部产品提供上门保修、更换零配件服务，不向采购人收取额外费用。</w:t>
            </w:r>
          </w:p>
          <w:p w14:paraId="78706B1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3、故障响应时间：质保期内，成交供应商须提供每周7×24小时电话咨询服务，在接到故障通知后30分钟内进行响应，如需现场服务，2小时内到达现场维修，24小时内修复。</w:t>
            </w:r>
          </w:p>
          <w:p w14:paraId="20FB948F">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4、成交供应商负责处理解决货物出现的质量及安全问题并承担一切费用。</w:t>
            </w:r>
          </w:p>
          <w:p w14:paraId="1B642DB0">
            <w:pPr>
              <w:jc w:val="center"/>
              <w:rPr>
                <w:rFonts w:hint="eastAsia" w:ascii="宋体" w:hAnsi="宋体" w:cs="宋体"/>
                <w:szCs w:val="21"/>
              </w:rPr>
            </w:pPr>
          </w:p>
        </w:tc>
        <w:tc>
          <w:tcPr>
            <w:tcW w:w="6585" w:type="dxa"/>
            <w:tcBorders>
              <w:top w:val="single" w:color="auto" w:sz="4" w:space="0"/>
              <w:left w:val="single" w:color="auto" w:sz="4" w:space="0"/>
              <w:bottom w:val="single" w:color="auto" w:sz="4" w:space="0"/>
              <w:right w:val="single" w:color="auto" w:sz="4" w:space="0"/>
            </w:tcBorders>
            <w:noWrap w:val="0"/>
            <w:vAlign w:val="center"/>
          </w:tcPr>
          <w:p w14:paraId="3376DB9B">
            <w:pPr>
              <w:snapToGrid w:val="0"/>
              <w:spacing w:before="156" w:beforeLines="50" w:line="360" w:lineRule="auto"/>
              <w:ind w:left="43"/>
              <w:jc w:val="center"/>
              <w:rPr>
                <w:rFonts w:hint="eastAsia" w:ascii="宋体" w:hAnsi="宋体" w:cs="宋体"/>
                <w:szCs w:val="21"/>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3CD8D90">
            <w:pPr>
              <w:snapToGrid w:val="0"/>
              <w:spacing w:before="156" w:beforeLines="50" w:line="360" w:lineRule="auto"/>
              <w:ind w:left="43"/>
              <w:jc w:val="center"/>
              <w:rPr>
                <w:rFonts w:hint="eastAsia" w:ascii="宋体" w:hAnsi="宋体" w:cs="宋体"/>
                <w:szCs w:val="21"/>
              </w:rPr>
            </w:pPr>
          </w:p>
        </w:tc>
      </w:tr>
      <w:tr w14:paraId="50BF4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7484" w:type="dxa"/>
            <w:tcBorders>
              <w:top w:val="single" w:color="auto" w:sz="4" w:space="0"/>
              <w:left w:val="single" w:color="auto" w:sz="4" w:space="0"/>
              <w:bottom w:val="single" w:color="auto" w:sz="4" w:space="0"/>
              <w:right w:val="single" w:color="auto" w:sz="4" w:space="0"/>
            </w:tcBorders>
            <w:noWrap w:val="0"/>
            <w:vAlign w:val="center"/>
          </w:tcPr>
          <w:p w14:paraId="6A93901A">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（六）违约责任</w:t>
            </w:r>
          </w:p>
          <w:p w14:paraId="5CF382E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1、本合同项下货物在交货、安装调试、验收及质保期等任何阶段内不符合合同约定的技术规范要求和验收标准的，采购人有权向成交供应商索赔并选择下列一项或多项补救措施：</w:t>
            </w:r>
          </w:p>
          <w:p w14:paraId="3CCCA47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（1）由成交供应商采取措施消除设备缺陷或不符合合同之处，如果成交供应商不能及时消除缺陷，采购人有权自行消除缺陷或不符合合同之处，由此产生的一切费用均由成交供应商承担。</w:t>
            </w:r>
          </w:p>
          <w:p w14:paraId="0246FE7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由成交供应商在接到采购人通知后7日内用符合合同规定的规格、质量和性能要求的新零件、部件和设备更换有缺陷的设备或用新的技术资料替换有错误的技术资料或补供遗漏的设备或技术资料等，成交供应商应承担一切费用和风险并负担给采购人造成的全部损失。</w:t>
            </w:r>
          </w:p>
          <w:p w14:paraId="0E9D8DE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（3）根据货物的低劣程度、损坏程度以及采购人所遭受损失的数额，成交供应商必须降低货物的价格。</w:t>
            </w:r>
          </w:p>
          <w:p w14:paraId="143E3E52">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（4）退货，成交供应商应退还采购人支付的全部合同款，同时应承担该货物的直接费用（运输、保险、检验、货款利息及银行手续费等）。</w:t>
            </w:r>
          </w:p>
          <w:p w14:paraId="2E135BF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2、采购人无正当理由拒收货物的，应向成交供应商偿付拒收货款总值10  %的违约金。</w:t>
            </w:r>
          </w:p>
          <w:p w14:paraId="4371E25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3、采购人无故逾期验收和办理货款支付手续的，每逾期一日，应按逾期付款总额0.3  ‰向成交供应商支付违约金。</w:t>
            </w:r>
          </w:p>
          <w:p w14:paraId="24491D4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4、成交供应商逾期交付货物的，每逾期一日，应按逾期交货总额0.3  ‰向采购人支付违约金。逾期超过约定日期3个工作日不能交货的，采购人有权解除本合同，并要求成交供应商支付合同总额10  %的违约金。</w:t>
            </w:r>
          </w:p>
          <w:p w14:paraId="133416C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成交供应商未在约定时间内完成安装调试的，参照前款约定承担违约责任。</w:t>
            </w:r>
          </w:p>
          <w:p w14:paraId="4DEF684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5、成交供应商所交付的货物品种、型号、规格、技术参数、质量不符合合同规定及在线询价文件规定标准的，采购人有权拒收该货物，成交供应商愿意更换货物但逾期交货的，按成交供应商逾期交货处理。成交供应商拒绝更换货物的，采购人可单方面解除合同，并要求成交供应商支付合同总值10%的违约金，违约金不足以弥补采购人损失的，成交供应商还应负责赔偿。</w:t>
            </w:r>
          </w:p>
          <w:p w14:paraId="3CE1A74F">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6、成交供应商未能按约定要求履行保修义务的，每发生一次应向采购人支付1000元的违约金，同时，采购人有权委托第三方进行保修，所产生的费用由成交供应商承担。若因货物缺陷或成交供应商服务质量等问题造成采购人或任何人员人身、财产损害的，成交供应商应承担有关责任并作出相应赔偿。</w:t>
            </w:r>
          </w:p>
          <w:p w14:paraId="78F7602D">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7、因成交供应商其他违约行为导致采购人解除合同的，成交供应商应向采购人支付合同总值10 %的违约金，如造成采购人损失超过违约金的，超出部分由成交供应商继续承担赔偿责任。</w:t>
            </w:r>
          </w:p>
          <w:p w14:paraId="0D9ADF9A">
            <w:pPr>
              <w:jc w:val="center"/>
              <w:rPr>
                <w:rFonts w:hint="eastAsia" w:ascii="宋体" w:hAnsi="宋体" w:cs="宋体"/>
                <w:szCs w:val="21"/>
              </w:rPr>
            </w:pPr>
          </w:p>
        </w:tc>
        <w:tc>
          <w:tcPr>
            <w:tcW w:w="6585" w:type="dxa"/>
            <w:tcBorders>
              <w:top w:val="single" w:color="auto" w:sz="4" w:space="0"/>
              <w:left w:val="single" w:color="auto" w:sz="4" w:space="0"/>
              <w:bottom w:val="single" w:color="auto" w:sz="4" w:space="0"/>
              <w:right w:val="single" w:color="auto" w:sz="4" w:space="0"/>
            </w:tcBorders>
            <w:noWrap w:val="0"/>
            <w:vAlign w:val="center"/>
          </w:tcPr>
          <w:p w14:paraId="75E23577">
            <w:pPr>
              <w:snapToGrid w:val="0"/>
              <w:spacing w:before="156" w:beforeLines="50" w:line="360" w:lineRule="auto"/>
              <w:ind w:left="43"/>
              <w:jc w:val="center"/>
              <w:rPr>
                <w:rFonts w:hint="eastAsia" w:ascii="宋体" w:hAnsi="宋体" w:cs="宋体"/>
                <w:szCs w:val="21"/>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5674D2F5">
            <w:pPr>
              <w:snapToGrid w:val="0"/>
              <w:spacing w:before="156" w:beforeLines="50" w:line="360" w:lineRule="auto"/>
              <w:ind w:left="43"/>
              <w:jc w:val="center"/>
              <w:rPr>
                <w:rFonts w:hint="eastAsia" w:ascii="宋体" w:hAnsi="宋体" w:cs="宋体"/>
                <w:szCs w:val="21"/>
              </w:rPr>
            </w:pPr>
          </w:p>
        </w:tc>
      </w:tr>
      <w:tr w14:paraId="4FE23B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7484" w:type="dxa"/>
            <w:tcBorders>
              <w:top w:val="single" w:color="auto" w:sz="4" w:space="0"/>
              <w:left w:val="single" w:color="auto" w:sz="4" w:space="0"/>
              <w:bottom w:val="single" w:color="auto" w:sz="4" w:space="0"/>
              <w:right w:val="single" w:color="auto" w:sz="4" w:space="0"/>
            </w:tcBorders>
            <w:noWrap w:val="0"/>
            <w:vAlign w:val="center"/>
          </w:tcPr>
          <w:p w14:paraId="14E1E397">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（七）其他要求</w:t>
            </w:r>
          </w:p>
          <w:p w14:paraId="140DA3C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1.供应商需填写附件2内容打印并加盖公章作为响应文件之一。</w:t>
            </w:r>
          </w:p>
          <w:p w14:paraId="7D2BC285">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2.《采购清单》中参数要求均为实质性要求，如有任意一项负偏离，其报价按无效处理。</w:t>
            </w:r>
            <w:r>
              <w:rPr>
                <w:rFonts w:hint="eastAsia" w:ascii="仿宋_GB2312" w:hAnsi="仿宋_GB2312" w:cs="仿宋_GB2312"/>
                <w:sz w:val="24"/>
                <w:szCs w:val="24"/>
                <w:highlight w:val="none"/>
                <w:lang w:val="en-US" w:eastAsia="zh-CN"/>
              </w:rPr>
              <w:t>响应型号参数具体说明需针对采购需求中技术参数要求逐条说明具体响应内容，若无法响应或不逐条响应则作报价无效处理。</w:t>
            </w:r>
          </w:p>
          <w:p w14:paraId="6813747E">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3.本项目货物不接受进口产品（即通过中国海关报关验放进入中国境内且产自关境外的产品）。</w:t>
            </w:r>
          </w:p>
          <w:p w14:paraId="7B55742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4.成交供应商不得将本项目整体转包、分包。</w:t>
            </w:r>
          </w:p>
          <w:p w14:paraId="66497E1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5.涉及到保密的内容，需要签订保密协议，未经信息披露方书面事先同意，不得向任何第三方披露。</w:t>
            </w:r>
          </w:p>
          <w:p w14:paraId="5D73FCB1">
            <w:pPr>
              <w:jc w:val="center"/>
              <w:rPr>
                <w:rFonts w:hint="eastAsia" w:ascii="宋体" w:hAnsi="宋体" w:cs="宋体"/>
                <w:szCs w:val="21"/>
              </w:rPr>
            </w:pPr>
          </w:p>
        </w:tc>
        <w:tc>
          <w:tcPr>
            <w:tcW w:w="6585" w:type="dxa"/>
            <w:tcBorders>
              <w:top w:val="single" w:color="auto" w:sz="4" w:space="0"/>
              <w:left w:val="single" w:color="auto" w:sz="4" w:space="0"/>
              <w:bottom w:val="single" w:color="auto" w:sz="4" w:space="0"/>
              <w:right w:val="single" w:color="auto" w:sz="4" w:space="0"/>
            </w:tcBorders>
            <w:noWrap w:val="0"/>
            <w:vAlign w:val="center"/>
          </w:tcPr>
          <w:p w14:paraId="563F8ABF">
            <w:pPr>
              <w:snapToGrid w:val="0"/>
              <w:spacing w:before="156" w:beforeLines="50" w:line="360" w:lineRule="auto"/>
              <w:ind w:left="43"/>
              <w:jc w:val="center"/>
              <w:rPr>
                <w:rFonts w:hint="eastAsia" w:ascii="宋体" w:hAnsi="宋体" w:cs="宋体"/>
                <w:szCs w:val="21"/>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65DF5C0B">
            <w:pPr>
              <w:snapToGrid w:val="0"/>
              <w:spacing w:before="156" w:beforeLines="50" w:line="360" w:lineRule="auto"/>
              <w:ind w:left="43"/>
              <w:jc w:val="center"/>
              <w:rPr>
                <w:rFonts w:hint="eastAsia" w:ascii="宋体" w:hAnsi="宋体" w:cs="宋体"/>
                <w:szCs w:val="21"/>
              </w:rPr>
            </w:pPr>
          </w:p>
        </w:tc>
      </w:tr>
    </w:tbl>
    <w:p w14:paraId="578283DE">
      <w:pPr>
        <w:pStyle w:val="4"/>
        <w:spacing w:line="360" w:lineRule="auto"/>
        <w:contextualSpacing/>
        <w:rPr>
          <w:rFonts w:hint="eastAsia" w:ascii="宋体" w:hAnsi="宋体"/>
          <w:kern w:val="0"/>
        </w:rPr>
      </w:pPr>
      <w:r>
        <w:rPr>
          <w:rFonts w:hint="eastAsia" w:ascii="宋体" w:hAnsi="宋体"/>
          <w:kern w:val="0"/>
        </w:rPr>
        <w:t>注：</w:t>
      </w:r>
    </w:p>
    <w:p w14:paraId="5B8164FE">
      <w:pPr>
        <w:pStyle w:val="2"/>
        <w:rPr>
          <w:rFonts w:hint="default" w:eastAsiaTheme="minorEastAsia"/>
          <w:lang w:val="en-US" w:eastAsia="zh-CN"/>
        </w:rPr>
      </w:pPr>
      <w:r>
        <w:rPr>
          <w:rFonts w:hint="eastAsia" w:ascii="宋体" w:hAnsi="宋体"/>
          <w:kern w:val="0"/>
          <w:sz w:val="24"/>
        </w:rPr>
        <w:t>1.</w:t>
      </w:r>
      <w:r>
        <w:rPr>
          <w:rFonts w:hint="eastAsia" w:ascii="宋体" w:hAnsi="宋体"/>
          <w:kern w:val="0"/>
          <w:sz w:val="24"/>
          <w:lang w:val="en-US" w:eastAsia="zh-CN"/>
        </w:rPr>
        <w:t>供应商</w:t>
      </w:r>
      <w:r>
        <w:rPr>
          <w:rFonts w:hint="eastAsia" w:ascii="宋体" w:hAnsi="宋体"/>
          <w:kern w:val="0"/>
          <w:sz w:val="24"/>
        </w:rPr>
        <w:t>应对照</w:t>
      </w:r>
      <w:r>
        <w:rPr>
          <w:rFonts w:hint="eastAsia" w:ascii="宋体" w:hAnsi="宋体"/>
          <w:kern w:val="0"/>
          <w:sz w:val="24"/>
          <w:lang w:val="en-US" w:eastAsia="zh-CN"/>
        </w:rPr>
        <w:t>询价</w:t>
      </w:r>
      <w:r>
        <w:rPr>
          <w:rFonts w:hint="eastAsia" w:ascii="宋体" w:hAnsi="宋体"/>
          <w:kern w:val="0"/>
          <w:sz w:val="24"/>
        </w:rPr>
        <w:t>文件“</w:t>
      </w:r>
      <w:r>
        <w:rPr>
          <w:rFonts w:hint="eastAsia" w:ascii="宋体" w:hAnsi="宋体"/>
          <w:kern w:val="0"/>
          <w:sz w:val="24"/>
          <w:lang w:val="en-US" w:eastAsia="zh-CN"/>
        </w:rPr>
        <w:t>一、商务要求</w:t>
      </w:r>
      <w:r>
        <w:rPr>
          <w:rFonts w:hint="eastAsia" w:ascii="宋体" w:hAnsi="宋体"/>
          <w:kern w:val="0"/>
          <w:sz w:val="24"/>
        </w:rPr>
        <w:t>”中的</w:t>
      </w:r>
      <w:r>
        <w:rPr>
          <w:rFonts w:hint="eastAsia" w:ascii="宋体" w:hAnsi="宋体"/>
          <w:kern w:val="0"/>
          <w:sz w:val="24"/>
          <w:lang w:val="en-US" w:eastAsia="zh-CN"/>
        </w:rPr>
        <w:t>内容</w:t>
      </w:r>
      <w:r>
        <w:rPr>
          <w:rFonts w:hint="eastAsia" w:ascii="宋体" w:hAnsi="宋体"/>
          <w:kern w:val="0"/>
          <w:sz w:val="24"/>
        </w:rPr>
        <w:t>逐条明确响应，并作出偏离说明。</w:t>
      </w:r>
      <w:r>
        <w:rPr>
          <w:rFonts w:hint="eastAsia" w:ascii="宋体" w:hAnsi="宋体"/>
          <w:kern w:val="0"/>
          <w:sz w:val="24"/>
          <w:lang w:val="en-US" w:eastAsia="zh-CN"/>
        </w:rPr>
        <w:t>商务要求均为实质性要求，如有任意一项负偏离，其报价按无效处理。</w:t>
      </w:r>
    </w:p>
    <w:p w14:paraId="3597093B">
      <w:pPr>
        <w:spacing w:line="360" w:lineRule="auto"/>
        <w:contextualSpacing/>
        <w:rPr>
          <w:rFonts w:hint="eastAsia" w:ascii="宋体" w:hAnsi="宋体"/>
          <w:kern w:val="0"/>
          <w:sz w:val="24"/>
        </w:rPr>
      </w:pPr>
      <w:r>
        <w:rPr>
          <w:rFonts w:hint="eastAsia" w:ascii="宋体" w:hAnsi="宋体"/>
          <w:kern w:val="0"/>
          <w:sz w:val="24"/>
        </w:rPr>
        <w:t>2.供应商应根据自身的承诺，对照</w:t>
      </w:r>
      <w:r>
        <w:rPr>
          <w:rFonts w:hint="eastAsia" w:ascii="宋体" w:hAnsi="宋体"/>
          <w:kern w:val="0"/>
          <w:sz w:val="24"/>
          <w:lang w:val="en-US" w:eastAsia="zh-CN"/>
        </w:rPr>
        <w:t>询价</w:t>
      </w:r>
      <w:r>
        <w:rPr>
          <w:rFonts w:hint="eastAsia" w:ascii="宋体" w:hAnsi="宋体"/>
          <w:kern w:val="0"/>
          <w:sz w:val="24"/>
        </w:rPr>
        <w:t>文件要求在“偏离说明”中注明“正偏离”、“负偏离”或者“无偏离”。既不属于“正偏离”也不属于“负偏离”即为“无偏离”。</w:t>
      </w:r>
    </w:p>
    <w:p w14:paraId="1A882ED2">
      <w:pPr>
        <w:pStyle w:val="2"/>
        <w:rPr>
          <w:rFonts w:hint="eastAsia"/>
        </w:rPr>
      </w:pPr>
    </w:p>
    <w:p w14:paraId="506B8464">
      <w:pPr>
        <w:spacing w:line="360" w:lineRule="auto"/>
        <w:ind w:firstLine="1440" w:firstLineChars="600"/>
        <w:contextualSpacing/>
        <w:jc w:val="left"/>
        <w:rPr>
          <w:rFonts w:hint="eastAsia" w:ascii="宋体" w:hAnsi="宋体" w:cs="仿宋_GB2312"/>
          <w:sz w:val="24"/>
          <w:u w:val="single"/>
        </w:rPr>
      </w:pPr>
      <w:r>
        <w:rPr>
          <w:rFonts w:hint="eastAsia" w:ascii="宋体" w:hAnsi="宋体" w:cs="仿宋_GB2312"/>
          <w:sz w:val="24"/>
        </w:rPr>
        <w:t xml:space="preserve">供应商（公章）： </w:t>
      </w:r>
    </w:p>
    <w:p w14:paraId="4EBB8F2E">
      <w:pPr>
        <w:spacing w:line="360" w:lineRule="auto"/>
        <w:ind w:right="-817" w:rightChars="-389" w:firstLine="1440" w:firstLineChars="600"/>
        <w:contextualSpacing/>
        <w:jc w:val="both"/>
        <w:rPr>
          <w:rFonts w:ascii="宋体" w:hAnsi="宋体" w:cs="仿宋_GB2312"/>
          <w:sz w:val="24"/>
        </w:rPr>
      </w:pPr>
      <w:r>
        <w:rPr>
          <w:rFonts w:hint="eastAsia" w:ascii="宋体" w:hAnsi="宋体" w:cs="仿宋_GB2312"/>
          <w:sz w:val="24"/>
        </w:rPr>
        <w:t>法定代表人或者委托代理人（签字或者</w:t>
      </w:r>
      <w:r>
        <w:rPr>
          <w:rFonts w:hint="eastAsia" w:ascii="宋体" w:hAnsi="宋体" w:cs="仿宋_GB2312"/>
          <w:sz w:val="24"/>
          <w:lang w:val="en-US" w:eastAsia="zh-CN"/>
        </w:rPr>
        <w:t>盖章</w:t>
      </w:r>
      <w:r>
        <w:rPr>
          <w:rFonts w:hint="eastAsia" w:ascii="宋体" w:hAnsi="宋体" w:cs="仿宋_GB2312"/>
          <w:sz w:val="24"/>
        </w:rPr>
        <w:t xml:space="preserve">）：    </w:t>
      </w:r>
    </w:p>
    <w:p w14:paraId="4DC8870D">
      <w:pPr>
        <w:ind w:firstLine="1440" w:firstLineChars="600"/>
        <w:rPr>
          <w:rFonts w:hint="eastAsia" w:ascii="微软雅黑" w:hAnsi="微软雅黑" w:eastAsia="微软雅黑" w:cs="微软雅黑"/>
          <w:bCs/>
          <w:sz w:val="44"/>
          <w:szCs w:val="44"/>
        </w:rPr>
      </w:pPr>
      <w:r>
        <w:rPr>
          <w:rFonts w:hint="eastAsia" w:ascii="宋体" w:hAnsi="宋体" w:cs="仿宋_GB2312"/>
          <w:sz w:val="24"/>
        </w:rPr>
        <w:t xml:space="preserve">日期：  </w:t>
      </w:r>
      <w:r>
        <w:rPr>
          <w:rFonts w:hint="eastAsia" w:ascii="宋体" w:hAnsi="宋体" w:cs="仿宋_GB2312"/>
          <w:sz w:val="24"/>
          <w:lang w:val="en-US" w:eastAsia="zh-CN"/>
        </w:rPr>
        <w:t xml:space="preserve"> </w:t>
      </w:r>
      <w:r>
        <w:rPr>
          <w:rFonts w:hint="eastAsia" w:ascii="宋体" w:hAnsi="宋体" w:cs="仿宋_GB2312"/>
          <w:sz w:val="24"/>
        </w:rPr>
        <w:t xml:space="preserve"> 年  </w:t>
      </w:r>
      <w:r>
        <w:rPr>
          <w:rFonts w:hint="eastAsia" w:ascii="宋体" w:hAnsi="宋体" w:cs="仿宋_GB2312"/>
          <w:sz w:val="24"/>
          <w:lang w:val="en-US" w:eastAsia="zh-CN"/>
        </w:rPr>
        <w:t xml:space="preserve"> </w:t>
      </w:r>
      <w:r>
        <w:rPr>
          <w:rFonts w:hint="eastAsia" w:ascii="宋体" w:hAnsi="宋体" w:cs="仿宋_GB2312"/>
          <w:sz w:val="24"/>
        </w:rPr>
        <w:t xml:space="preserve"> 月   </w:t>
      </w:r>
      <w:r>
        <w:rPr>
          <w:rFonts w:hint="eastAsia" w:ascii="宋体" w:hAnsi="宋体" w:cs="仿宋_GB2312"/>
          <w:sz w:val="24"/>
          <w:lang w:val="en-US" w:eastAsia="zh-CN"/>
        </w:rPr>
        <w:t xml:space="preserve"> </w:t>
      </w:r>
      <w:r>
        <w:rPr>
          <w:rFonts w:hint="eastAsia" w:ascii="宋体" w:hAnsi="宋体" w:cs="仿宋_GB2312"/>
          <w:sz w:val="24"/>
        </w:rPr>
        <w:t>日</w:t>
      </w:r>
    </w:p>
    <w:sectPr>
      <w:footerReference r:id="rId3" w:type="default"/>
      <w:pgSz w:w="16838" w:h="11906" w:orient="landscape"/>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C271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A6E32">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3A6E32">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84ECD"/>
    <w:rsid w:val="09E84ECD"/>
    <w:rsid w:val="18DA0A8E"/>
    <w:rsid w:val="1A226249"/>
    <w:rsid w:val="1AA41354"/>
    <w:rsid w:val="1F420493"/>
    <w:rsid w:val="29E34F98"/>
    <w:rsid w:val="2DE52310"/>
    <w:rsid w:val="39A95BE7"/>
    <w:rsid w:val="3E081DAF"/>
    <w:rsid w:val="45C50B85"/>
    <w:rsid w:val="68404CD9"/>
    <w:rsid w:val="68597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99"/>
    <w:pPr>
      <w:spacing w:before="25" w:after="25"/>
      <w:jc w:val="left"/>
    </w:pPr>
    <w:rPr>
      <w:bCs/>
      <w:spacing w:val="10"/>
      <w:kern w:val="0"/>
      <w:sz w:val="24"/>
      <w:szCs w:val="22"/>
    </w:rPr>
  </w:style>
  <w:style w:type="paragraph" w:styleId="3">
    <w:name w:val="annotation text"/>
    <w:basedOn w:val="1"/>
    <w:qFormat/>
    <w:uiPriority w:val="0"/>
    <w:pPr>
      <w:jc w:val="left"/>
    </w:pPr>
  </w:style>
  <w:style w:type="paragraph" w:styleId="4">
    <w:name w:val="Body Text 3"/>
    <w:basedOn w:val="1"/>
    <w:qFormat/>
    <w:uiPriority w:val="0"/>
    <w:pPr>
      <w:spacing w:line="500" w:lineRule="exact"/>
    </w:pPr>
    <w:rPr>
      <w:rFonts w:ascii="Times New Roman" w:hAnsi="Times New Roman" w:eastAsia="宋体" w:cs="Times New Roman"/>
      <w:b/>
      <w:bCs/>
      <w:sz w:val="24"/>
    </w:rPr>
  </w:style>
  <w:style w:type="paragraph" w:styleId="5">
    <w:name w:val="Body Text Indent"/>
    <w:basedOn w:val="1"/>
    <w:next w:val="6"/>
    <w:qFormat/>
    <w:uiPriority w:val="0"/>
    <w:pPr>
      <w:ind w:firstLine="830" w:firstLineChars="352"/>
    </w:pPr>
    <w:rPr>
      <w:rFonts w:ascii="仿宋_GB2312" w:hAnsi="Times New Roman" w:eastAsia="仿宋_GB2312"/>
      <w:sz w:val="32"/>
      <w:szCs w:val="20"/>
    </w:rPr>
  </w:style>
  <w:style w:type="paragraph" w:styleId="6">
    <w:name w:val="envelope return"/>
    <w:basedOn w:val="1"/>
    <w:qFormat/>
    <w:uiPriority w:val="0"/>
    <w:pPr>
      <w:snapToGrid w:val="0"/>
    </w:pPr>
    <w:rPr>
      <w:rFonts w:ascii="Arial" w:hAnsi="Arial"/>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5"/>
    <w:qFormat/>
    <w:uiPriority w:val="0"/>
    <w:pPr>
      <w:spacing w:line="360" w:lineRule="auto"/>
      <w:ind w:firstLine="200" w:firstLineChars="200"/>
    </w:pPr>
    <w:rPr>
      <w:rFonts w:ascii="宋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3539</Words>
  <Characters>3633</Characters>
  <Lines>0</Lines>
  <Paragraphs>0</Paragraphs>
  <TotalTime>0</TotalTime>
  <ScaleCrop>false</ScaleCrop>
  <LinksUpToDate>false</LinksUpToDate>
  <CharactersWithSpaces>3771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2026-08-05T08:24:00Z</dcterms:created>
  <dc:creator>刘圣敏</dc:creator>
  <cp:lastModifiedBy>刘圣敏</cp:lastModifiedBy>
  <dcterms:modified xsi:type="dcterms:W3CDTF">2026-08-10T06:57:14Z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3C52E7E8E6DF4F73B12532A52EEAC422_11</vt:lpwstr>
  </property>
  <property fmtid="{D5CDD505-2E9C-101B-9397-08002B2CF9AE}" pid="4" name="KSOTemplateDocerSaveRecord">
    <vt:lpwstr>eyJoZGlkIjoiNmI1Zjc1NGMwNGNiZjg0NTZkZmM5ZGVmZDM0OWNmMDMiLCJ1c2VySWQiOiIxNTIxNzY2MDU5In0=</vt:lpwstr>
  </property>
</Properties>
</file>