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06A22">
      <w:pPr>
        <w:spacing w:line="400" w:lineRule="exact"/>
        <w:rPr>
          <w:rFonts w:hint="eastAsia" w:ascii="等线" w:hAnsi="等线" w:eastAsia="等线"/>
          <w:b/>
          <w:bCs/>
          <w:color w:val="000000"/>
          <w:u w:val="single"/>
        </w:rPr>
      </w:pPr>
    </w:p>
    <w:tbl>
      <w:tblPr>
        <w:tblStyle w:val="6"/>
        <w:tblW w:w="61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845"/>
        <w:gridCol w:w="1336"/>
        <w:gridCol w:w="872"/>
        <w:gridCol w:w="5497"/>
        <w:gridCol w:w="1346"/>
      </w:tblGrid>
      <w:tr w14:paraId="1A9A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48" w:type="pct"/>
            <w:tcMar>
              <w:top w:w="13" w:type="dxa"/>
              <w:left w:w="57" w:type="dxa"/>
              <w:bottom w:w="0" w:type="dxa"/>
              <w:right w:w="57" w:type="dxa"/>
            </w:tcMar>
            <w:vAlign w:val="center"/>
          </w:tcPr>
          <w:p w14:paraId="161BD963">
            <w:pPr>
              <w:spacing w:line="336" w:lineRule="exact"/>
              <w:ind w:right="-59" w:rightChars="-27"/>
              <w:jc w:val="center"/>
              <w:rPr>
                <w:rFonts w:hint="eastAsia" w:ascii="宋体" w:hAnsi="宋体" w:cs="宋体"/>
                <w:b/>
                <w:szCs w:val="21"/>
              </w:rPr>
            </w:pPr>
            <w:r>
              <w:rPr>
                <w:rFonts w:hint="eastAsia" w:ascii="宋体" w:hAnsi="宋体" w:cs="宋体"/>
                <w:b/>
                <w:szCs w:val="21"/>
              </w:rPr>
              <w:t>序号</w:t>
            </w:r>
          </w:p>
        </w:tc>
        <w:tc>
          <w:tcPr>
            <w:tcW w:w="405" w:type="pct"/>
            <w:tcMar>
              <w:top w:w="13" w:type="dxa"/>
              <w:left w:w="57" w:type="dxa"/>
              <w:bottom w:w="0" w:type="dxa"/>
              <w:right w:w="57" w:type="dxa"/>
            </w:tcMar>
            <w:vAlign w:val="center"/>
          </w:tcPr>
          <w:p w14:paraId="1D891DF0">
            <w:pPr>
              <w:snapToGrid w:val="0"/>
              <w:spacing w:line="336" w:lineRule="exact"/>
              <w:jc w:val="center"/>
              <w:rPr>
                <w:rFonts w:hint="eastAsia" w:ascii="宋体" w:hAnsi="宋体" w:cs="宋体"/>
                <w:b/>
                <w:szCs w:val="21"/>
              </w:rPr>
            </w:pPr>
            <w:r>
              <w:rPr>
                <w:rFonts w:hint="eastAsia" w:ascii="宋体" w:hAnsi="宋体" w:cs="宋体"/>
                <w:b/>
                <w:szCs w:val="21"/>
              </w:rPr>
              <w:t>采购</w:t>
            </w:r>
          </w:p>
          <w:p w14:paraId="12CDE97B">
            <w:pPr>
              <w:snapToGrid w:val="0"/>
              <w:spacing w:line="336" w:lineRule="exact"/>
              <w:jc w:val="center"/>
              <w:rPr>
                <w:rFonts w:hint="eastAsia" w:ascii="宋体" w:hAnsi="宋体" w:cs="宋体"/>
                <w:b/>
                <w:szCs w:val="21"/>
              </w:rPr>
            </w:pPr>
            <w:r>
              <w:rPr>
                <w:rFonts w:hint="eastAsia" w:ascii="宋体" w:hAnsi="宋体" w:cs="宋体"/>
                <w:b/>
                <w:szCs w:val="21"/>
              </w:rPr>
              <w:t>内容</w:t>
            </w:r>
          </w:p>
        </w:tc>
        <w:tc>
          <w:tcPr>
            <w:tcW w:w="641" w:type="pct"/>
            <w:tcMar>
              <w:top w:w="13" w:type="dxa"/>
              <w:left w:w="57" w:type="dxa"/>
              <w:bottom w:w="0" w:type="dxa"/>
              <w:right w:w="57" w:type="dxa"/>
            </w:tcMar>
            <w:vAlign w:val="center"/>
          </w:tcPr>
          <w:p w14:paraId="0D023067">
            <w:pPr>
              <w:snapToGrid w:val="0"/>
              <w:spacing w:line="336" w:lineRule="exact"/>
              <w:jc w:val="center"/>
              <w:rPr>
                <w:rFonts w:hint="eastAsia" w:ascii="宋体" w:hAnsi="宋体" w:cs="宋体"/>
                <w:b/>
                <w:szCs w:val="21"/>
              </w:rPr>
            </w:pPr>
            <w:r>
              <w:rPr>
                <w:rFonts w:hint="eastAsia" w:ascii="宋体" w:hAnsi="宋体" w:cs="宋体"/>
                <w:b/>
                <w:szCs w:val="21"/>
              </w:rPr>
              <w:t>品牌</w:t>
            </w:r>
          </w:p>
          <w:p w14:paraId="67D5A8D0">
            <w:pPr>
              <w:snapToGrid w:val="0"/>
              <w:spacing w:line="336" w:lineRule="exact"/>
              <w:jc w:val="center"/>
              <w:rPr>
                <w:rFonts w:hint="eastAsia" w:ascii="宋体" w:hAnsi="宋体" w:cs="宋体"/>
                <w:b/>
                <w:szCs w:val="21"/>
              </w:rPr>
            </w:pPr>
            <w:r>
              <w:rPr>
                <w:rFonts w:hint="eastAsia" w:ascii="宋体" w:hAnsi="宋体" w:cs="宋体"/>
                <w:b/>
                <w:szCs w:val="21"/>
              </w:rPr>
              <w:t>型号</w:t>
            </w:r>
          </w:p>
        </w:tc>
        <w:tc>
          <w:tcPr>
            <w:tcW w:w="418" w:type="pct"/>
            <w:tcMar>
              <w:top w:w="13" w:type="dxa"/>
              <w:left w:w="57" w:type="dxa"/>
              <w:bottom w:w="0" w:type="dxa"/>
              <w:right w:w="57" w:type="dxa"/>
            </w:tcMar>
            <w:vAlign w:val="center"/>
          </w:tcPr>
          <w:p w14:paraId="34429C1E">
            <w:pPr>
              <w:snapToGrid w:val="0"/>
              <w:spacing w:line="336" w:lineRule="exact"/>
              <w:jc w:val="center"/>
              <w:rPr>
                <w:rFonts w:hint="eastAsia" w:ascii="宋体" w:hAnsi="宋体" w:cs="宋体"/>
                <w:b/>
                <w:szCs w:val="21"/>
              </w:rPr>
            </w:pPr>
            <w:r>
              <w:rPr>
                <w:rFonts w:hint="eastAsia" w:ascii="宋体" w:hAnsi="宋体" w:cs="宋体"/>
                <w:b/>
                <w:szCs w:val="21"/>
              </w:rPr>
              <w:t>数量</w:t>
            </w:r>
          </w:p>
        </w:tc>
        <w:tc>
          <w:tcPr>
            <w:tcW w:w="2639" w:type="pct"/>
            <w:tcMar>
              <w:top w:w="13" w:type="dxa"/>
              <w:left w:w="57" w:type="dxa"/>
              <w:bottom w:w="0" w:type="dxa"/>
              <w:right w:w="57" w:type="dxa"/>
            </w:tcMar>
            <w:vAlign w:val="center"/>
          </w:tcPr>
          <w:p w14:paraId="79C9BC8E">
            <w:pPr>
              <w:spacing w:line="336" w:lineRule="exact"/>
              <w:jc w:val="center"/>
              <w:rPr>
                <w:rFonts w:hint="eastAsia" w:ascii="宋体" w:hAnsi="宋体" w:cs="宋体"/>
                <w:b/>
                <w:bCs/>
                <w:szCs w:val="21"/>
              </w:rPr>
            </w:pPr>
            <w:r>
              <w:rPr>
                <w:rFonts w:hint="eastAsia" w:ascii="宋体" w:hAnsi="宋体" w:cs="宋体"/>
                <w:b/>
                <w:bCs/>
                <w:szCs w:val="21"/>
              </w:rPr>
              <w:t>项目要求及技术需求</w:t>
            </w:r>
          </w:p>
        </w:tc>
        <w:tc>
          <w:tcPr>
            <w:tcW w:w="646" w:type="pct"/>
            <w:tcMar>
              <w:top w:w="13" w:type="dxa"/>
              <w:left w:w="57" w:type="dxa"/>
              <w:bottom w:w="0" w:type="dxa"/>
              <w:right w:w="57" w:type="dxa"/>
            </w:tcMar>
            <w:vAlign w:val="center"/>
          </w:tcPr>
          <w:p w14:paraId="18F63B98">
            <w:pPr>
              <w:spacing w:line="336" w:lineRule="exact"/>
              <w:jc w:val="center"/>
              <w:rPr>
                <w:rFonts w:hint="eastAsia" w:ascii="宋体" w:hAnsi="宋体" w:cs="宋体"/>
                <w:b/>
                <w:bCs/>
                <w:szCs w:val="21"/>
              </w:rPr>
            </w:pPr>
            <w:r>
              <w:rPr>
                <w:rFonts w:hint="eastAsia" w:ascii="宋体" w:hAnsi="宋体" w:cs="宋体"/>
                <w:b/>
                <w:bCs/>
                <w:szCs w:val="21"/>
              </w:rPr>
              <w:t>备注</w:t>
            </w:r>
          </w:p>
        </w:tc>
      </w:tr>
      <w:tr w14:paraId="6915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48" w:type="pct"/>
            <w:tcMar>
              <w:top w:w="13" w:type="dxa"/>
              <w:left w:w="57" w:type="dxa"/>
              <w:bottom w:w="0" w:type="dxa"/>
              <w:right w:w="57" w:type="dxa"/>
            </w:tcMar>
            <w:vAlign w:val="center"/>
          </w:tcPr>
          <w:p w14:paraId="04D2F900">
            <w:pPr>
              <w:numPr>
                <w:ilvl w:val="0"/>
                <w:numId w:val="1"/>
              </w:numPr>
              <w:tabs>
                <w:tab w:val="clear" w:pos="0"/>
              </w:tabs>
              <w:spacing w:line="336" w:lineRule="exact"/>
              <w:ind w:right="-59" w:rightChars="-27"/>
              <w:jc w:val="center"/>
              <w:rPr>
                <w:rFonts w:hint="eastAsia" w:ascii="宋体" w:hAnsi="宋体" w:cs="宋体"/>
                <w:bCs/>
                <w:szCs w:val="21"/>
              </w:rPr>
            </w:pPr>
          </w:p>
        </w:tc>
        <w:tc>
          <w:tcPr>
            <w:tcW w:w="405" w:type="pct"/>
            <w:tcMar>
              <w:top w:w="13" w:type="dxa"/>
              <w:left w:w="57" w:type="dxa"/>
              <w:bottom w:w="0" w:type="dxa"/>
              <w:right w:w="57" w:type="dxa"/>
            </w:tcMar>
            <w:vAlign w:val="center"/>
          </w:tcPr>
          <w:p w14:paraId="1659BEB1">
            <w:pPr>
              <w:snapToGrid w:val="0"/>
              <w:spacing w:line="336" w:lineRule="exact"/>
              <w:jc w:val="center"/>
              <w:rPr>
                <w:rFonts w:hint="eastAsia" w:ascii="宋体" w:hAnsi="宋体" w:cs="宋体"/>
                <w:bCs/>
                <w:szCs w:val="21"/>
              </w:rPr>
            </w:pPr>
            <w:r>
              <w:rPr>
                <w:rFonts w:hint="eastAsia" w:ascii="宋体" w:hAnsi="宋体" w:cs="宋体"/>
                <w:bCs/>
                <w:szCs w:val="21"/>
              </w:rPr>
              <w:t>室内P1.86</w:t>
            </w:r>
          </w:p>
        </w:tc>
        <w:tc>
          <w:tcPr>
            <w:tcW w:w="641" w:type="pct"/>
            <w:tcMar>
              <w:top w:w="13" w:type="dxa"/>
              <w:left w:w="57" w:type="dxa"/>
              <w:bottom w:w="0" w:type="dxa"/>
              <w:right w:w="57" w:type="dxa"/>
            </w:tcMar>
            <w:vAlign w:val="center"/>
          </w:tcPr>
          <w:p w14:paraId="765CDE75">
            <w:pPr>
              <w:snapToGrid w:val="0"/>
              <w:spacing w:line="336" w:lineRule="exact"/>
              <w:jc w:val="center"/>
              <w:rPr>
                <w:rFonts w:hint="eastAsia" w:ascii="宋体" w:hAnsi="宋体" w:cs="宋体"/>
                <w:bCs/>
                <w:szCs w:val="21"/>
              </w:rPr>
            </w:pPr>
            <w:r>
              <w:rPr>
                <w:rFonts w:hint="eastAsia" w:ascii="宋体" w:hAnsi="宋体" w:cs="宋体"/>
                <w:bCs/>
                <w:szCs w:val="21"/>
              </w:rPr>
              <w:t>赛普</w:t>
            </w:r>
          </w:p>
          <w:p w14:paraId="731140BA">
            <w:pPr>
              <w:snapToGrid w:val="0"/>
              <w:spacing w:line="336" w:lineRule="exact"/>
              <w:jc w:val="center"/>
              <w:rPr>
                <w:rFonts w:hint="eastAsia" w:ascii="宋体" w:hAnsi="宋体" w:cs="宋体"/>
                <w:bCs/>
                <w:szCs w:val="21"/>
              </w:rPr>
            </w:pPr>
            <w:r>
              <w:rPr>
                <w:rFonts w:hint="eastAsia" w:ascii="宋体" w:hAnsi="宋体" w:cs="宋体"/>
                <w:bCs/>
                <w:szCs w:val="21"/>
              </w:rPr>
              <w:t>SAM-LP180</w:t>
            </w:r>
          </w:p>
        </w:tc>
        <w:tc>
          <w:tcPr>
            <w:tcW w:w="418" w:type="pct"/>
            <w:tcMar>
              <w:top w:w="13" w:type="dxa"/>
              <w:left w:w="57" w:type="dxa"/>
              <w:bottom w:w="0" w:type="dxa"/>
              <w:right w:w="57" w:type="dxa"/>
            </w:tcMar>
            <w:vAlign w:val="center"/>
          </w:tcPr>
          <w:p w14:paraId="0F36ADCA">
            <w:pPr>
              <w:snapToGrid w:val="0"/>
              <w:spacing w:line="336" w:lineRule="exact"/>
              <w:jc w:val="center"/>
              <w:rPr>
                <w:rFonts w:hint="eastAsia" w:ascii="宋体" w:hAnsi="宋体" w:cs="宋体"/>
                <w:b/>
                <w:szCs w:val="21"/>
                <w:lang w:val="en-US"/>
              </w:rPr>
            </w:pPr>
            <w:r>
              <w:rPr>
                <w:rFonts w:hint="eastAsia" w:ascii="宋体" w:hAnsi="宋体"/>
                <w:lang w:val="en-US" w:eastAsia="zh-CN"/>
              </w:rPr>
              <w:t>8.45</w:t>
            </w:r>
            <w:r>
              <w:rPr>
                <w:rFonts w:hint="eastAsia" w:ascii="宋体" w:hAnsi="宋体" w:cs="宋体"/>
                <w:bCs/>
                <w:szCs w:val="21"/>
                <w:lang w:val="en-US"/>
              </w:rPr>
              <w:t>m²</w:t>
            </w:r>
          </w:p>
        </w:tc>
        <w:tc>
          <w:tcPr>
            <w:tcW w:w="2639" w:type="pct"/>
            <w:tcMar>
              <w:top w:w="13" w:type="dxa"/>
              <w:left w:w="57" w:type="dxa"/>
              <w:bottom w:w="0" w:type="dxa"/>
              <w:right w:w="57" w:type="dxa"/>
            </w:tcMar>
            <w:vAlign w:val="center"/>
          </w:tcPr>
          <w:p w14:paraId="44895F0D">
            <w:pPr>
              <w:rPr>
                <w:rFonts w:hint="eastAsia" w:ascii="宋体" w:hAnsi="宋体" w:cs="宋体"/>
              </w:rPr>
            </w:pPr>
            <w:r>
              <w:rPr>
                <w:rFonts w:hint="eastAsia" w:ascii="宋体" w:hAnsi="宋体" w:cs="宋体"/>
                <w:szCs w:val="21"/>
              </w:rPr>
              <w:t>▲</w:t>
            </w:r>
            <w:r>
              <w:rPr>
                <w:rFonts w:hint="eastAsia" w:ascii="宋体" w:hAnsi="宋体" w:cs="宋体"/>
              </w:rPr>
              <w:t>1.像素点间距≤1.86mm</w:t>
            </w:r>
          </w:p>
          <w:p w14:paraId="68DD27C1">
            <w:pPr>
              <w:rPr>
                <w:rFonts w:hint="eastAsia" w:ascii="宋体" w:hAnsi="宋体" w:cs="宋体"/>
              </w:rPr>
            </w:pPr>
            <w:r>
              <w:rPr>
                <w:rFonts w:hint="eastAsia" w:ascii="宋体" w:hAnsi="宋体" w:cs="宋体"/>
              </w:rPr>
              <w:t>2.</w:t>
            </w:r>
            <w:r>
              <w:rPr>
                <w:rFonts w:hint="eastAsia" w:ascii="宋体" w:hAnsi="宋体"/>
              </w:rPr>
              <w:t>尺寸要求：整屏宽</w:t>
            </w:r>
            <w:r>
              <w:rPr>
                <w:rFonts w:hint="eastAsia" w:ascii="宋体" w:hAnsi="宋体"/>
                <w:lang w:val="en-US" w:eastAsia="zh-CN"/>
              </w:rPr>
              <w:t>4800</w:t>
            </w:r>
            <w:r>
              <w:rPr>
                <w:rFonts w:hint="eastAsia" w:ascii="宋体" w:hAnsi="宋体"/>
              </w:rPr>
              <w:t>mm，高</w:t>
            </w:r>
            <w:r>
              <w:rPr>
                <w:rFonts w:hint="eastAsia" w:ascii="宋体" w:hAnsi="宋体"/>
                <w:lang w:val="en-US" w:eastAsia="zh-CN"/>
              </w:rPr>
              <w:t>1760</w:t>
            </w:r>
            <w:r>
              <w:rPr>
                <w:rFonts w:hint="eastAsia" w:ascii="宋体" w:hAnsi="宋体"/>
              </w:rPr>
              <w:t>mm。根据现场环境及装修尺寸要求，显示屏宽、高净尺寸±误差≤0.05米，整屏面积≥</w:t>
            </w:r>
            <w:r>
              <w:rPr>
                <w:rFonts w:hint="eastAsia" w:ascii="宋体" w:hAnsi="宋体"/>
                <w:lang w:val="en-US" w:eastAsia="zh-CN"/>
              </w:rPr>
              <w:t>8.45</w:t>
            </w:r>
            <w:r>
              <w:rPr>
                <w:rFonts w:hint="eastAsia" w:ascii="宋体" w:hAnsi="宋体"/>
              </w:rPr>
              <w:t>㎡，整屏分辨率≥</w:t>
            </w:r>
            <w:r>
              <w:rPr>
                <w:rFonts w:hint="eastAsia" w:ascii="宋体" w:hAnsi="宋体"/>
                <w:lang w:val="en-US" w:eastAsia="zh-CN"/>
              </w:rPr>
              <w:t>2580</w:t>
            </w:r>
            <w:r>
              <w:rPr>
                <w:rFonts w:hint="eastAsia" w:ascii="宋体" w:hAnsi="宋体"/>
              </w:rPr>
              <w:t xml:space="preserve"> </w:t>
            </w:r>
            <w:r>
              <w:rPr>
                <w:rFonts w:hint="eastAsia" w:ascii="宋体" w:hAnsi="宋体"/>
                <w:lang w:eastAsia="zh-CN"/>
              </w:rPr>
              <w:t>（</w:t>
            </w:r>
            <w:r>
              <w:rPr>
                <w:rFonts w:hint="eastAsia" w:ascii="宋体" w:hAnsi="宋体"/>
              </w:rPr>
              <w:t>宽</w:t>
            </w:r>
            <w:r>
              <w:rPr>
                <w:rFonts w:hint="eastAsia" w:ascii="宋体" w:hAnsi="宋体"/>
                <w:lang w:eastAsia="zh-CN"/>
              </w:rPr>
              <w:t>）</w:t>
            </w:r>
            <w:r>
              <w:rPr>
                <w:rFonts w:hint="eastAsia" w:ascii="宋体" w:hAnsi="宋体"/>
              </w:rPr>
              <w:t>×</w:t>
            </w:r>
            <w:r>
              <w:rPr>
                <w:rFonts w:hint="eastAsia" w:ascii="宋体" w:hAnsi="宋体"/>
                <w:lang w:val="en-US" w:eastAsia="zh-CN"/>
              </w:rPr>
              <w:t>946（</w:t>
            </w:r>
            <w:r>
              <w:rPr>
                <w:rFonts w:hint="eastAsia" w:ascii="宋体" w:hAnsi="宋体"/>
              </w:rPr>
              <w:t>高</w:t>
            </w:r>
            <w:r>
              <w:rPr>
                <w:rFonts w:hint="eastAsia" w:ascii="宋体" w:hAnsi="宋体"/>
                <w:lang w:eastAsia="zh-CN"/>
              </w:rPr>
              <w:t>）</w:t>
            </w:r>
            <w:r>
              <w:rPr>
                <w:rFonts w:hint="eastAsia" w:ascii="宋体" w:hAnsi="宋体"/>
              </w:rPr>
              <w:t>；</w:t>
            </w:r>
            <w:r>
              <w:rPr>
                <w:rFonts w:hint="eastAsia" w:ascii="宋体" w:hAnsi="宋体" w:cs="宋体"/>
              </w:rPr>
              <w:t xml:space="preserve"> </w:t>
            </w:r>
          </w:p>
          <w:p w14:paraId="09510C0A">
            <w:pPr>
              <w:rPr>
                <w:rFonts w:hint="eastAsia" w:ascii="宋体" w:hAnsi="宋体" w:cs="宋体"/>
              </w:rPr>
            </w:pPr>
            <w:r>
              <w:rPr>
                <w:rFonts w:hint="eastAsia" w:ascii="宋体" w:hAnsi="宋体" w:cs="宋体"/>
              </w:rPr>
              <w:t>3.LED封装工艺：采用表贴SMD三合一LED灯，像素由lRlGlB组成；</w:t>
            </w:r>
          </w:p>
          <w:p w14:paraId="506AD980">
            <w:pPr>
              <w:rPr>
                <w:rFonts w:hint="eastAsia" w:ascii="宋体" w:hAnsi="宋体" w:cs="宋体"/>
              </w:rPr>
            </w:pPr>
            <w:r>
              <w:rPr>
                <w:rFonts w:hint="eastAsia" w:ascii="宋体" w:hAnsi="宋体" w:cs="宋体"/>
                <w:szCs w:val="21"/>
              </w:rPr>
              <w:t>▲</w:t>
            </w:r>
            <w:r>
              <w:rPr>
                <w:rFonts w:hint="eastAsia" w:ascii="宋体" w:hAnsi="宋体" w:cs="宋体"/>
              </w:rPr>
              <w:t>4.亮度范围：0-1800cd/㎡无级调节（白平衡亮度≥1000cd/㎡）。需提供第三方权威机构出具的检测报告（扫描件或复印件，报告封面具有CMA、ilac-MRA、CNAS标识，并加盖厂家公章）；</w:t>
            </w:r>
          </w:p>
          <w:p w14:paraId="56AEED99">
            <w:pPr>
              <w:rPr>
                <w:rFonts w:hint="eastAsia" w:ascii="宋体" w:hAnsi="宋体" w:cs="宋体"/>
              </w:rPr>
            </w:pPr>
            <w:r>
              <w:rPr>
                <w:rFonts w:hint="eastAsia" w:ascii="宋体" w:hAnsi="宋体" w:cs="宋体"/>
              </w:rPr>
              <w:t>5.亮度均匀性：≥98%；色度均匀性：x≤0.0009，y≤0.0009；</w:t>
            </w:r>
          </w:p>
          <w:p w14:paraId="247F9797">
            <w:pPr>
              <w:rPr>
                <w:rFonts w:hint="eastAsia" w:ascii="宋体" w:hAnsi="宋体" w:cs="宋体"/>
              </w:rPr>
            </w:pPr>
            <w:r>
              <w:rPr>
                <w:rFonts w:hint="eastAsia" w:ascii="宋体" w:hAnsi="宋体" w:cs="宋体"/>
                <w:szCs w:val="21"/>
              </w:rPr>
              <w:t>▲</w:t>
            </w:r>
            <w:r>
              <w:rPr>
                <w:rFonts w:hint="eastAsia" w:ascii="宋体" w:hAnsi="宋体" w:cs="宋体"/>
              </w:rPr>
              <w:t>6.LED显示屏采用超广色域技术，符合国际电视广播系列标准，色域覆盖达到140%NTSC。需提供第三方权威机构出具的检测报告（扫描件或复印件），报告封面具有CMA、ilac-MRA、CNAS标识，并加盖厂家公章；</w:t>
            </w:r>
          </w:p>
          <w:p w14:paraId="6B656326">
            <w:pPr>
              <w:rPr>
                <w:rFonts w:hint="eastAsia" w:ascii="宋体" w:hAnsi="宋体" w:cs="宋体"/>
              </w:rPr>
            </w:pPr>
            <w:r>
              <w:rPr>
                <w:rFonts w:hint="eastAsia" w:ascii="宋体" w:hAnsi="宋体" w:cs="宋体"/>
              </w:rPr>
              <w:t>7.LED显示屏支持7×24小时连续工作无障碍；</w:t>
            </w:r>
          </w:p>
          <w:p w14:paraId="6C21AFE8">
            <w:pPr>
              <w:rPr>
                <w:rFonts w:hint="eastAsia" w:ascii="宋体" w:hAnsi="宋体" w:cs="宋体"/>
              </w:rPr>
            </w:pPr>
            <w:r>
              <w:rPr>
                <w:rFonts w:hint="eastAsia" w:ascii="宋体" w:hAnsi="宋体" w:cs="宋体"/>
              </w:rPr>
              <w:t>8.显示模组为磁吸安装，支持前维护/后维护，模组、电源、接收卡可全部正面维护更换，无需后维护空间；</w:t>
            </w:r>
          </w:p>
          <w:p w14:paraId="7941418E">
            <w:pPr>
              <w:rPr>
                <w:rFonts w:hint="eastAsia" w:ascii="宋体" w:hAnsi="宋体" w:cs="宋体"/>
              </w:rPr>
            </w:pPr>
            <w:r>
              <w:rPr>
                <w:rFonts w:hint="eastAsia" w:ascii="宋体" w:hAnsi="宋体" w:cs="宋体"/>
              </w:rPr>
              <w:t>9.色温调整：色温1000</w:t>
            </w:r>
            <w:r>
              <w:rPr>
                <w:rFonts w:hint="eastAsia" w:ascii="宋体" w:hAnsi="宋体" w:cs="宋体"/>
                <w:lang w:eastAsia="zh-CN"/>
              </w:rPr>
              <w:t>—</w:t>
            </w:r>
            <w:r>
              <w:rPr>
                <w:rFonts w:hint="eastAsia" w:ascii="宋体" w:hAnsi="宋体" w:cs="宋体"/>
              </w:rPr>
              <w:t>13000K可调，无极可调整、色温误差值≤100K，色温值可自定义；</w:t>
            </w:r>
          </w:p>
          <w:p w14:paraId="7361D9C7">
            <w:pPr>
              <w:rPr>
                <w:rFonts w:hint="eastAsia" w:ascii="宋体" w:hAnsi="宋体" w:cs="宋体"/>
              </w:rPr>
            </w:pPr>
            <w:r>
              <w:rPr>
                <w:rFonts w:hint="eastAsia" w:ascii="宋体" w:hAnsi="宋体" w:cs="宋体"/>
                <w:szCs w:val="21"/>
              </w:rPr>
              <w:t>▲</w:t>
            </w:r>
            <w:r>
              <w:rPr>
                <w:rFonts w:hint="eastAsia" w:ascii="宋体" w:hAnsi="宋体" w:cs="宋体"/>
              </w:rPr>
              <w:t>10.刷新率/换帧频率：≥4020Hz/60Hz，需提供第三方权威机构出具的检测报告（扫描件或复印件，报告封面具有CMA、ilac-MRA、CNAS标识，并加盖厂家公章）</w:t>
            </w:r>
          </w:p>
          <w:p w14:paraId="1F3F1ACF">
            <w:pPr>
              <w:rPr>
                <w:rFonts w:hint="eastAsia" w:ascii="宋体" w:hAnsi="宋体" w:cs="宋体"/>
              </w:rPr>
            </w:pPr>
            <w:r>
              <w:rPr>
                <w:rFonts w:hint="eastAsia" w:ascii="宋体" w:hAnsi="宋体" w:cs="宋体"/>
                <w:szCs w:val="21"/>
              </w:rPr>
              <w:t>▲</w:t>
            </w:r>
            <w:r>
              <w:rPr>
                <w:rFonts w:hint="eastAsia" w:ascii="宋体" w:hAnsi="宋体" w:cs="宋体"/>
              </w:rPr>
              <w:t>11.静态对比度：≥15000:1，动态对比度：≥10000000:1。需提供第三方权威机构出具的检测报告（扫描件或复印件，报告封面具有CMA、ilac-MRA、CNAS标识，并加盖厂家公章）</w:t>
            </w:r>
          </w:p>
          <w:p w14:paraId="56CE0740">
            <w:pPr>
              <w:rPr>
                <w:rFonts w:hint="eastAsia" w:ascii="宋体" w:hAnsi="宋体" w:cs="宋体"/>
              </w:rPr>
            </w:pPr>
            <w:r>
              <w:rPr>
                <w:rFonts w:hint="eastAsia" w:ascii="宋体" w:hAnsi="宋体" w:cs="宋体"/>
              </w:rPr>
              <w:t>12.模组平整度：≤0.05mm, 模组拼缝：≤0.05mm。</w:t>
            </w:r>
          </w:p>
          <w:p w14:paraId="7DCE2A78">
            <w:pPr>
              <w:rPr>
                <w:rFonts w:hint="eastAsia" w:ascii="宋体" w:hAnsi="宋体" w:cs="宋体"/>
              </w:rPr>
            </w:pPr>
            <w:r>
              <w:rPr>
                <w:rFonts w:hint="eastAsia" w:ascii="宋体" w:hAnsi="宋体" w:cs="宋体"/>
              </w:rPr>
              <w:t>13.功耗：峰值功耗≤680W/㎡，平均功耗≤270W/㎡</w:t>
            </w:r>
          </w:p>
          <w:p w14:paraId="2B58703A">
            <w:pPr>
              <w:rPr>
                <w:rFonts w:hint="eastAsia" w:ascii="宋体" w:hAnsi="宋体" w:cs="宋体"/>
              </w:rPr>
            </w:pPr>
            <w:r>
              <w:rPr>
                <w:rFonts w:hint="eastAsia" w:ascii="宋体" w:hAnsi="宋体" w:cs="宋体"/>
              </w:rPr>
              <w:t>14.显示模组具有校正参数存储功能，每个模组维护更换后自动校正。即更换的新模组能够自行调节亮度，显示控制软件具有自我诊断能力，整屏模组可替换性，智能模组技术；</w:t>
            </w:r>
          </w:p>
          <w:p w14:paraId="35768A7C">
            <w:pPr>
              <w:rPr>
                <w:rFonts w:hint="eastAsia" w:ascii="宋体" w:hAnsi="宋体" w:cs="宋体"/>
              </w:rPr>
            </w:pPr>
            <w:r>
              <w:rPr>
                <w:rFonts w:hint="eastAsia" w:ascii="宋体" w:hAnsi="宋体" w:cs="宋体"/>
                <w:szCs w:val="21"/>
              </w:rPr>
              <w:t>▲</w:t>
            </w:r>
            <w:r>
              <w:rPr>
                <w:rFonts w:hint="eastAsia" w:ascii="宋体" w:hAnsi="宋体" w:cs="宋体"/>
              </w:rPr>
              <w:t>15.热插拔功能：模块、线材、电源、卡支持全部热插拔功能，需提供第三方权威机构出具的检测报告（扫描件或复印件），报告封面具有CMA、ilac-MRA、CNAS标识，并加盖厂家公章；</w:t>
            </w:r>
          </w:p>
          <w:p w14:paraId="49BA289A">
            <w:pPr>
              <w:rPr>
                <w:rFonts w:hint="eastAsia" w:ascii="宋体" w:hAnsi="宋体" w:cs="宋体"/>
              </w:rPr>
            </w:pPr>
            <w:r>
              <w:rPr>
                <w:rFonts w:hint="eastAsia" w:ascii="宋体" w:hAnsi="宋体" w:cs="宋体"/>
                <w:szCs w:val="21"/>
              </w:rPr>
              <w:t>▲</w:t>
            </w:r>
            <w:r>
              <w:rPr>
                <w:rFonts w:hint="eastAsia" w:ascii="宋体" w:hAnsi="宋体" w:cs="宋体"/>
              </w:rPr>
              <w:t>16.模</w:t>
            </w:r>
            <w:r>
              <w:rPr>
                <w:rFonts w:hint="eastAsia" w:ascii="宋体" w:hAnsi="宋体" w:cs="宋体"/>
                <w:sz w:val="24"/>
                <w:szCs w:val="24"/>
              </w:rPr>
              <w:t>组驱动芯片具有消鬼影、防拖影及画面稳定无闪烁现象的技术，需</w:t>
            </w:r>
            <w:r>
              <w:rPr>
                <w:rFonts w:hint="eastAsia" w:ascii="宋体" w:hAnsi="宋体" w:cs="宋体"/>
              </w:rPr>
              <w:t>提供第三方权威机构出具的检测报告（扫描件或复印件），报告封面具有CMA、ilac-MRA、CNAS标识，并加盖厂家公章；</w:t>
            </w:r>
          </w:p>
          <w:p w14:paraId="38A1982B">
            <w:pPr>
              <w:rPr>
                <w:rFonts w:hint="eastAsia" w:ascii="宋体" w:hAnsi="宋体" w:cs="宋体"/>
              </w:rPr>
            </w:pPr>
            <w:r>
              <w:rPr>
                <w:rFonts w:hint="eastAsia" w:ascii="宋体" w:hAnsi="宋体" w:cs="宋体"/>
                <w:szCs w:val="21"/>
              </w:rPr>
              <w:t>▲</w:t>
            </w:r>
            <w:r>
              <w:rPr>
                <w:rFonts w:hint="eastAsia" w:ascii="宋体" w:hAnsi="宋体" w:cs="宋体"/>
              </w:rPr>
              <w:t>17.LED显示屏符合IEC TR 62778:2014《IEC 62471的应用：光源和灯具的蓝光危害评估》要求，200mm测试距离、11mrad视场测试条件下蓝光危害辐亮度≤8.52e-01; 通过蓝光认证标准测试，保证LED显示屏对人眼观看的安全及其光辐射无危害。需提供第三方权威机构出具的检测报告（扫描件或复印件，报告封面具有CMA、ilac-MRA、CNAS标识，</w:t>
            </w:r>
            <w:r>
              <w:rPr>
                <w:rFonts w:hint="eastAsia" w:ascii="宋体" w:hAnsi="宋体" w:cs="宋体"/>
                <w:lang w:eastAsia="zh-CN"/>
              </w:rPr>
              <w:t>并加盖</w:t>
            </w:r>
            <w:r>
              <w:rPr>
                <w:rFonts w:hint="eastAsia" w:ascii="宋体" w:hAnsi="宋体" w:cs="宋体"/>
              </w:rPr>
              <w:t>厂家公章）；</w:t>
            </w:r>
          </w:p>
          <w:p w14:paraId="78E970A2">
            <w:pPr>
              <w:rPr>
                <w:rFonts w:hint="eastAsia" w:ascii="宋体" w:hAnsi="宋体" w:cs="宋体"/>
              </w:rPr>
            </w:pPr>
            <w:r>
              <w:rPr>
                <w:rFonts w:hint="eastAsia" w:ascii="宋体" w:hAnsi="宋体" w:cs="宋体"/>
                <w:szCs w:val="21"/>
              </w:rPr>
              <w:t>▲</w:t>
            </w:r>
            <w:r>
              <w:rPr>
                <w:rFonts w:hint="eastAsia" w:ascii="宋体" w:hAnsi="宋体" w:cs="宋体"/>
              </w:rPr>
              <w:t>18.LED显示屏需通过辐射危害的曝辐限制、眼睛的近紫外危害曝辐限制，符合肉眼观看标准，并符合GB/T 20145-2006 光生物安全性标准，具备对人体眼睛无伤害功能。需提供第三方权威机构出具的检测报告（扫描件或复印件），报告封面具有CMA、ilac-MRA、CNAS标识，并加盖厂家公章；</w:t>
            </w:r>
          </w:p>
          <w:p w14:paraId="2546737E">
            <w:pPr>
              <w:rPr>
                <w:rFonts w:hint="eastAsia" w:ascii="宋体" w:hAnsi="宋体" w:cs="宋体"/>
              </w:rPr>
            </w:pPr>
            <w:r>
              <w:rPr>
                <w:rFonts w:hint="eastAsia" w:ascii="宋体" w:hAnsi="宋体" w:cs="宋体"/>
                <w:szCs w:val="21"/>
              </w:rPr>
              <w:t>▲</w:t>
            </w:r>
            <w:r>
              <w:rPr>
                <w:rFonts w:hint="eastAsia" w:ascii="宋体" w:hAnsi="宋体" w:cs="宋体"/>
              </w:rPr>
              <w:t>19.阻燃测试：符合GB/T5169.16-2017电工电子产品着火危险试验</w:t>
            </w:r>
            <w:r>
              <w:rPr>
                <w:rFonts w:hint="eastAsia" w:ascii="宋体" w:hAnsi="宋体" w:cs="宋体"/>
                <w:lang w:eastAsia="zh-CN"/>
              </w:rPr>
              <w:t>（</w:t>
            </w:r>
            <w:r>
              <w:rPr>
                <w:rFonts w:hint="eastAsia" w:ascii="宋体" w:hAnsi="宋体" w:cs="宋体"/>
              </w:rPr>
              <w:t>PCB 满足V-0阻燃等级要求，试验过程中无滴落物，样品自燃在10s内熄灭，面板的阻燃等级达到V-0级，PCB板的火焰燃烧或灼热燃烧未达到100mm</w:t>
            </w:r>
            <w:r>
              <w:rPr>
                <w:rFonts w:hint="eastAsia" w:ascii="宋体" w:hAnsi="宋体" w:cs="宋体"/>
                <w:lang w:eastAsia="zh-CN"/>
              </w:rPr>
              <w:t>）</w:t>
            </w:r>
            <w:r>
              <w:rPr>
                <w:rFonts w:hint="eastAsia" w:ascii="宋体" w:hAnsi="宋体" w:cs="宋体"/>
              </w:rPr>
              <w:t>；产品阻燃级别达到V-0级。需提供第三方权威机构出具的检测报告（扫描件或复印件），报告封面具有CMA、ilac-MRA、CNAS标识，并加盖厂家公章；</w:t>
            </w:r>
          </w:p>
          <w:p w14:paraId="73465036">
            <w:pPr>
              <w:rPr>
                <w:rFonts w:hint="eastAsia" w:ascii="宋体" w:hAnsi="宋体" w:cs="宋体"/>
              </w:rPr>
            </w:pPr>
            <w:r>
              <w:rPr>
                <w:rFonts w:hint="eastAsia" w:ascii="宋体" w:hAnsi="宋体" w:cs="宋体"/>
                <w:szCs w:val="21"/>
              </w:rPr>
              <w:t>▲</w:t>
            </w:r>
            <w:r>
              <w:rPr>
                <w:rFonts w:hint="eastAsia" w:ascii="宋体" w:hAnsi="宋体" w:cs="宋体"/>
              </w:rPr>
              <w:t>20.屏体可靠性：符合GB/T2423.9-2001国家标准，裸机在50℃、湿度90%环境内连续工作≥200个小时无故障。需提供第三方权威机构出具的检测报告（扫描件或复印件，报告封面具有CMA、ilac-MRA、CNAS标识，并加盖厂家公章）；</w:t>
            </w:r>
          </w:p>
          <w:p w14:paraId="2EF0F46C">
            <w:pPr>
              <w:rPr>
                <w:rFonts w:hint="eastAsia" w:ascii="宋体" w:hAnsi="宋体" w:cs="宋体"/>
              </w:rPr>
            </w:pPr>
            <w:r>
              <w:rPr>
                <w:rFonts w:hint="eastAsia" w:ascii="宋体" w:hAnsi="宋体" w:cs="宋体"/>
              </w:rPr>
              <w:t>21.可视角度设计：水平视角≥170°，垂直视角≥170°。</w:t>
            </w:r>
          </w:p>
          <w:p w14:paraId="3671FE30">
            <w:pPr>
              <w:rPr>
                <w:rFonts w:hint="eastAsia" w:ascii="宋体" w:hAnsi="宋体" w:cs="宋体"/>
              </w:rPr>
            </w:pPr>
            <w:r>
              <w:rPr>
                <w:rFonts w:hint="eastAsia" w:ascii="宋体" w:hAnsi="宋体" w:cs="宋体"/>
                <w:szCs w:val="21"/>
              </w:rPr>
              <w:t>▲</w:t>
            </w:r>
            <w:r>
              <w:rPr>
                <w:rFonts w:hint="eastAsia" w:ascii="宋体" w:hAnsi="宋体" w:cs="宋体"/>
              </w:rPr>
              <w:t>22.恒定湿热试验：通过恒定湿热试验（设定温度40℃相对湿度90%的环境），满足GB/T2423.3-2006电工电子产品环境试验标准要求。需提供第三方权威机构出具的检测报告（扫描件或复印件），报告封面具有CMA、ilac-MRA、CNAS标识，并加盖厂家公章。</w:t>
            </w:r>
          </w:p>
          <w:p w14:paraId="0CC9CED7">
            <w:pPr>
              <w:rPr>
                <w:rFonts w:hint="eastAsia" w:ascii="宋体" w:hAnsi="宋体" w:cs="宋体"/>
              </w:rPr>
            </w:pPr>
            <w:r>
              <w:rPr>
                <w:rFonts w:hint="eastAsia" w:ascii="宋体" w:hAnsi="宋体" w:cs="宋体"/>
                <w:szCs w:val="21"/>
              </w:rPr>
              <w:t>▲</w:t>
            </w:r>
            <w:r>
              <w:rPr>
                <w:rFonts w:hint="eastAsia" w:ascii="宋体" w:hAnsi="宋体" w:cs="宋体"/>
              </w:rPr>
              <w:t>23.屏幕散热设计：具备无风扇设计，主动散热功能，模组电源与箱体间采用高导热系数的导热硅胶垫，有效</w:t>
            </w:r>
            <w:r>
              <w:rPr>
                <w:rFonts w:hint="eastAsia" w:ascii="宋体" w:hAnsi="宋体" w:cs="宋体"/>
                <w:lang w:eastAsia="zh-CN"/>
              </w:rPr>
              <w:t>地</w:t>
            </w:r>
            <w:r>
              <w:rPr>
                <w:rFonts w:hint="eastAsia" w:ascii="宋体" w:hAnsi="宋体" w:cs="宋体"/>
              </w:rPr>
              <w:t>将电源热量导出到箱体外壳，无噪音，噪音值为0dB (A</w:t>
            </w:r>
            <w:r>
              <w:rPr>
                <w:rFonts w:hint="eastAsia" w:ascii="宋体" w:hAnsi="宋体" w:cs="宋体"/>
                <w:lang w:eastAsia="zh-CN"/>
              </w:rPr>
              <w:t>）</w:t>
            </w:r>
            <w:r>
              <w:rPr>
                <w:rFonts w:hint="eastAsia" w:ascii="宋体" w:hAnsi="宋体" w:cs="宋体"/>
              </w:rPr>
              <w:t>。需提供第三方权威机构出具的检测报告（扫描件或复印件，报告封面具有CMA、ilac-MRA、CNAS标识，并加盖厂家公章）；</w:t>
            </w:r>
          </w:p>
          <w:p w14:paraId="3A618B4D">
            <w:pPr>
              <w:rPr>
                <w:rFonts w:hint="eastAsia" w:ascii="宋体" w:hAnsi="宋体" w:cs="宋体"/>
              </w:rPr>
            </w:pPr>
            <w:r>
              <w:rPr>
                <w:rFonts w:hint="eastAsia" w:ascii="宋体" w:hAnsi="宋体" w:cs="宋体"/>
                <w:szCs w:val="21"/>
              </w:rPr>
              <w:t>▲</w:t>
            </w:r>
            <w:r>
              <w:rPr>
                <w:rFonts w:hint="eastAsia" w:ascii="宋体" w:hAnsi="宋体" w:cs="宋体"/>
              </w:rPr>
              <w:t>24.高低温试验：通过高低温试验测试（-5℃至40℃范围内），满足GB/T 2423.22-2002环境试验要求。提供第三方权威机构出具的检测报告（扫描件或复印件），报告封面具有CMA、ilac-MRA、CNAS标识，并加盖厂家公章。</w:t>
            </w:r>
          </w:p>
          <w:p w14:paraId="2ED22A3C">
            <w:pPr>
              <w:rPr>
                <w:rFonts w:hint="eastAsia" w:ascii="宋体" w:hAnsi="宋体" w:cs="宋体"/>
              </w:rPr>
            </w:pPr>
            <w:r>
              <w:rPr>
                <w:rFonts w:hint="eastAsia" w:ascii="宋体" w:hAnsi="宋体" w:cs="宋体"/>
                <w:szCs w:val="21"/>
              </w:rPr>
              <w:t>▲</w:t>
            </w:r>
            <w:r>
              <w:rPr>
                <w:rFonts w:hint="eastAsia" w:ascii="宋体" w:hAnsi="宋体" w:cs="宋体"/>
              </w:rPr>
              <w:t>25.盐雾腐蚀：经过35℃连续喷雾48h试验，符合GB/T 2423.17-2008盐雾11级要求。需提供第三方权威机构出具的检测报告（扫描件或复印件），报告封面具有CMA、ilac-MRA、CNAS标识，并加盖厂家公章。</w:t>
            </w:r>
          </w:p>
          <w:p w14:paraId="28D596A0">
            <w:pPr>
              <w:rPr>
                <w:rFonts w:hint="eastAsia" w:ascii="宋体" w:hAnsi="宋体" w:cs="宋体"/>
              </w:rPr>
            </w:pPr>
            <w:r>
              <w:rPr>
                <w:rFonts w:hint="eastAsia" w:ascii="宋体" w:hAnsi="宋体" w:cs="宋体"/>
                <w:szCs w:val="21"/>
              </w:rPr>
              <w:t>▲</w:t>
            </w:r>
            <w:r>
              <w:rPr>
                <w:rFonts w:hint="eastAsia" w:ascii="宋体" w:hAnsi="宋体" w:cs="宋体"/>
              </w:rPr>
              <w:t>26.LED显示屏的MTBF平均无故障运行时间≥180000小时。需提供第三方权威机构出具的检测报告（扫描件或复印件），报告封面具有ilac-MRA、CNAS标识，并加盖厂家公章。</w:t>
            </w:r>
          </w:p>
          <w:p w14:paraId="1FA468E9">
            <w:pPr>
              <w:rPr>
                <w:rFonts w:hint="eastAsia" w:ascii="宋体" w:hAnsi="宋体" w:cs="宋体"/>
              </w:rPr>
            </w:pPr>
            <w:r>
              <w:rPr>
                <w:rFonts w:hint="eastAsia" w:ascii="宋体" w:hAnsi="宋体" w:cs="宋体"/>
                <w:szCs w:val="21"/>
              </w:rPr>
              <w:t>▲</w:t>
            </w:r>
            <w:r>
              <w:rPr>
                <w:rFonts w:hint="eastAsia" w:ascii="宋体" w:hAnsi="宋体" w:cs="宋体"/>
              </w:rPr>
              <w:t>27.LED显示屏的回扫线或频闪现象、图像均匀性、大面积色彩还原、灰度表现力</w:t>
            </w:r>
            <w:r>
              <w:rPr>
                <w:rFonts w:hint="eastAsia" w:ascii="宋体" w:hAnsi="宋体" w:cs="宋体"/>
                <w:lang w:eastAsia="zh-CN"/>
              </w:rPr>
              <w:t>（</w:t>
            </w:r>
            <w:r>
              <w:rPr>
                <w:rFonts w:hint="eastAsia" w:ascii="宋体" w:hAnsi="宋体" w:cs="宋体"/>
              </w:rPr>
              <w:t>伪轮廓现象</w:t>
            </w:r>
            <w:r>
              <w:rPr>
                <w:rFonts w:hint="eastAsia" w:ascii="宋体" w:hAnsi="宋体" w:cs="宋体"/>
                <w:lang w:eastAsia="zh-CN"/>
              </w:rPr>
              <w:t>）</w:t>
            </w:r>
            <w:r>
              <w:rPr>
                <w:rFonts w:hint="eastAsia" w:ascii="宋体" w:hAnsi="宋体" w:cs="宋体"/>
              </w:rPr>
              <w:t>、运动图像清晰度、静态图像清晰度根据SJ/T 11590-2016 LED显示屏图像质量主观评价方法检测结果评分</w:t>
            </w:r>
            <w:r>
              <w:rPr>
                <w:rFonts w:hint="eastAsia" w:ascii="宋体" w:hAnsi="宋体" w:cs="宋体"/>
                <w:lang w:eastAsia="zh-CN"/>
              </w:rPr>
              <w:t>：</w:t>
            </w:r>
            <w:r>
              <w:rPr>
                <w:rFonts w:hint="eastAsia" w:ascii="宋体" w:hAnsi="宋体" w:cs="宋体"/>
              </w:rPr>
              <w:t>5分；主观评价为优。需提供第三方权威机构出具的检测报告（扫描件或复印件），报告封面具有ilac-MRA、CNAS标识，并加盖厂家公章。</w:t>
            </w:r>
          </w:p>
          <w:p w14:paraId="500FCE87">
            <w:pPr>
              <w:rPr>
                <w:rFonts w:hint="eastAsia" w:ascii="宋体" w:hAnsi="宋体" w:cs="宋体"/>
              </w:rPr>
            </w:pPr>
            <w:r>
              <w:rPr>
                <w:rFonts w:hint="eastAsia" w:ascii="宋体" w:hAnsi="宋体" w:cs="宋体"/>
                <w:szCs w:val="21"/>
              </w:rPr>
              <w:t>▲</w:t>
            </w:r>
            <w:r>
              <w:rPr>
                <w:rFonts w:hint="eastAsia" w:ascii="宋体" w:hAnsi="宋体" w:cs="宋体"/>
              </w:rPr>
              <w:t>28.LED显示屏纵向拉伸承载力≥19600N，横向拉伸承载力≥19600N，可承受≥50000N压力测试。产品安全牢固，结构用材具备一定韧性。需提供第三方权威机构出具的检测报告（扫描件或复印件），报告封面具有ilac-MRA、CNAS标识，并加盖厂家公章。</w:t>
            </w:r>
          </w:p>
          <w:p w14:paraId="5E5D4820">
            <w:pPr>
              <w:rPr>
                <w:rFonts w:hint="eastAsia" w:ascii="宋体" w:hAnsi="宋体" w:cs="宋体"/>
              </w:rPr>
            </w:pPr>
            <w:r>
              <w:rPr>
                <w:rFonts w:hint="eastAsia" w:ascii="宋体" w:hAnsi="宋体" w:cs="宋体"/>
                <w:szCs w:val="21"/>
              </w:rPr>
              <w:t>▲</w:t>
            </w:r>
            <w:r>
              <w:rPr>
                <w:rFonts w:hint="eastAsia" w:ascii="宋体" w:hAnsi="宋体" w:cs="宋体"/>
              </w:rPr>
              <w:t>29.LED显示屏视觉舒适度(VICO)＜1，观看基本无疲劳感，眼部无不适，视觉舒适度等级为1级，视觉健康舒适度等级为S级。需提供第三方权威机构出具的检测报告（扫描件或复印件），报告封面具有ilac-MRA、CNAS标识，并加盖厂家公章。</w:t>
            </w:r>
          </w:p>
          <w:p w14:paraId="07AEDC0D">
            <w:pPr>
              <w:rPr>
                <w:rFonts w:hint="eastAsia" w:ascii="宋体" w:hAnsi="宋体" w:cs="宋体"/>
              </w:rPr>
            </w:pPr>
            <w:r>
              <w:rPr>
                <w:rFonts w:hint="eastAsia" w:ascii="宋体" w:hAnsi="宋体" w:cs="宋体"/>
                <w:szCs w:val="21"/>
              </w:rPr>
              <w:t>▲</w:t>
            </w:r>
            <w:r>
              <w:rPr>
                <w:rFonts w:hint="eastAsia" w:ascii="宋体" w:hAnsi="宋体" w:cs="宋体"/>
              </w:rPr>
              <w:t>30.LED显示屏噪声测试通过GB/T 18313-2001 idt ISO 7779:1999 (E) 标准，距离平面中心1米处噪声声压级≤10dB(A</w:t>
            </w:r>
            <w:r>
              <w:rPr>
                <w:rFonts w:hint="eastAsia" w:ascii="宋体" w:hAnsi="宋体" w:cs="宋体"/>
                <w:lang w:eastAsia="zh-CN"/>
              </w:rPr>
              <w:t>）</w:t>
            </w:r>
            <w:r>
              <w:rPr>
                <w:rFonts w:hint="eastAsia" w:ascii="宋体" w:hAnsi="宋体" w:cs="宋体"/>
              </w:rPr>
              <w:t>，屏前2米处噪音≤5dB(A</w:t>
            </w:r>
            <w:r>
              <w:rPr>
                <w:rFonts w:hint="eastAsia" w:ascii="宋体" w:hAnsi="宋体" w:cs="宋体"/>
                <w:lang w:eastAsia="zh-CN"/>
              </w:rPr>
              <w:t>）</w:t>
            </w:r>
            <w:r>
              <w:rPr>
                <w:rFonts w:hint="eastAsia" w:ascii="宋体" w:hAnsi="宋体" w:cs="宋体"/>
              </w:rPr>
              <w:t>。需提供第三方权威机构出具的检测报告（扫描件或复印件），报告封面具有ilac-MRA、CNAS标识，并加盖厂家公章。</w:t>
            </w:r>
          </w:p>
          <w:p w14:paraId="61DDFAA0">
            <w:pPr>
              <w:rPr>
                <w:rFonts w:hint="eastAsia" w:ascii="宋体" w:hAnsi="宋体" w:cs="宋体"/>
              </w:rPr>
            </w:pPr>
            <w:r>
              <w:rPr>
                <w:rFonts w:hint="eastAsia" w:ascii="宋体" w:hAnsi="宋体" w:cs="宋体"/>
                <w:szCs w:val="21"/>
              </w:rPr>
              <w:t>▲</w:t>
            </w:r>
            <w:r>
              <w:rPr>
                <w:rFonts w:hint="eastAsia" w:ascii="宋体" w:hAnsi="宋体" w:cs="宋体"/>
              </w:rPr>
              <w:t>31.LED显示屏符合GB/T 15115-2009标准，抗拉强度≥400Mpa，屈服强度≥350Mpa，机械强度≥50Mpa，硬度≥150HBS。需提供第三方权威机构出具的检测报告（扫描件或复印件），报告封面具有ilac-MRA、CNAS标识，并加盖厂家公章。</w:t>
            </w:r>
          </w:p>
          <w:p w14:paraId="24C22068">
            <w:pPr>
              <w:spacing w:line="336" w:lineRule="exact"/>
              <w:rPr>
                <w:rFonts w:hint="eastAsia" w:ascii="宋体" w:hAnsi="宋体" w:cs="宋体"/>
              </w:rPr>
            </w:pPr>
            <w:r>
              <w:rPr>
                <w:rFonts w:hint="eastAsia" w:ascii="宋体" w:hAnsi="宋体" w:cs="宋体"/>
              </w:rPr>
              <w:t>32.LED显示屏需提供CCC证书复印件，并加盖厂家公章。</w:t>
            </w:r>
          </w:p>
          <w:p w14:paraId="6FB9853F">
            <w:pPr>
              <w:spacing w:line="336" w:lineRule="exact"/>
              <w:rPr>
                <w:rFonts w:hint="eastAsia" w:ascii="宋体" w:hAnsi="宋体" w:cs="宋体"/>
                <w:b/>
                <w:bCs/>
                <w:szCs w:val="21"/>
              </w:rPr>
            </w:pPr>
            <w:r>
              <w:rPr>
                <w:rFonts w:hint="eastAsia" w:ascii="宋体" w:hAnsi="宋体" w:cs="宋体"/>
                <w:szCs w:val="21"/>
              </w:rPr>
              <w:t>▲</w:t>
            </w:r>
            <w:r>
              <w:rPr>
                <w:rFonts w:hint="eastAsia" w:ascii="宋体" w:hAnsi="宋体" w:cs="宋体"/>
                <w:szCs w:val="21"/>
                <w:lang w:eastAsia="zh-CN"/>
              </w:rPr>
              <w:t>33.</w:t>
            </w:r>
            <w:r>
              <w:rPr>
                <w:rFonts w:hint="eastAsia" w:ascii="宋体" w:hAnsi="宋体" w:cs="宋体"/>
              </w:rPr>
              <w:t>产品供货时必须提供原厂针对本项目盖章的原厂售后服务承诺函，否则不给予验收。</w:t>
            </w:r>
          </w:p>
        </w:tc>
        <w:tc>
          <w:tcPr>
            <w:tcW w:w="646" w:type="pct"/>
            <w:tcMar>
              <w:top w:w="13" w:type="dxa"/>
              <w:left w:w="57" w:type="dxa"/>
              <w:bottom w:w="0" w:type="dxa"/>
              <w:right w:w="57" w:type="dxa"/>
            </w:tcMar>
            <w:vAlign w:val="center"/>
          </w:tcPr>
          <w:p w14:paraId="32710920">
            <w:pPr>
              <w:spacing w:line="336" w:lineRule="exact"/>
              <w:rPr>
                <w:rFonts w:hint="eastAsia" w:ascii="宋体" w:hAnsi="宋体" w:cs="宋体"/>
              </w:rPr>
            </w:pPr>
            <w:r>
              <w:rPr>
                <w:rFonts w:hint="eastAsia" w:ascii="宋体" w:hAnsi="宋体" w:cs="宋体"/>
              </w:rPr>
              <w:t>含电源、接收卡、备用品</w:t>
            </w:r>
          </w:p>
        </w:tc>
      </w:tr>
      <w:tr w14:paraId="77B3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8" w:hRule="atLeast"/>
          <w:jc w:val="center"/>
        </w:trPr>
        <w:tc>
          <w:tcPr>
            <w:tcW w:w="248" w:type="pct"/>
            <w:tcMar>
              <w:top w:w="13" w:type="dxa"/>
              <w:left w:w="57" w:type="dxa"/>
              <w:bottom w:w="0" w:type="dxa"/>
              <w:right w:w="57" w:type="dxa"/>
            </w:tcMar>
            <w:vAlign w:val="center"/>
          </w:tcPr>
          <w:p w14:paraId="314384E7">
            <w:pPr>
              <w:numPr>
                <w:ilvl w:val="0"/>
                <w:numId w:val="1"/>
              </w:numPr>
              <w:tabs>
                <w:tab w:val="clear" w:pos="0"/>
              </w:tabs>
              <w:spacing w:line="336" w:lineRule="exact"/>
              <w:ind w:right="-59" w:rightChars="-27"/>
              <w:jc w:val="center"/>
              <w:rPr>
                <w:rFonts w:hint="eastAsia" w:ascii="宋体" w:hAnsi="宋体" w:cs="宋体"/>
                <w:bCs/>
                <w:szCs w:val="21"/>
              </w:rPr>
            </w:pPr>
          </w:p>
        </w:tc>
        <w:tc>
          <w:tcPr>
            <w:tcW w:w="405" w:type="pct"/>
            <w:tcMar>
              <w:top w:w="13" w:type="dxa"/>
              <w:left w:w="57" w:type="dxa"/>
              <w:bottom w:w="0" w:type="dxa"/>
              <w:right w:w="57" w:type="dxa"/>
            </w:tcMar>
            <w:vAlign w:val="center"/>
          </w:tcPr>
          <w:p w14:paraId="30D6994A">
            <w:pPr>
              <w:snapToGrid w:val="0"/>
              <w:spacing w:line="336" w:lineRule="exact"/>
              <w:jc w:val="center"/>
              <w:rPr>
                <w:rFonts w:hint="eastAsia" w:ascii="宋体" w:hAnsi="宋体" w:cs="宋体"/>
                <w:bCs/>
                <w:szCs w:val="21"/>
              </w:rPr>
            </w:pPr>
            <w:r>
              <w:rPr>
                <w:rFonts w:hint="eastAsia" w:ascii="宋体" w:hAnsi="宋体" w:cs="宋体"/>
                <w:bCs/>
                <w:szCs w:val="21"/>
              </w:rPr>
              <w:t>支架及结构件</w:t>
            </w:r>
          </w:p>
        </w:tc>
        <w:tc>
          <w:tcPr>
            <w:tcW w:w="641" w:type="pct"/>
            <w:tcMar>
              <w:top w:w="13" w:type="dxa"/>
              <w:left w:w="57" w:type="dxa"/>
              <w:bottom w:w="0" w:type="dxa"/>
              <w:right w:w="57" w:type="dxa"/>
            </w:tcMar>
            <w:vAlign w:val="center"/>
          </w:tcPr>
          <w:p w14:paraId="7F17FBF0">
            <w:pPr>
              <w:snapToGrid w:val="0"/>
              <w:spacing w:line="336" w:lineRule="exact"/>
              <w:jc w:val="center"/>
              <w:rPr>
                <w:rFonts w:hint="eastAsia" w:ascii="宋体" w:hAnsi="宋体" w:cs="宋体"/>
                <w:bCs/>
                <w:szCs w:val="21"/>
              </w:rPr>
            </w:pPr>
            <w:r>
              <w:rPr>
                <w:rFonts w:hint="eastAsia" w:ascii="宋体" w:hAnsi="宋体" w:cs="宋体"/>
                <w:bCs/>
                <w:szCs w:val="21"/>
              </w:rPr>
              <w:t>赛普</w:t>
            </w:r>
          </w:p>
          <w:p w14:paraId="11F4003F">
            <w:pPr>
              <w:snapToGrid w:val="0"/>
              <w:spacing w:line="336" w:lineRule="exact"/>
              <w:jc w:val="center"/>
              <w:rPr>
                <w:rFonts w:hint="eastAsia" w:ascii="宋体" w:hAnsi="宋体" w:cs="宋体"/>
                <w:bCs/>
                <w:szCs w:val="21"/>
              </w:rPr>
            </w:pPr>
            <w:r>
              <w:rPr>
                <w:rFonts w:hint="eastAsia" w:ascii="宋体" w:hAnsi="宋体" w:cs="宋体"/>
                <w:bCs/>
                <w:szCs w:val="21"/>
              </w:rPr>
              <w:t>定制</w:t>
            </w:r>
          </w:p>
        </w:tc>
        <w:tc>
          <w:tcPr>
            <w:tcW w:w="418" w:type="pct"/>
            <w:tcMar>
              <w:top w:w="13" w:type="dxa"/>
              <w:left w:w="57" w:type="dxa"/>
              <w:bottom w:w="0" w:type="dxa"/>
              <w:right w:w="57" w:type="dxa"/>
            </w:tcMar>
            <w:vAlign w:val="center"/>
          </w:tcPr>
          <w:p w14:paraId="08777E6B">
            <w:pPr>
              <w:snapToGrid w:val="0"/>
              <w:spacing w:line="336" w:lineRule="exact"/>
              <w:jc w:val="center"/>
              <w:rPr>
                <w:rFonts w:hint="eastAsia" w:ascii="宋体" w:hAnsi="宋体" w:cs="宋体"/>
                <w:bCs/>
                <w:szCs w:val="21"/>
              </w:rPr>
            </w:pPr>
            <w:r>
              <w:rPr>
                <w:rFonts w:hint="eastAsia" w:ascii="宋体" w:hAnsi="宋体"/>
                <w:lang w:val="en-US" w:eastAsia="zh-CN"/>
              </w:rPr>
              <w:t>9.11</w:t>
            </w:r>
            <w:r>
              <w:rPr>
                <w:rFonts w:hint="eastAsia" w:ascii="宋体" w:hAnsi="宋体" w:cs="宋体"/>
                <w:bCs/>
                <w:szCs w:val="21"/>
                <w:lang w:val="en-US"/>
              </w:rPr>
              <w:t>m²</w:t>
            </w:r>
          </w:p>
        </w:tc>
        <w:tc>
          <w:tcPr>
            <w:tcW w:w="2639" w:type="pct"/>
            <w:tcMar>
              <w:top w:w="13" w:type="dxa"/>
              <w:left w:w="57" w:type="dxa"/>
              <w:bottom w:w="0" w:type="dxa"/>
              <w:right w:w="57" w:type="dxa"/>
            </w:tcMar>
            <w:vAlign w:val="center"/>
          </w:tcPr>
          <w:p w14:paraId="2CC7B1A7">
            <w:pPr>
              <w:rPr>
                <w:rFonts w:hint="eastAsia" w:ascii="宋体" w:hAnsi="宋体" w:cs="宋体"/>
              </w:rPr>
            </w:pPr>
            <w:r>
              <w:rPr>
                <w:rFonts w:hint="eastAsia" w:ascii="宋体" w:hAnsi="宋体" w:cs="宋体"/>
              </w:rPr>
              <w:t>1.采用铝合金型材或钢材结构定制。</w:t>
            </w:r>
          </w:p>
          <w:p w14:paraId="09C3FB58">
            <w:pPr>
              <w:rPr>
                <w:rFonts w:hint="eastAsia" w:ascii="宋体" w:hAnsi="宋体" w:cs="宋体"/>
              </w:rPr>
            </w:pPr>
            <w:r>
              <w:rPr>
                <w:rFonts w:hint="eastAsia" w:ascii="宋体" w:hAnsi="宋体" w:cs="宋体"/>
              </w:rPr>
              <w:t>2.表面进行专业酸洗、防锈防磷处理，保证喷涂工艺的均匀性。</w:t>
            </w:r>
          </w:p>
          <w:p w14:paraId="7F8DF4C2">
            <w:pPr>
              <w:rPr>
                <w:rFonts w:hint="eastAsia" w:ascii="宋体" w:hAnsi="宋体" w:cs="宋体"/>
              </w:rPr>
            </w:pPr>
            <w:r>
              <w:rPr>
                <w:rFonts w:hint="eastAsia" w:ascii="宋体" w:hAnsi="宋体" w:cs="宋体"/>
              </w:rPr>
              <w:t>3.采用高强度的ICI粉末，静电喷塑，保证涂层表面平滑、喷涂均匀、色调一致。</w:t>
            </w:r>
          </w:p>
          <w:p w14:paraId="3884A1A7">
            <w:pPr>
              <w:rPr>
                <w:rFonts w:hint="eastAsia" w:ascii="宋体" w:hAnsi="宋体" w:cs="宋体"/>
                <w:szCs w:val="21"/>
              </w:rPr>
            </w:pPr>
            <w:r>
              <w:rPr>
                <w:rFonts w:hint="eastAsia" w:ascii="宋体" w:hAnsi="宋体" w:cs="宋体"/>
              </w:rPr>
              <w:t>4.采用全模块式拼装结构设计，完全满足运输和设备扩展需求，具备良好的通用性及互换性。</w:t>
            </w:r>
          </w:p>
        </w:tc>
        <w:tc>
          <w:tcPr>
            <w:tcW w:w="646" w:type="pct"/>
            <w:tcMar>
              <w:top w:w="13" w:type="dxa"/>
              <w:left w:w="57" w:type="dxa"/>
              <w:bottom w:w="0" w:type="dxa"/>
              <w:right w:w="57" w:type="dxa"/>
            </w:tcMar>
            <w:vAlign w:val="center"/>
          </w:tcPr>
          <w:p w14:paraId="279F09D3">
            <w:pPr>
              <w:rPr>
                <w:rFonts w:hint="eastAsia" w:ascii="宋体" w:hAnsi="宋体" w:cs="宋体"/>
              </w:rPr>
            </w:pPr>
          </w:p>
        </w:tc>
      </w:tr>
      <w:tr w14:paraId="78BA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48" w:type="pct"/>
            <w:tcMar>
              <w:top w:w="13" w:type="dxa"/>
              <w:left w:w="57" w:type="dxa"/>
              <w:bottom w:w="0" w:type="dxa"/>
              <w:right w:w="57" w:type="dxa"/>
            </w:tcMar>
            <w:vAlign w:val="center"/>
          </w:tcPr>
          <w:p w14:paraId="09E8F9D9">
            <w:pPr>
              <w:numPr>
                <w:ilvl w:val="0"/>
                <w:numId w:val="1"/>
              </w:numPr>
              <w:tabs>
                <w:tab w:val="clear" w:pos="0"/>
              </w:tabs>
              <w:spacing w:line="336" w:lineRule="exact"/>
              <w:ind w:right="-59" w:rightChars="-27"/>
              <w:jc w:val="center"/>
              <w:rPr>
                <w:rFonts w:hint="eastAsia" w:ascii="宋体" w:hAnsi="宋体" w:cs="宋体"/>
                <w:bCs/>
                <w:szCs w:val="21"/>
              </w:rPr>
            </w:pPr>
          </w:p>
        </w:tc>
        <w:tc>
          <w:tcPr>
            <w:tcW w:w="405" w:type="pct"/>
            <w:tcMar>
              <w:top w:w="13" w:type="dxa"/>
              <w:left w:w="57" w:type="dxa"/>
              <w:bottom w:w="0" w:type="dxa"/>
              <w:right w:w="57" w:type="dxa"/>
            </w:tcMar>
            <w:vAlign w:val="center"/>
          </w:tcPr>
          <w:p w14:paraId="4BFF3D8F">
            <w:pPr>
              <w:snapToGrid w:val="0"/>
              <w:spacing w:line="336" w:lineRule="exact"/>
              <w:jc w:val="center"/>
              <w:rPr>
                <w:rFonts w:hint="eastAsia" w:ascii="宋体" w:hAnsi="宋体" w:cs="宋体"/>
                <w:bCs/>
                <w:szCs w:val="21"/>
              </w:rPr>
            </w:pPr>
            <w:r>
              <w:rPr>
                <w:rFonts w:hint="eastAsia" w:ascii="宋体" w:hAnsi="宋体" w:cs="宋体"/>
                <w:bCs/>
                <w:szCs w:val="21"/>
              </w:rPr>
              <w:t>视频处理器</w:t>
            </w:r>
          </w:p>
        </w:tc>
        <w:tc>
          <w:tcPr>
            <w:tcW w:w="641" w:type="pct"/>
            <w:tcMar>
              <w:top w:w="13" w:type="dxa"/>
              <w:left w:w="57" w:type="dxa"/>
              <w:bottom w:w="0" w:type="dxa"/>
              <w:right w:w="57" w:type="dxa"/>
            </w:tcMar>
            <w:vAlign w:val="center"/>
          </w:tcPr>
          <w:p w14:paraId="3E42364A">
            <w:pPr>
              <w:snapToGrid w:val="0"/>
              <w:spacing w:line="336" w:lineRule="exact"/>
              <w:jc w:val="center"/>
              <w:rPr>
                <w:rFonts w:hint="eastAsia" w:ascii="宋体" w:hAnsi="宋体" w:cs="宋体"/>
                <w:bCs/>
                <w:szCs w:val="21"/>
              </w:rPr>
            </w:pPr>
            <w:r>
              <w:rPr>
                <w:rFonts w:hint="eastAsia" w:ascii="宋体" w:hAnsi="宋体" w:cs="宋体"/>
                <w:bCs/>
                <w:szCs w:val="21"/>
              </w:rPr>
              <w:t>赛普</w:t>
            </w:r>
          </w:p>
          <w:p w14:paraId="0E3DCEC6">
            <w:pPr>
              <w:snapToGrid w:val="0"/>
              <w:spacing w:line="336" w:lineRule="exact"/>
              <w:jc w:val="center"/>
              <w:rPr>
                <w:rFonts w:hint="eastAsia" w:ascii="宋体" w:hAnsi="宋体" w:cs="宋体"/>
                <w:bCs/>
                <w:szCs w:val="21"/>
              </w:rPr>
            </w:pPr>
            <w:r>
              <w:rPr>
                <w:rFonts w:hint="eastAsia" w:ascii="宋体" w:hAnsi="宋体" w:cs="宋体"/>
                <w:bCs/>
                <w:szCs w:val="21"/>
              </w:rPr>
              <w:t>SMS4000</w:t>
            </w:r>
          </w:p>
        </w:tc>
        <w:tc>
          <w:tcPr>
            <w:tcW w:w="418" w:type="pct"/>
            <w:tcMar>
              <w:top w:w="13" w:type="dxa"/>
              <w:left w:w="57" w:type="dxa"/>
              <w:bottom w:w="0" w:type="dxa"/>
              <w:right w:w="57" w:type="dxa"/>
            </w:tcMar>
            <w:vAlign w:val="center"/>
          </w:tcPr>
          <w:p w14:paraId="7A871CC7">
            <w:pPr>
              <w:snapToGrid w:val="0"/>
              <w:spacing w:line="336" w:lineRule="exact"/>
              <w:jc w:val="center"/>
              <w:rPr>
                <w:rFonts w:hint="eastAsia" w:ascii="宋体" w:hAnsi="宋体" w:cs="宋体"/>
                <w:bCs/>
                <w:szCs w:val="21"/>
                <w:lang w:val="en-US"/>
              </w:rPr>
            </w:pPr>
            <w:r>
              <w:rPr>
                <w:rFonts w:hint="eastAsia" w:ascii="宋体" w:hAnsi="宋体" w:cs="宋体"/>
                <w:bCs/>
                <w:szCs w:val="21"/>
                <w:lang w:val="en-US"/>
              </w:rPr>
              <w:t>1台</w:t>
            </w:r>
          </w:p>
        </w:tc>
        <w:tc>
          <w:tcPr>
            <w:tcW w:w="2639" w:type="pct"/>
            <w:tcMar>
              <w:top w:w="13" w:type="dxa"/>
              <w:left w:w="57" w:type="dxa"/>
              <w:bottom w:w="0" w:type="dxa"/>
              <w:right w:w="57" w:type="dxa"/>
            </w:tcMar>
            <w:vAlign w:val="center"/>
          </w:tcPr>
          <w:p w14:paraId="15BD8BAC">
            <w:pPr>
              <w:rPr>
                <w:rFonts w:hint="eastAsia" w:ascii="宋体" w:hAnsi="宋体" w:cs="宋体"/>
              </w:rPr>
            </w:pPr>
            <w:r>
              <w:rPr>
                <w:rFonts w:hint="eastAsia" w:ascii="宋体" w:hAnsi="宋体" w:cs="宋体"/>
              </w:rPr>
              <w:t>1.纯硬件结构设计，无系统，无CPU，不会出现蓝屏死机现象。</w:t>
            </w:r>
          </w:p>
          <w:p w14:paraId="78F38E30">
            <w:pPr>
              <w:rPr>
                <w:rFonts w:hint="eastAsia" w:ascii="宋体" w:hAnsi="宋体" w:cs="宋体"/>
              </w:rPr>
            </w:pPr>
            <w:r>
              <w:rPr>
                <w:rFonts w:hint="eastAsia" w:ascii="宋体" w:hAnsi="宋体" w:cs="宋体"/>
              </w:rPr>
              <w:t>2.单机具有</w:t>
            </w:r>
            <w:r>
              <w:rPr>
                <w:rFonts w:hint="eastAsia" w:ascii="宋体" w:hAnsi="宋体" w:cs="宋体"/>
                <w:lang w:val="en-US"/>
              </w:rPr>
              <w:t>24</w:t>
            </w:r>
            <w:r>
              <w:rPr>
                <w:rFonts w:hint="eastAsia" w:ascii="宋体" w:hAnsi="宋体" w:cs="宋体"/>
              </w:rPr>
              <w:t>个网口，整机最大带载</w:t>
            </w:r>
            <w:r>
              <w:rPr>
                <w:rFonts w:hint="eastAsia" w:ascii="宋体" w:hAnsi="宋体" w:cs="宋体"/>
                <w:lang w:val="en-US"/>
              </w:rPr>
              <w:t>156</w:t>
            </w:r>
            <w:r>
              <w:rPr>
                <w:rFonts w:hint="eastAsia" w:ascii="宋体" w:hAnsi="宋体" w:cs="宋体"/>
              </w:rPr>
              <w:t>0万像素，宽度可达到</w:t>
            </w:r>
            <w:r>
              <w:rPr>
                <w:rFonts w:hint="eastAsia" w:ascii="宋体" w:hAnsi="宋体" w:cs="宋体"/>
                <w:lang w:val="en-US"/>
              </w:rPr>
              <w:t>16384</w:t>
            </w:r>
            <w:r>
              <w:rPr>
                <w:rFonts w:hint="eastAsia" w:ascii="宋体" w:hAnsi="宋体" w:cs="宋体"/>
              </w:rPr>
              <w:t>点，高度可达到</w:t>
            </w:r>
            <w:r>
              <w:rPr>
                <w:rFonts w:hint="eastAsia" w:ascii="宋体" w:hAnsi="宋体" w:cs="宋体"/>
                <w:lang w:val="en-US"/>
              </w:rPr>
              <w:t>8192</w:t>
            </w:r>
            <w:r>
              <w:rPr>
                <w:rFonts w:hint="eastAsia" w:ascii="宋体" w:hAnsi="宋体" w:cs="宋体"/>
              </w:rPr>
              <w:t>点。</w:t>
            </w:r>
          </w:p>
          <w:p w14:paraId="4717B853">
            <w:pPr>
              <w:rPr>
                <w:rFonts w:hint="eastAsia" w:ascii="宋体" w:hAnsi="宋体" w:cs="宋体"/>
              </w:rPr>
            </w:pPr>
            <w:r>
              <w:rPr>
                <w:rFonts w:hint="eastAsia" w:ascii="宋体" w:hAnsi="宋体" w:cs="宋体"/>
              </w:rPr>
              <w:t>3.支持多种数字信号接口，包括1路HDMI</w:t>
            </w:r>
            <w:r>
              <w:rPr>
                <w:rFonts w:hint="eastAsia" w:ascii="宋体" w:hAnsi="宋体" w:cs="宋体"/>
                <w:lang w:val="en-US"/>
              </w:rPr>
              <w:t>2.0</w:t>
            </w:r>
            <w:r>
              <w:rPr>
                <w:rFonts w:hint="eastAsia" w:ascii="宋体" w:hAnsi="宋体" w:cs="宋体"/>
              </w:rPr>
              <w:t>、1路</w:t>
            </w:r>
            <w:r>
              <w:rPr>
                <w:rFonts w:hint="eastAsia" w:ascii="宋体" w:hAnsi="宋体" w:cs="宋体"/>
                <w:lang w:val="en-US"/>
              </w:rPr>
              <w:t>DP1.2</w:t>
            </w:r>
            <w:r>
              <w:rPr>
                <w:rFonts w:hint="eastAsia" w:ascii="宋体" w:hAnsi="宋体" w:cs="宋体"/>
              </w:rPr>
              <w:t>、</w:t>
            </w:r>
            <w:r>
              <w:rPr>
                <w:rFonts w:hint="eastAsia" w:ascii="宋体" w:hAnsi="宋体" w:cs="宋体"/>
                <w:lang w:val="en-US"/>
              </w:rPr>
              <w:t>4</w:t>
            </w:r>
            <w:r>
              <w:rPr>
                <w:rFonts w:hint="eastAsia" w:ascii="宋体" w:hAnsi="宋体" w:cs="宋体"/>
              </w:rPr>
              <w:t>路</w:t>
            </w:r>
            <w:r>
              <w:rPr>
                <w:rFonts w:hint="eastAsia" w:ascii="宋体" w:hAnsi="宋体" w:cs="宋体"/>
                <w:lang w:val="en-US"/>
              </w:rPr>
              <w:t>HDMI1.3</w:t>
            </w:r>
            <w:r>
              <w:rPr>
                <w:rFonts w:hint="eastAsia" w:ascii="宋体" w:hAnsi="宋体" w:cs="宋体"/>
              </w:rPr>
              <w:t>。</w:t>
            </w:r>
          </w:p>
          <w:p w14:paraId="171D7531">
            <w:pPr>
              <w:rPr>
                <w:rFonts w:hint="eastAsia" w:ascii="宋体" w:hAnsi="宋体" w:cs="宋体"/>
              </w:rPr>
            </w:pPr>
            <w:r>
              <w:rPr>
                <w:rFonts w:hint="eastAsia" w:ascii="宋体" w:hAnsi="宋体" w:cs="宋体"/>
              </w:rPr>
              <w:t>4.支持无电脑直接操作，3步点屏。</w:t>
            </w:r>
          </w:p>
          <w:p w14:paraId="627E68C6">
            <w:pPr>
              <w:rPr>
                <w:rFonts w:hint="eastAsia" w:ascii="宋体" w:hAnsi="宋体" w:cs="宋体"/>
              </w:rPr>
            </w:pPr>
            <w:r>
              <w:rPr>
                <w:rFonts w:hint="eastAsia" w:ascii="宋体" w:hAnsi="宋体" w:cs="宋体"/>
              </w:rPr>
              <w:t>5.EDID配置管理：支持EDID（Extended Display Identification Data，扩展显示识别数据）的读取、修改、自定义。</w:t>
            </w:r>
          </w:p>
          <w:p w14:paraId="3A61198F">
            <w:pPr>
              <w:rPr>
                <w:rFonts w:hint="eastAsia" w:ascii="宋体" w:hAnsi="宋体" w:cs="宋体"/>
              </w:rPr>
            </w:pPr>
            <w:r>
              <w:rPr>
                <w:rFonts w:hint="eastAsia" w:ascii="宋体" w:hAnsi="宋体" w:cs="宋体"/>
              </w:rPr>
              <w:t>6.支持一键黑屏功能。</w:t>
            </w:r>
          </w:p>
          <w:p w14:paraId="35A148CA">
            <w:pPr>
              <w:rPr>
                <w:rFonts w:hint="eastAsia" w:ascii="宋体" w:hAnsi="宋体" w:cs="宋体"/>
              </w:rPr>
            </w:pPr>
            <w:r>
              <w:rPr>
                <w:rFonts w:hint="eastAsia" w:ascii="宋体" w:hAnsi="宋体" w:cs="宋体"/>
              </w:rPr>
              <w:t>7.支持画面的静止或活动功能。</w:t>
            </w:r>
          </w:p>
          <w:p w14:paraId="552D0BCA">
            <w:pPr>
              <w:rPr>
                <w:rFonts w:hint="eastAsia" w:ascii="宋体" w:hAnsi="宋体" w:cs="宋体"/>
              </w:rPr>
            </w:pPr>
            <w:r>
              <w:rPr>
                <w:rFonts w:hint="eastAsia" w:ascii="宋体" w:hAnsi="宋体" w:cs="宋体"/>
              </w:rPr>
              <w:t>8.去黑边/剪裁功能：解决前端信号产生的黑边问题，针对任意信号源做任意裁剪（依旧保持满屏状态）。</w:t>
            </w:r>
          </w:p>
          <w:p w14:paraId="495D3414">
            <w:pPr>
              <w:rPr>
                <w:rFonts w:hint="eastAsia" w:ascii="宋体" w:hAnsi="宋体" w:cs="宋体"/>
              </w:rPr>
            </w:pPr>
            <w:r>
              <w:rPr>
                <w:rFonts w:hint="eastAsia" w:ascii="宋体" w:hAnsi="宋体" w:cs="宋体"/>
              </w:rPr>
              <w:t>9.支持按键锁定，防止误操作。</w:t>
            </w:r>
          </w:p>
          <w:p w14:paraId="50B5CFEB">
            <w:pPr>
              <w:rPr>
                <w:rFonts w:hint="eastAsia" w:ascii="宋体" w:hAnsi="宋体" w:cs="宋体"/>
              </w:rPr>
            </w:pPr>
            <w:r>
              <w:rPr>
                <w:rFonts w:hint="eastAsia" w:ascii="宋体" w:hAnsi="宋体" w:cs="宋体"/>
              </w:rPr>
              <w:t>10.可实时、快捷地对整体输出画面显示亮度、对比度进行调整。</w:t>
            </w:r>
          </w:p>
          <w:p w14:paraId="20B101C9">
            <w:pPr>
              <w:rPr>
                <w:rFonts w:hint="eastAsia" w:ascii="宋体" w:hAnsi="宋体" w:cs="宋体"/>
              </w:rPr>
            </w:pPr>
            <w:r>
              <w:rPr>
                <w:rFonts w:hint="eastAsia" w:ascii="宋体" w:hAnsi="宋体" w:cs="宋体"/>
              </w:rPr>
              <w:t>11.支持VGA校正，解决模拟信号不稳定导致的画面偏移问题。</w:t>
            </w:r>
          </w:p>
          <w:p w14:paraId="59800DE3">
            <w:pPr>
              <w:rPr>
                <w:rFonts w:hint="eastAsia" w:ascii="宋体" w:hAnsi="宋体" w:cs="宋体"/>
              </w:rPr>
            </w:pPr>
            <w:r>
              <w:rPr>
                <w:rFonts w:hint="eastAsia" w:ascii="宋体" w:hAnsi="宋体" w:cs="宋体"/>
              </w:rPr>
              <w:t xml:space="preserve">12.绝缘电阻：电源插头或电源引入端子与外壳裸露金属部件之间的绝缘电阻在正常大气条件下应≥100MΩ，湿热条件下应≥2MΩ。 </w:t>
            </w:r>
          </w:p>
          <w:p w14:paraId="557D9602">
            <w:pPr>
              <w:rPr>
                <w:rFonts w:hint="eastAsia" w:ascii="宋体" w:hAnsi="宋体" w:cs="宋体"/>
              </w:rPr>
            </w:pPr>
            <w:r>
              <w:rPr>
                <w:rFonts w:hint="eastAsia" w:ascii="宋体" w:hAnsi="宋体" w:cs="宋体"/>
              </w:rPr>
              <w:t>13.处理器具备较好的抗电强度，电源输入端与GND之间</w:t>
            </w:r>
            <w:r>
              <w:rPr>
                <w:rFonts w:hint="eastAsia" w:ascii="宋体" w:hAnsi="宋体" w:cs="宋体"/>
                <w:lang w:eastAsia="zh-CN"/>
              </w:rPr>
              <w:t>：</w:t>
            </w:r>
            <w:r>
              <w:rPr>
                <w:rFonts w:hint="eastAsia" w:ascii="宋体" w:hAnsi="宋体" w:cs="宋体"/>
              </w:rPr>
              <w:t>加电1500Vac测试1min</w:t>
            </w:r>
            <w:r>
              <w:rPr>
                <w:rFonts w:hint="eastAsia" w:ascii="宋体" w:hAnsi="宋体" w:cs="宋体"/>
                <w:lang w:eastAsia="zh-CN"/>
              </w:rPr>
              <w:t>，</w:t>
            </w:r>
            <w:r>
              <w:rPr>
                <w:rFonts w:hint="eastAsia" w:ascii="宋体" w:hAnsi="宋体" w:cs="宋体"/>
              </w:rPr>
              <w:t>无飞弧、无击穿；电源输入端与可触及的部件之间</w:t>
            </w:r>
            <w:r>
              <w:rPr>
                <w:rFonts w:hint="eastAsia" w:ascii="宋体" w:hAnsi="宋体" w:cs="宋体"/>
                <w:lang w:eastAsia="zh-CN"/>
              </w:rPr>
              <w:t>：</w:t>
            </w:r>
            <w:r>
              <w:rPr>
                <w:rFonts w:hint="eastAsia" w:ascii="宋体" w:hAnsi="宋体" w:cs="宋体"/>
              </w:rPr>
              <w:t>加电3000Vac，测试1min</w:t>
            </w:r>
            <w:r>
              <w:rPr>
                <w:rFonts w:hint="eastAsia" w:ascii="宋体" w:hAnsi="宋体" w:cs="宋体"/>
                <w:lang w:eastAsia="zh-CN"/>
              </w:rPr>
              <w:t>，</w:t>
            </w:r>
            <w:r>
              <w:rPr>
                <w:rFonts w:hint="eastAsia" w:ascii="宋体" w:hAnsi="宋体" w:cs="宋体"/>
              </w:rPr>
              <w:t>无飞弧、无击穿。</w:t>
            </w:r>
          </w:p>
          <w:p w14:paraId="1F237283">
            <w:pPr>
              <w:rPr>
                <w:rFonts w:hint="eastAsia" w:ascii="宋体" w:hAnsi="宋体" w:cs="宋体"/>
              </w:rPr>
            </w:pPr>
            <w:r>
              <w:rPr>
                <w:rFonts w:hint="eastAsia" w:ascii="宋体" w:hAnsi="宋体" w:cs="宋体"/>
              </w:rPr>
              <w:t>14.高低温试验：通过高低温试验测试（-5℃至40℃范围内），满足GB/T2423.22-2002环境试验要求。</w:t>
            </w:r>
          </w:p>
          <w:p w14:paraId="30FC814B">
            <w:pPr>
              <w:rPr>
                <w:rFonts w:hint="eastAsia" w:ascii="宋体" w:hAnsi="宋体" w:cs="宋体"/>
              </w:rPr>
            </w:pPr>
            <w:r>
              <w:rPr>
                <w:rFonts w:hint="eastAsia" w:ascii="宋体" w:hAnsi="宋体" w:cs="宋体"/>
              </w:rPr>
              <w:t>15.恒定湿热试验：通过恒定湿热试验测试（设定温度40℃相对湿度</w:t>
            </w:r>
            <w:r>
              <w:rPr>
                <w:rFonts w:hint="eastAsia" w:ascii="宋体" w:hAnsi="宋体" w:cs="宋体"/>
                <w:lang w:eastAsia="zh-CN"/>
              </w:rPr>
              <w:t>90%</w:t>
            </w:r>
            <w:r>
              <w:rPr>
                <w:rFonts w:hint="eastAsia" w:ascii="宋体" w:hAnsi="宋体" w:cs="宋体"/>
              </w:rPr>
              <w:t>的环境），满足GB/T2423.3-2006电工电子产品环境试验标准要求。</w:t>
            </w:r>
          </w:p>
          <w:p w14:paraId="5B7806DE">
            <w:pPr>
              <w:rPr>
                <w:rFonts w:hint="eastAsia" w:ascii="宋体" w:hAnsi="宋体" w:cs="宋体"/>
              </w:rPr>
            </w:pPr>
            <w:r>
              <w:rPr>
                <w:rFonts w:hint="eastAsia" w:ascii="宋体" w:hAnsi="宋体" w:cs="宋体"/>
              </w:rPr>
              <w:t>16.▲处理器支持最高240Hz处理速度，画面流畅、不丢帧、无残影，画面不撕裂。图像信号无压缩、无失真实时传输，具备整墙同步功能，保证了各个显示单元间的信号窗口的显示同步。需提供第三方机构出具的检测报告证明，报告封面具有CMA、ilac-MRA、CNAS标识，并加盖厂家公章。</w:t>
            </w:r>
          </w:p>
          <w:p w14:paraId="5908CB24">
            <w:pPr>
              <w:rPr>
                <w:rFonts w:hint="eastAsia" w:ascii="宋体" w:hAnsi="宋体" w:cs="宋体"/>
              </w:rPr>
            </w:pPr>
            <w:r>
              <w:rPr>
                <w:rFonts w:hint="eastAsia" w:ascii="宋体" w:hAnsi="宋体" w:cs="宋体"/>
              </w:rPr>
              <w:t>17.▲处理器支持场景保存、个性化命名、修改和一键快速调用，场景调用响应时间≤12ms；支持场景轮巡并可以设置轮巡间隔时间。需提供第三方权威机构出具的检测报告（扫描件或复印件），报告封面具有CMA、ilac-MRA、CNAS标识，并加盖厂家公章。</w:t>
            </w:r>
          </w:p>
          <w:p w14:paraId="4E693015">
            <w:pPr>
              <w:rPr>
                <w:rFonts w:hint="eastAsia" w:ascii="宋体" w:hAnsi="宋体" w:cs="宋体"/>
              </w:rPr>
            </w:pPr>
            <w:r>
              <w:rPr>
                <w:rFonts w:hint="eastAsia" w:ascii="宋体" w:hAnsi="宋体" w:cs="宋体"/>
              </w:rPr>
              <w:t>18.支持无缝切换，画面切换时无黑场，无蓝屏，整屏画面切换时间≤16ms。</w:t>
            </w:r>
          </w:p>
          <w:p w14:paraId="5F569431">
            <w:pPr>
              <w:rPr>
                <w:rFonts w:hint="eastAsia" w:ascii="宋体" w:hAnsi="宋体" w:cs="宋体"/>
              </w:rPr>
            </w:pPr>
            <w:r>
              <w:rPr>
                <w:rFonts w:hint="eastAsia" w:ascii="宋体" w:hAnsi="宋体" w:cs="宋体"/>
              </w:rPr>
              <w:t>19.处理器应采用抗振动设计，符合IP6X等级要求。</w:t>
            </w:r>
          </w:p>
          <w:p w14:paraId="1D55816F">
            <w:pPr>
              <w:rPr>
                <w:rFonts w:hint="eastAsia" w:ascii="宋体" w:hAnsi="宋体" w:cs="宋体"/>
              </w:rPr>
            </w:pPr>
            <w:r>
              <w:rPr>
                <w:rFonts w:hint="eastAsia" w:ascii="宋体" w:hAnsi="宋体" w:cs="宋体"/>
              </w:rPr>
              <w:t>20.▲处理器操作系统采用精细化分级管理机制，支持多用户按照不同的权限进行登陆、支持将输入信号进行个性化命名、支持对输入信号进行裁切，选择信号中需要的区域上屏显示、支持多用户多权限、多显示终端管理。需提供第三方权威机构出具的检测报告（扫描件或复印件），报告封面具有CMA、ilac-MRA、CNAS标识，并加盖厂家公章。</w:t>
            </w:r>
          </w:p>
          <w:p w14:paraId="30AC46F4">
            <w:pPr>
              <w:rPr>
                <w:rFonts w:hint="eastAsia" w:ascii="宋体" w:hAnsi="宋体" w:cs="宋体"/>
              </w:rPr>
            </w:pPr>
            <w:r>
              <w:rPr>
                <w:rFonts w:hint="eastAsia" w:ascii="宋体" w:hAnsi="宋体" w:cs="宋体"/>
              </w:rPr>
              <w:t>21.▲处理器需提供CCC证书复印件，并加盖厂家公章。</w:t>
            </w:r>
          </w:p>
          <w:p w14:paraId="46133256">
            <w:pPr>
              <w:rPr>
                <w:rFonts w:hint="eastAsia" w:ascii="宋体" w:hAnsi="宋体" w:cs="宋体"/>
                <w:szCs w:val="21"/>
              </w:rPr>
            </w:pPr>
            <w:r>
              <w:rPr>
                <w:rFonts w:hint="eastAsia" w:ascii="宋体" w:hAnsi="宋体" w:cs="宋体"/>
              </w:rPr>
              <w:t>22.处理器</w:t>
            </w:r>
            <w:r>
              <w:rPr>
                <w:rFonts w:hint="eastAsia" w:ascii="宋体" w:hAnsi="宋体" w:cs="宋体"/>
                <w:lang w:val="en-US"/>
              </w:rPr>
              <w:t>与LED显示屏厂家为同一品牌</w:t>
            </w:r>
          </w:p>
        </w:tc>
        <w:tc>
          <w:tcPr>
            <w:tcW w:w="646" w:type="pct"/>
            <w:tcMar>
              <w:top w:w="13" w:type="dxa"/>
              <w:left w:w="57" w:type="dxa"/>
              <w:bottom w:w="0" w:type="dxa"/>
              <w:right w:w="57" w:type="dxa"/>
            </w:tcMar>
            <w:vAlign w:val="center"/>
          </w:tcPr>
          <w:p w14:paraId="75A8A3F2">
            <w:pPr>
              <w:rPr>
                <w:rFonts w:hint="eastAsia" w:ascii="宋体" w:hAnsi="宋体" w:cs="宋体"/>
              </w:rPr>
            </w:pPr>
          </w:p>
        </w:tc>
      </w:tr>
      <w:tr w14:paraId="6D3A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48" w:type="pct"/>
            <w:tcMar>
              <w:top w:w="13" w:type="dxa"/>
              <w:left w:w="57" w:type="dxa"/>
              <w:bottom w:w="0" w:type="dxa"/>
              <w:right w:w="57" w:type="dxa"/>
            </w:tcMar>
            <w:vAlign w:val="center"/>
          </w:tcPr>
          <w:p w14:paraId="5C23B4BE">
            <w:pPr>
              <w:numPr>
                <w:ilvl w:val="0"/>
                <w:numId w:val="1"/>
              </w:numPr>
              <w:tabs>
                <w:tab w:val="clear" w:pos="0"/>
              </w:tabs>
              <w:spacing w:line="336" w:lineRule="exact"/>
              <w:ind w:right="-59" w:rightChars="-27"/>
              <w:jc w:val="center"/>
              <w:rPr>
                <w:rFonts w:hint="eastAsia" w:ascii="宋体" w:hAnsi="宋体" w:cs="宋体"/>
                <w:bCs/>
                <w:szCs w:val="21"/>
              </w:rPr>
            </w:pPr>
          </w:p>
        </w:tc>
        <w:tc>
          <w:tcPr>
            <w:tcW w:w="405" w:type="pct"/>
            <w:tcMar>
              <w:top w:w="13" w:type="dxa"/>
              <w:left w:w="57" w:type="dxa"/>
              <w:bottom w:w="0" w:type="dxa"/>
              <w:right w:w="57" w:type="dxa"/>
            </w:tcMar>
            <w:vAlign w:val="center"/>
          </w:tcPr>
          <w:p w14:paraId="3B379A32">
            <w:pPr>
              <w:snapToGrid w:val="0"/>
              <w:spacing w:line="336" w:lineRule="exact"/>
              <w:jc w:val="center"/>
              <w:rPr>
                <w:rFonts w:hint="eastAsia" w:ascii="宋体" w:hAnsi="宋体" w:cs="宋体"/>
                <w:bCs/>
                <w:szCs w:val="21"/>
              </w:rPr>
            </w:pPr>
            <w:r>
              <w:rPr>
                <w:rFonts w:hint="eastAsia" w:ascii="宋体" w:hAnsi="宋体" w:cs="宋体"/>
                <w:bCs/>
                <w:szCs w:val="21"/>
              </w:rPr>
              <w:t>线缆及辅材</w:t>
            </w:r>
          </w:p>
        </w:tc>
        <w:tc>
          <w:tcPr>
            <w:tcW w:w="641" w:type="pct"/>
            <w:tcMar>
              <w:top w:w="13" w:type="dxa"/>
              <w:left w:w="57" w:type="dxa"/>
              <w:bottom w:w="0" w:type="dxa"/>
              <w:right w:w="57" w:type="dxa"/>
            </w:tcMar>
            <w:vAlign w:val="center"/>
          </w:tcPr>
          <w:p w14:paraId="04F412D9">
            <w:pPr>
              <w:snapToGrid w:val="0"/>
              <w:spacing w:line="336" w:lineRule="exact"/>
              <w:jc w:val="center"/>
              <w:rPr>
                <w:rFonts w:hint="eastAsia" w:ascii="宋体" w:hAnsi="宋体" w:cs="宋体"/>
                <w:bCs/>
                <w:szCs w:val="21"/>
                <w:lang w:val="en-US"/>
              </w:rPr>
            </w:pPr>
            <w:r>
              <w:rPr>
                <w:rFonts w:hint="eastAsia" w:ascii="宋体" w:hAnsi="宋体" w:cs="宋体"/>
                <w:bCs/>
                <w:szCs w:val="21"/>
                <w:lang w:val="en-US"/>
              </w:rPr>
              <w:t>国产</w:t>
            </w:r>
          </w:p>
        </w:tc>
        <w:tc>
          <w:tcPr>
            <w:tcW w:w="418" w:type="pct"/>
            <w:tcMar>
              <w:top w:w="13" w:type="dxa"/>
              <w:left w:w="57" w:type="dxa"/>
              <w:bottom w:w="0" w:type="dxa"/>
              <w:right w:w="57" w:type="dxa"/>
            </w:tcMar>
            <w:vAlign w:val="center"/>
          </w:tcPr>
          <w:p w14:paraId="0E22366E">
            <w:pPr>
              <w:snapToGrid w:val="0"/>
              <w:spacing w:line="336" w:lineRule="exact"/>
              <w:jc w:val="center"/>
              <w:rPr>
                <w:rFonts w:hint="eastAsia" w:ascii="宋体" w:hAnsi="宋体" w:cs="宋体"/>
                <w:bCs/>
                <w:szCs w:val="21"/>
                <w:lang w:val="en-US"/>
              </w:rPr>
            </w:pPr>
            <w:r>
              <w:rPr>
                <w:rFonts w:hint="eastAsia" w:ascii="宋体" w:hAnsi="宋体" w:cs="宋体"/>
                <w:bCs/>
                <w:szCs w:val="21"/>
                <w:lang w:val="en-US"/>
              </w:rPr>
              <w:t>1套</w:t>
            </w:r>
          </w:p>
        </w:tc>
        <w:tc>
          <w:tcPr>
            <w:tcW w:w="2639" w:type="pct"/>
            <w:tcMar>
              <w:top w:w="13" w:type="dxa"/>
              <w:left w:w="57" w:type="dxa"/>
              <w:bottom w:w="0" w:type="dxa"/>
              <w:right w:w="57" w:type="dxa"/>
            </w:tcMar>
            <w:vAlign w:val="center"/>
          </w:tcPr>
          <w:p w14:paraId="4C9EF46A">
            <w:pPr>
              <w:spacing w:line="336" w:lineRule="exact"/>
              <w:rPr>
                <w:rFonts w:hint="eastAsia" w:ascii="宋体" w:hAnsi="宋体" w:cs="宋体"/>
                <w:szCs w:val="21"/>
              </w:rPr>
            </w:pPr>
            <w:r>
              <w:rPr>
                <w:rFonts w:hint="eastAsia" w:ascii="宋体" w:hAnsi="宋体" w:cs="宋体"/>
                <w:szCs w:val="21"/>
              </w:rPr>
              <w:t>高清线缆线材、超六类网线、电源线、控制线，转换头等。</w:t>
            </w:r>
          </w:p>
        </w:tc>
        <w:tc>
          <w:tcPr>
            <w:tcW w:w="646" w:type="pct"/>
            <w:tcMar>
              <w:top w:w="13" w:type="dxa"/>
              <w:left w:w="57" w:type="dxa"/>
              <w:bottom w:w="0" w:type="dxa"/>
              <w:right w:w="57" w:type="dxa"/>
            </w:tcMar>
            <w:vAlign w:val="center"/>
          </w:tcPr>
          <w:p w14:paraId="4A9053A3">
            <w:pPr>
              <w:spacing w:line="336" w:lineRule="exact"/>
              <w:rPr>
                <w:rFonts w:hint="eastAsia" w:ascii="宋体" w:hAnsi="宋体" w:cs="宋体"/>
                <w:szCs w:val="21"/>
              </w:rPr>
            </w:pPr>
          </w:p>
        </w:tc>
      </w:tr>
      <w:tr w14:paraId="217C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48" w:type="pct"/>
            <w:tcMar>
              <w:top w:w="13" w:type="dxa"/>
              <w:left w:w="57" w:type="dxa"/>
              <w:bottom w:w="0" w:type="dxa"/>
              <w:right w:w="57" w:type="dxa"/>
            </w:tcMar>
            <w:vAlign w:val="center"/>
          </w:tcPr>
          <w:p w14:paraId="35C65281">
            <w:pPr>
              <w:numPr>
                <w:ilvl w:val="0"/>
                <w:numId w:val="1"/>
              </w:numPr>
              <w:tabs>
                <w:tab w:val="clear" w:pos="0"/>
              </w:tabs>
              <w:spacing w:line="336" w:lineRule="exact"/>
              <w:ind w:right="-59" w:rightChars="-27"/>
              <w:jc w:val="center"/>
              <w:rPr>
                <w:rFonts w:hint="eastAsia" w:ascii="宋体" w:hAnsi="宋体" w:cs="宋体"/>
                <w:bCs/>
                <w:szCs w:val="21"/>
              </w:rPr>
            </w:pPr>
          </w:p>
        </w:tc>
        <w:tc>
          <w:tcPr>
            <w:tcW w:w="405" w:type="pct"/>
            <w:tcMar>
              <w:top w:w="13" w:type="dxa"/>
              <w:left w:w="57" w:type="dxa"/>
              <w:bottom w:w="0" w:type="dxa"/>
              <w:right w:w="57" w:type="dxa"/>
            </w:tcMar>
            <w:vAlign w:val="center"/>
          </w:tcPr>
          <w:p w14:paraId="41E2FDCC">
            <w:pPr>
              <w:snapToGrid w:val="0"/>
              <w:spacing w:line="336" w:lineRule="exact"/>
              <w:jc w:val="center"/>
              <w:rPr>
                <w:rFonts w:hint="eastAsia" w:ascii="宋体" w:hAnsi="宋体" w:cs="宋体"/>
                <w:bCs/>
                <w:szCs w:val="21"/>
              </w:rPr>
            </w:pPr>
            <w:r>
              <w:rPr>
                <w:rFonts w:hint="eastAsia" w:ascii="宋体" w:hAnsi="宋体" w:cs="宋体"/>
                <w:bCs/>
                <w:szCs w:val="21"/>
              </w:rPr>
              <w:t>赛普PolyVision大屏幕拼接系统软件V1.0</w:t>
            </w:r>
          </w:p>
        </w:tc>
        <w:tc>
          <w:tcPr>
            <w:tcW w:w="641" w:type="pct"/>
            <w:tcMar>
              <w:top w:w="13" w:type="dxa"/>
              <w:left w:w="57" w:type="dxa"/>
              <w:bottom w:w="0" w:type="dxa"/>
              <w:right w:w="57" w:type="dxa"/>
            </w:tcMar>
            <w:vAlign w:val="center"/>
          </w:tcPr>
          <w:p w14:paraId="08B3C7A4">
            <w:pPr>
              <w:snapToGrid w:val="0"/>
              <w:spacing w:line="336" w:lineRule="exact"/>
              <w:jc w:val="center"/>
              <w:rPr>
                <w:rFonts w:hint="eastAsia" w:ascii="宋体" w:hAnsi="宋体" w:cs="宋体"/>
                <w:bCs/>
                <w:szCs w:val="21"/>
                <w:lang w:val="en-US"/>
              </w:rPr>
            </w:pPr>
            <w:r>
              <w:rPr>
                <w:rFonts w:hint="eastAsia" w:ascii="宋体" w:hAnsi="宋体" w:cs="宋体"/>
                <w:bCs/>
                <w:szCs w:val="21"/>
                <w:lang w:val="en-US"/>
              </w:rPr>
              <w:t>赛普</w:t>
            </w:r>
          </w:p>
          <w:p w14:paraId="2D10FD8A">
            <w:pPr>
              <w:snapToGrid w:val="0"/>
              <w:spacing w:line="336" w:lineRule="exact"/>
              <w:jc w:val="center"/>
              <w:rPr>
                <w:rFonts w:hint="eastAsia" w:ascii="宋体" w:hAnsi="宋体" w:cs="宋体"/>
                <w:bCs/>
                <w:szCs w:val="21"/>
                <w:lang w:val="en-US"/>
              </w:rPr>
            </w:pPr>
            <w:r>
              <w:rPr>
                <w:rFonts w:hint="eastAsia" w:ascii="宋体" w:hAnsi="宋体" w:cs="宋体"/>
                <w:bCs/>
                <w:szCs w:val="21"/>
                <w:lang w:val="en-US"/>
              </w:rPr>
              <w:t>PolyVision</w:t>
            </w:r>
          </w:p>
        </w:tc>
        <w:tc>
          <w:tcPr>
            <w:tcW w:w="418" w:type="pct"/>
            <w:tcMar>
              <w:top w:w="13" w:type="dxa"/>
              <w:left w:w="57" w:type="dxa"/>
              <w:bottom w:w="0" w:type="dxa"/>
              <w:right w:w="57" w:type="dxa"/>
            </w:tcMar>
            <w:vAlign w:val="center"/>
          </w:tcPr>
          <w:p w14:paraId="3AD1D850">
            <w:pPr>
              <w:snapToGrid w:val="0"/>
              <w:spacing w:line="336" w:lineRule="exact"/>
              <w:jc w:val="center"/>
              <w:rPr>
                <w:rFonts w:hint="eastAsia" w:ascii="宋体" w:hAnsi="宋体" w:cs="宋体"/>
                <w:bCs/>
                <w:szCs w:val="21"/>
                <w:lang w:val="en-US"/>
              </w:rPr>
            </w:pPr>
            <w:r>
              <w:rPr>
                <w:rFonts w:hint="eastAsia" w:ascii="宋体" w:hAnsi="宋体" w:cs="宋体"/>
                <w:bCs/>
                <w:szCs w:val="21"/>
                <w:lang w:val="en-US"/>
              </w:rPr>
              <w:t>1套</w:t>
            </w:r>
          </w:p>
        </w:tc>
        <w:tc>
          <w:tcPr>
            <w:tcW w:w="2639" w:type="pct"/>
            <w:tcMar>
              <w:top w:w="13" w:type="dxa"/>
              <w:left w:w="57" w:type="dxa"/>
              <w:bottom w:w="0" w:type="dxa"/>
              <w:right w:w="57" w:type="dxa"/>
            </w:tcMar>
            <w:vAlign w:val="center"/>
          </w:tcPr>
          <w:p w14:paraId="748C0B68">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 w:leftChars="0" w:hanging="5" w:firstLineChars="0"/>
              <w:textAlignment w:val="auto"/>
              <w:rPr>
                <w:rFonts w:ascii="宋体" w:hAnsi="宋体"/>
                <w:color w:val="000000" w:themeColor="text1"/>
                <w14:textFill>
                  <w14:solidFill>
                    <w14:schemeClr w14:val="tx1"/>
                  </w14:solidFill>
                </w14:textFill>
              </w:rPr>
            </w:pPr>
            <w:r>
              <w:rPr>
                <w:rFonts w:hint="eastAsia" w:ascii="宋体" w:hAnsi="宋体"/>
                <w:szCs w:val="21"/>
              </w:rPr>
              <w:t>▲</w:t>
            </w:r>
            <w:r>
              <w:rPr>
                <w:rFonts w:hint="eastAsia" w:ascii="宋体" w:hAnsi="宋体"/>
                <w:color w:val="000000" w:themeColor="text1"/>
                <w14:textFill>
                  <w14:solidFill>
                    <w14:schemeClr w14:val="tx1"/>
                  </w14:solidFill>
                </w14:textFill>
              </w:rPr>
              <w:t>大屏</w:t>
            </w:r>
            <w:r>
              <w:rPr>
                <w:rFonts w:ascii="宋体" w:hAnsi="宋体"/>
                <w:color w:val="000000" w:themeColor="text1"/>
                <w14:textFill>
                  <w14:solidFill>
                    <w14:schemeClr w14:val="tx1"/>
                  </w14:solidFill>
                </w14:textFill>
              </w:rPr>
              <w:t>控制软件提供中文操作、控制和维护界面</w:t>
            </w:r>
            <w:r>
              <w:rPr>
                <w:rFonts w:hint="eastAsia" w:ascii="宋体" w:hAnsi="宋体"/>
                <w:color w:val="000000" w:themeColor="text1"/>
                <w14:textFill>
                  <w14:solidFill>
                    <w14:schemeClr w14:val="tx1"/>
                  </w14:solidFill>
                </w14:textFill>
              </w:rPr>
              <w:t>。</w:t>
            </w:r>
          </w:p>
          <w:p w14:paraId="296DE4B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 w:leftChars="0" w:hanging="5" w:firstLineChars="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大屏控制软件可实现大屏幕开关机控制。</w:t>
            </w:r>
          </w:p>
          <w:p w14:paraId="44152FE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 w:leftChars="0" w:hanging="5" w:firstLineChars="0"/>
              <w:textAlignment w:val="auto"/>
              <w:rPr>
                <w:rFonts w:ascii="宋体" w:hAnsi="宋体"/>
                <w:color w:val="000000" w:themeColor="text1"/>
                <w14:textFill>
                  <w14:solidFill>
                    <w14:schemeClr w14:val="tx1"/>
                  </w14:solidFill>
                </w14:textFill>
              </w:rPr>
            </w:pPr>
            <w:r>
              <w:rPr>
                <w:rFonts w:hint="eastAsia" w:ascii="宋体" w:hAnsi="宋体"/>
                <w:szCs w:val="21"/>
              </w:rPr>
              <w:t>▲</w:t>
            </w:r>
            <w:r>
              <w:rPr>
                <w:rFonts w:hint="eastAsia" w:ascii="宋体" w:hAnsi="宋体"/>
                <w:color w:val="000000" w:themeColor="text1"/>
                <w14:textFill>
                  <w14:solidFill>
                    <w14:schemeClr w14:val="tx1"/>
                  </w14:solidFill>
                </w14:textFill>
              </w:rPr>
              <w:t>大屏控制软件</w:t>
            </w:r>
            <w:r>
              <w:rPr>
                <w:rFonts w:hint="eastAsia" w:ascii="宋体" w:hAnsi="宋体" w:cs="宋体"/>
                <w:color w:val="000000" w:themeColor="text1"/>
                <w14:textFill>
                  <w14:solidFill>
                    <w14:schemeClr w14:val="tx1"/>
                  </w14:solidFill>
                </w14:textFill>
              </w:rPr>
              <w:t>负责控制大屏幕的图像拼接、色彩和显示效果的调整，对需要显示的信号和图像进行预案处理等。实现通过软件控制方式实现输入信号的灵活显示控制，满足视频会议等应用系统相应信号上墙显示需要</w:t>
            </w:r>
            <w:r>
              <w:rPr>
                <w:rFonts w:hint="eastAsia" w:ascii="宋体" w:hAnsi="宋体"/>
                <w:color w:val="000000" w:themeColor="text1"/>
                <w14:textFill>
                  <w14:solidFill>
                    <w14:schemeClr w14:val="tx1"/>
                  </w14:solidFill>
                </w14:textFill>
              </w:rPr>
              <w:t>。</w:t>
            </w:r>
          </w:p>
          <w:p w14:paraId="0B887D4E">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 w:leftChars="0" w:hanging="5" w:firstLineChars="0"/>
              <w:textAlignment w:val="auto"/>
              <w:rPr>
                <w:rFonts w:ascii="宋体" w:hAnsi="宋体"/>
                <w:color w:val="000000" w:themeColor="text1"/>
                <w14:textFill>
                  <w14:solidFill>
                    <w14:schemeClr w14:val="tx1"/>
                  </w14:solidFill>
                </w14:textFill>
              </w:rPr>
            </w:pPr>
            <w:r>
              <w:rPr>
                <w:rFonts w:hint="eastAsia" w:ascii="宋体" w:hAnsi="宋体"/>
                <w:szCs w:val="21"/>
              </w:rPr>
              <w:t>▲</w:t>
            </w:r>
            <w:r>
              <w:rPr>
                <w:rFonts w:hint="eastAsia" w:ascii="宋体" w:hAnsi="宋体"/>
                <w:color w:val="000000" w:themeColor="text1"/>
                <w14:textFill>
                  <w14:solidFill>
                    <w14:schemeClr w14:val="tx1"/>
                  </w14:solidFill>
                </w14:textFill>
              </w:rPr>
              <w:t>大屏控制软件具备一个简单、易用、简洁的全中文操作界面，所有操作通过大屏控制软件的图形界面即可进行统一控制，不需要频繁</w:t>
            </w:r>
            <w:r>
              <w:rPr>
                <w:rFonts w:hint="eastAsia" w:ascii="宋体" w:hAnsi="宋体"/>
                <w:color w:val="000000" w:themeColor="text1"/>
                <w:lang w:eastAsia="zh-CN"/>
                <w14:textFill>
                  <w14:solidFill>
                    <w14:schemeClr w14:val="tx1"/>
                  </w14:solidFill>
                </w14:textFill>
              </w:rPr>
              <w:t>地</w:t>
            </w:r>
            <w:r>
              <w:rPr>
                <w:rFonts w:hint="eastAsia" w:ascii="宋体" w:hAnsi="宋体"/>
                <w:color w:val="000000" w:themeColor="text1"/>
                <w14:textFill>
                  <w14:solidFill>
                    <w14:schemeClr w14:val="tx1"/>
                  </w14:solidFill>
                </w14:textFill>
              </w:rPr>
              <w:t>切换不同控制软件界面。用户只需通过鼠标和键盘简单的点击步骤，就可对大屏系统的多种设备进行同步控制操作，灵活实现各类图像的显示控制。</w:t>
            </w:r>
          </w:p>
          <w:p w14:paraId="2A7B73F1">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 w:leftChars="0" w:hanging="5" w:firstLineChars="0"/>
              <w:textAlignment w:val="auto"/>
              <w:rPr>
                <w:rFonts w:ascii="宋体" w:hAnsi="宋体"/>
                <w:color w:val="000000" w:themeColor="text1"/>
                <w14:textFill>
                  <w14:solidFill>
                    <w14:schemeClr w14:val="tx1"/>
                  </w14:solidFill>
                </w14:textFill>
              </w:rPr>
            </w:pPr>
            <w:r>
              <w:rPr>
                <w:rFonts w:hint="eastAsia" w:ascii="宋体" w:hAnsi="宋体"/>
                <w:szCs w:val="21"/>
              </w:rPr>
              <w:t>▲</w:t>
            </w:r>
            <w:r>
              <w:rPr>
                <w:rFonts w:hint="eastAsia" w:ascii="宋体" w:hAnsi="宋体"/>
                <w:color w:val="000000" w:themeColor="text1"/>
                <w14:textFill>
                  <w14:solidFill>
                    <w14:schemeClr w14:val="tx1"/>
                  </w14:solidFill>
                </w14:textFill>
              </w:rPr>
              <w:t>大屏控制软件可以安装在用户PC机（工作站）上，并与用户系统兼容，不会影响用户原来各种应用系统的运行。网络上的工作站安装控制软件后，即可一台控制终端，随时管理控制大屏幕系统；软件支持C/S或B/S架构。</w:t>
            </w:r>
          </w:p>
          <w:p w14:paraId="36EE3B39">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 w:leftChars="0" w:hanging="5" w:firstLineChars="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大屏控制软件能够做到对整个大屏幕系统显示的亮度和色彩一致性进行智能化调整。</w:t>
            </w:r>
          </w:p>
          <w:p w14:paraId="15E79DA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 w:leftChars="0" w:hanging="5" w:firstLineChars="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大屏控制软件提供多用户的认证和授权机制，管理员可对各操作员授予各种操作功能的权限，也可以根据大屏幕不同区域设定各操作员的可操作区域。</w:t>
            </w:r>
          </w:p>
          <w:p w14:paraId="7C5EEB2A">
            <w:pPr>
              <w:spacing w:line="336" w:lineRule="exact"/>
              <w:rPr>
                <w:rFonts w:hint="eastAsia" w:ascii="宋体" w:hAnsi="宋体" w:cs="宋体"/>
                <w:szCs w:val="21"/>
              </w:rPr>
            </w:pPr>
            <w:r>
              <w:rPr>
                <w:rFonts w:hint="eastAsia" w:ascii="宋体" w:hAnsi="宋体"/>
                <w:color w:val="000000" w:themeColor="text1"/>
                <w:lang w:val="en-US" w:eastAsia="zh-CN"/>
                <w14:textFill>
                  <w14:solidFill>
                    <w14:schemeClr w14:val="tx1"/>
                  </w14:solidFill>
                </w14:textFill>
              </w:rPr>
              <w:t xml:space="preserve">8  </w:t>
            </w:r>
            <w:r>
              <w:rPr>
                <w:rFonts w:hint="eastAsia" w:ascii="宋体" w:hAnsi="宋体" w:eastAsia="宋体"/>
                <w:color w:val="000000" w:themeColor="text1"/>
                <w14:textFill>
                  <w14:solidFill>
                    <w14:schemeClr w14:val="tx1"/>
                  </w14:solidFill>
                </w14:textFill>
              </w:rPr>
              <w:t>为保证数据信息安全，依据GB/T 25000.51-2016《系统与软件工程系统与软件质量要求和评价</w:t>
            </w:r>
            <w:r>
              <w:rPr>
                <w:rFonts w:hint="eastAsia" w:ascii="宋体" w:hAnsi="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SQuaRE</w:t>
            </w:r>
            <w:r>
              <w:rPr>
                <w:rFonts w:hint="eastAsia" w:ascii="宋体" w:hAnsi="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第51部分：就绪可用软件产品</w:t>
            </w:r>
            <w:r>
              <w:rPr>
                <w:rFonts w:hint="eastAsia" w:ascii="宋体" w:hAnsi="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RUSP</w:t>
            </w:r>
            <w:r>
              <w:rPr>
                <w:rFonts w:hint="eastAsia" w:ascii="宋体" w:hAnsi="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的质量要求和测试细则》，对系统进行Web漏洞扫描测试，以验证系统符合安全需求定义和质量标准。大屏控制软件安全漏洞扫描应未发现风险等级为中级以上</w:t>
            </w:r>
            <w:r>
              <w:rPr>
                <w:rFonts w:hint="eastAsia" w:ascii="宋体" w:hAnsi="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含中级</w:t>
            </w:r>
            <w:r>
              <w:rPr>
                <w:rFonts w:hint="eastAsia" w:ascii="宋体" w:hAnsi="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的安全风险问题，符合安全需求的定义和质量标准。</w:t>
            </w:r>
          </w:p>
        </w:tc>
        <w:tc>
          <w:tcPr>
            <w:tcW w:w="646" w:type="pct"/>
            <w:tcMar>
              <w:top w:w="13" w:type="dxa"/>
              <w:left w:w="57" w:type="dxa"/>
              <w:bottom w:w="0" w:type="dxa"/>
              <w:right w:w="57" w:type="dxa"/>
            </w:tcMar>
            <w:vAlign w:val="center"/>
          </w:tcPr>
          <w:p w14:paraId="4FDD8E45">
            <w:pPr>
              <w:spacing w:line="336" w:lineRule="exact"/>
              <w:rPr>
                <w:rFonts w:hint="eastAsia" w:ascii="宋体" w:hAnsi="宋体" w:cs="宋体"/>
                <w:szCs w:val="21"/>
              </w:rPr>
            </w:pPr>
          </w:p>
        </w:tc>
      </w:tr>
      <w:tr w14:paraId="6114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5000" w:type="pct"/>
            <w:gridSpan w:val="6"/>
            <w:tcMar>
              <w:top w:w="13" w:type="dxa"/>
              <w:left w:w="57" w:type="dxa"/>
              <w:bottom w:w="0" w:type="dxa"/>
              <w:right w:w="57" w:type="dxa"/>
            </w:tcMar>
            <w:vAlign w:val="center"/>
          </w:tcPr>
          <w:p w14:paraId="75DFA085">
            <w:pPr>
              <w:spacing w:line="336" w:lineRule="exact"/>
              <w:rPr>
                <w:rFonts w:hint="eastAsia" w:ascii="宋体" w:hAnsi="宋体" w:cs="宋体"/>
                <w:szCs w:val="21"/>
              </w:rPr>
            </w:pPr>
            <w:r>
              <w:rPr>
                <w:rFonts w:hint="eastAsia" w:ascii="宋体" w:hAnsi="宋体" w:cs="宋体"/>
                <w:szCs w:val="21"/>
              </w:rPr>
              <w:t>一、售后服务及其它要求：</w:t>
            </w:r>
          </w:p>
          <w:p w14:paraId="0AA43B1C">
            <w:pPr>
              <w:spacing w:line="336" w:lineRule="exact"/>
              <w:rPr>
                <w:rFonts w:hint="eastAsia" w:ascii="宋体" w:hAnsi="宋体" w:cs="宋体"/>
                <w:szCs w:val="21"/>
              </w:rPr>
            </w:pPr>
            <w:r>
              <w:rPr>
                <w:rFonts w:hint="eastAsia" w:ascii="宋体" w:hAnsi="宋体" w:cs="宋体"/>
                <w:szCs w:val="21"/>
              </w:rPr>
              <w:t>1. ▲供应商所提供的产品必须为具备厂家合法渠道的全新正品，中标人必须按货物需求表指定的品牌型号供货，不接受推荐外的品牌供货，供货产品必须完全满足招标文件要求。</w:t>
            </w:r>
          </w:p>
          <w:p w14:paraId="20B2C6D5">
            <w:pPr>
              <w:spacing w:line="336" w:lineRule="exact"/>
              <w:rPr>
                <w:rFonts w:hint="eastAsia" w:ascii="宋体" w:hAnsi="宋体" w:cs="宋体"/>
                <w:szCs w:val="21"/>
              </w:rPr>
            </w:pPr>
            <w:r>
              <w:rPr>
                <w:rFonts w:hint="eastAsia" w:ascii="宋体" w:hAnsi="宋体" w:cs="宋体"/>
                <w:szCs w:val="21"/>
              </w:rPr>
              <w:t>2.标注“▲”号及“必须”的条款均为关键性参数或要求，供应商必须满足或优于该要求，否则响应无效。</w:t>
            </w:r>
          </w:p>
          <w:p w14:paraId="61906AC9">
            <w:pPr>
              <w:spacing w:line="336" w:lineRule="exact"/>
              <w:rPr>
                <w:rFonts w:hint="eastAsia" w:ascii="宋体" w:hAnsi="宋体" w:cs="宋体"/>
                <w:szCs w:val="21"/>
              </w:rPr>
            </w:pPr>
            <w:r>
              <w:rPr>
                <w:rFonts w:hint="eastAsia" w:ascii="宋体" w:hAnsi="宋体" w:cs="宋体"/>
                <w:szCs w:val="21"/>
              </w:rPr>
              <w:t>3.总报价应包含设备金额、随配附件、备品备件、工具、货物运抵指定交货地点的各种费用、装卸费、搬运费、安装及相关材料费、调试费、检验费、培训费、售后服务、税金、利息及其它所有成本费用的总和。</w:t>
            </w:r>
          </w:p>
          <w:p w14:paraId="39B1537C">
            <w:pPr>
              <w:spacing w:line="336" w:lineRule="exact"/>
              <w:rPr>
                <w:rFonts w:hint="eastAsia" w:ascii="宋体" w:hAnsi="宋体" w:cs="宋体"/>
                <w:szCs w:val="21"/>
              </w:rPr>
            </w:pPr>
            <w:r>
              <w:rPr>
                <w:rFonts w:hint="eastAsia" w:ascii="宋体" w:hAnsi="宋体" w:cs="宋体"/>
                <w:szCs w:val="21"/>
              </w:rPr>
              <w:t>4.供应商必须在响应文件中提供理解和接受本项目“不提供虚假材料否则按虚假响应处理”承诺函。</w:t>
            </w:r>
          </w:p>
          <w:p w14:paraId="5293C569">
            <w:pPr>
              <w:spacing w:line="336" w:lineRule="exact"/>
              <w:rPr>
                <w:rFonts w:hint="eastAsia" w:ascii="宋体" w:hAnsi="宋体" w:cs="宋体"/>
                <w:szCs w:val="21"/>
              </w:rPr>
            </w:pPr>
            <w:r>
              <w:rPr>
                <w:rFonts w:hint="eastAsia" w:ascii="宋体" w:hAnsi="宋体" w:cs="宋体"/>
                <w:szCs w:val="21"/>
              </w:rPr>
              <w:t>二、售后服务及其他要求：</w:t>
            </w:r>
          </w:p>
          <w:p w14:paraId="739C96ED">
            <w:pPr>
              <w:spacing w:line="336" w:lineRule="exact"/>
              <w:rPr>
                <w:rFonts w:hint="eastAsia" w:ascii="宋体" w:hAnsi="宋体" w:cs="宋体"/>
                <w:szCs w:val="21"/>
              </w:rPr>
            </w:pPr>
            <w:r>
              <w:rPr>
                <w:rFonts w:hint="eastAsia" w:ascii="宋体" w:hAnsi="宋体" w:cs="宋体"/>
                <w:szCs w:val="21"/>
              </w:rPr>
              <w:t>1.▲产品供货时，所有产品均严格按成交供应商的响应和承诺的技术参数及性能、国家有关标准及签订的政府采购合同进行验收，达不到招标文件要求的视为产品验收不合格，直接</w:t>
            </w:r>
            <w:r>
              <w:rPr>
                <w:rFonts w:hint="eastAsia" w:ascii="宋体" w:hAnsi="宋体" w:cs="宋体"/>
                <w:szCs w:val="21"/>
                <w:lang w:eastAsia="zh-CN"/>
              </w:rPr>
              <w:t>作</w:t>
            </w:r>
            <w:r>
              <w:rPr>
                <w:rFonts w:hint="eastAsia" w:ascii="宋体" w:hAnsi="宋体" w:cs="宋体"/>
                <w:szCs w:val="21"/>
              </w:rPr>
              <w:t>退货处理，产生的后果由成交供应商自行承担。</w:t>
            </w:r>
          </w:p>
          <w:p w14:paraId="616ED94C">
            <w:pPr>
              <w:spacing w:line="336" w:lineRule="exact"/>
              <w:rPr>
                <w:rFonts w:hint="eastAsia" w:ascii="宋体" w:hAnsi="宋体" w:cs="宋体"/>
                <w:szCs w:val="21"/>
              </w:rPr>
            </w:pPr>
            <w:r>
              <w:rPr>
                <w:rFonts w:hint="eastAsia" w:ascii="宋体" w:hAnsi="宋体" w:cs="宋体"/>
                <w:szCs w:val="21"/>
              </w:rPr>
              <w:t>2.产品按国家有关规定或厂家承诺实行“三包”，产品质保期除特别注明外，最短不少于一年（自货物验收合格之日起计算），质保期内全免费上门维修、免费更换零部件；质保期过后提供终身维护。厂家售后服务承诺函承诺更长质保期的，以承诺函为准。</w:t>
            </w:r>
          </w:p>
          <w:p w14:paraId="4FA6819C">
            <w:pPr>
              <w:spacing w:line="336" w:lineRule="exact"/>
              <w:rPr>
                <w:rFonts w:hint="eastAsia" w:ascii="宋体" w:hAnsi="宋体" w:cs="宋体"/>
                <w:szCs w:val="21"/>
              </w:rPr>
            </w:pPr>
            <w:r>
              <w:rPr>
                <w:rFonts w:hint="eastAsia" w:ascii="宋体" w:hAnsi="宋体" w:cs="宋体"/>
                <w:szCs w:val="21"/>
              </w:rPr>
              <w:t>3.故障响应时间1小时，8小时内到达故障现场，若36小时内无法排除故障必须提供备用设备以保证系统正常运行。</w:t>
            </w:r>
          </w:p>
          <w:p w14:paraId="0E658812">
            <w:pPr>
              <w:spacing w:line="336" w:lineRule="exact"/>
              <w:rPr>
                <w:rFonts w:hint="eastAsia" w:ascii="宋体" w:hAnsi="宋体" w:cs="宋体"/>
                <w:szCs w:val="21"/>
              </w:rPr>
            </w:pPr>
            <w:r>
              <w:rPr>
                <w:rFonts w:hint="eastAsia" w:ascii="宋体" w:hAnsi="宋体" w:cs="宋体"/>
                <w:szCs w:val="21"/>
              </w:rPr>
              <w:t>4.提供免费安装调试、免费送货上门、为采购人培训1-2名使用及维护人员，培训目标应达到基本掌握全套设备的操作，培训地点：采购人所在地。</w:t>
            </w:r>
          </w:p>
          <w:p w14:paraId="411B49CB">
            <w:pPr>
              <w:spacing w:line="336" w:lineRule="exact"/>
              <w:rPr>
                <w:rFonts w:hint="eastAsia" w:ascii="宋体" w:hAnsi="宋体" w:cs="宋体"/>
                <w:szCs w:val="21"/>
              </w:rPr>
            </w:pPr>
            <w:r>
              <w:rPr>
                <w:rFonts w:hint="eastAsia" w:ascii="宋体" w:hAnsi="宋体" w:cs="宋体"/>
                <w:szCs w:val="21"/>
              </w:rPr>
              <w:t>三、交货时间、交货地点及付款方式：</w:t>
            </w:r>
          </w:p>
          <w:p w14:paraId="0AF05D0C">
            <w:pPr>
              <w:spacing w:line="336" w:lineRule="exact"/>
              <w:rPr>
                <w:rFonts w:hint="eastAsia" w:ascii="宋体" w:hAnsi="宋体" w:cs="宋体"/>
                <w:szCs w:val="21"/>
              </w:rPr>
            </w:pPr>
            <w:r>
              <w:rPr>
                <w:rFonts w:hint="eastAsia" w:ascii="宋体" w:hAnsi="宋体" w:cs="宋体"/>
                <w:szCs w:val="21"/>
              </w:rPr>
              <w:t>1.交货时间：自合同签订之日起30个工作日内交货并安装完成。</w:t>
            </w:r>
          </w:p>
          <w:p w14:paraId="74D7E010">
            <w:pPr>
              <w:spacing w:line="336" w:lineRule="exact"/>
              <w:rPr>
                <w:rFonts w:hint="eastAsia" w:ascii="宋体" w:hAnsi="宋体" w:cs="宋体"/>
                <w:szCs w:val="21"/>
              </w:rPr>
            </w:pPr>
            <w:r>
              <w:rPr>
                <w:rFonts w:hint="eastAsia" w:ascii="宋体" w:hAnsi="宋体" w:cs="宋体"/>
                <w:szCs w:val="21"/>
              </w:rPr>
              <w:t>2.交货地点：广西钦州采购人指定地点。</w:t>
            </w:r>
          </w:p>
          <w:p w14:paraId="71BFD15D">
            <w:pPr>
              <w:spacing w:line="336" w:lineRule="exact"/>
              <w:rPr>
                <w:rFonts w:hint="eastAsia" w:ascii="宋体" w:hAnsi="宋体" w:cs="宋体"/>
                <w:szCs w:val="21"/>
              </w:rPr>
            </w:pPr>
            <w:r>
              <w:rPr>
                <w:rFonts w:hint="eastAsia" w:ascii="宋体" w:hAnsi="宋体" w:cs="宋体"/>
                <w:szCs w:val="21"/>
              </w:rPr>
              <w:t>3.付款方式：签订合同后，采购人在10个工作日内向成交供应商支付50%的合同货款；产品到货安装</w:t>
            </w:r>
            <w:r>
              <w:rPr>
                <w:rFonts w:hint="eastAsia" w:ascii="宋体" w:hAnsi="宋体" w:cs="宋体"/>
                <w:szCs w:val="21"/>
                <w:lang w:eastAsia="zh-CN"/>
              </w:rPr>
              <w:t>完成</w:t>
            </w:r>
            <w:r>
              <w:rPr>
                <w:rFonts w:hint="eastAsia" w:ascii="宋体" w:hAnsi="宋体" w:cs="宋体"/>
                <w:szCs w:val="21"/>
              </w:rPr>
              <w:t>并验收合格后，采购人凭成交供应商开具的全额发票，采购人在10个工作日内向成交供应商支付剩下50%的合同货款。</w:t>
            </w:r>
          </w:p>
          <w:p w14:paraId="0AF00C69">
            <w:pPr>
              <w:spacing w:line="336" w:lineRule="exact"/>
              <w:rPr>
                <w:rFonts w:hint="eastAsia" w:ascii="宋体" w:hAnsi="宋体" w:cs="宋体"/>
                <w:szCs w:val="21"/>
              </w:rPr>
            </w:pPr>
            <w:r>
              <w:rPr>
                <w:rFonts w:hint="eastAsia" w:ascii="宋体" w:hAnsi="宋体" w:cs="宋体"/>
                <w:szCs w:val="21"/>
              </w:rPr>
              <w:t>四、其他要求：</w:t>
            </w:r>
          </w:p>
          <w:p w14:paraId="4E4A31DC">
            <w:pPr>
              <w:spacing w:line="336" w:lineRule="exact"/>
              <w:rPr>
                <w:rFonts w:hint="eastAsia" w:ascii="宋体" w:hAnsi="宋体" w:cs="宋体"/>
                <w:szCs w:val="21"/>
              </w:rPr>
            </w:pPr>
            <w:r>
              <w:rPr>
                <w:rFonts w:hint="eastAsia" w:ascii="宋体" w:hAnsi="宋体" w:cs="宋体"/>
                <w:szCs w:val="21"/>
              </w:rPr>
              <w:t>1.▲供应商在采购活动中提供任何虚假材料，以及供货时提供的品牌、型号与响应文件不一致的，按虚假应标处理，所签订合同无效，报监管部门查处。</w:t>
            </w:r>
          </w:p>
          <w:p w14:paraId="223CC60D">
            <w:pPr>
              <w:spacing w:line="336" w:lineRule="exact"/>
              <w:rPr>
                <w:rFonts w:hint="eastAsia" w:ascii="宋体" w:hAnsi="宋体" w:cs="宋体"/>
                <w:szCs w:val="21"/>
              </w:rPr>
            </w:pPr>
            <w:r>
              <w:rPr>
                <w:rFonts w:hint="eastAsia" w:ascii="宋体" w:hAnsi="宋体" w:cs="宋体"/>
                <w:szCs w:val="21"/>
              </w:rPr>
              <w:t>2.成交供应商所供产品及售后服务不按响应文件履约的，将按照《中华人民共和国政府采购法》 及其实施条例、《政府采购非招标采购方式管理办法》等有关规定严肃处理。</w:t>
            </w:r>
          </w:p>
          <w:p w14:paraId="6A5D453D">
            <w:pPr>
              <w:spacing w:line="336" w:lineRule="exact"/>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rPr>
              <w:t>▲供应商在参与竞标报价前需仔细阅读项目采购的技术及商务要求，评估自身履约能力，谢绝恶意低价、不按要求报价、中标后无故放弃、不按合同履行等违约行为。对出现此类行为的预中标供应商，将根据在线竞价违约处理规则，依法依规提请政采云平台进行处罚，处罚内容包括停止推送报价信息、禁止报价等，并记入政府采购诚信档案。</w:t>
            </w:r>
          </w:p>
          <w:p w14:paraId="5370B626">
            <w:pPr>
              <w:spacing w:line="336" w:lineRule="exact"/>
              <w:rPr>
                <w:rFonts w:hint="eastAsia" w:ascii="宋体" w:hAnsi="宋体" w:cs="宋体"/>
                <w:szCs w:val="21"/>
              </w:rPr>
            </w:pPr>
            <w:r>
              <w:rPr>
                <w:rFonts w:hint="eastAsia" w:ascii="宋体" w:hAnsi="宋体" w:cs="宋体"/>
                <w:szCs w:val="21"/>
                <w:lang w:eastAsia="zh-CN"/>
              </w:rPr>
              <w:t>4.</w:t>
            </w:r>
            <w:r>
              <w:rPr>
                <w:rFonts w:hint="eastAsia" w:ascii="宋体" w:hAnsi="宋体" w:cs="宋体"/>
                <w:szCs w:val="21"/>
              </w:rPr>
              <w:t>▲签订合同前，招标参数中要求的材料必须在报价当天下午三点半前发到采购方指定邮箱</w:t>
            </w:r>
            <w:r>
              <w:rPr>
                <w:rFonts w:hint="eastAsia" w:ascii="宋体" w:hAnsi="宋体" w:cs="宋体"/>
                <w:color w:val="auto"/>
                <w:szCs w:val="21"/>
              </w:rPr>
              <w:t>（</w:t>
            </w:r>
            <w:r>
              <w:rPr>
                <w:rFonts w:hint="eastAsia" w:ascii="宋体" w:hAnsi="宋体" w:cs="宋体"/>
                <w:color w:val="FF0000"/>
                <w:szCs w:val="21"/>
                <w:u w:val="single"/>
                <w:lang w:val="en-US" w:eastAsia="zh-CN"/>
              </w:rPr>
              <w:t>lsxrmyycgbgs@163.com</w:t>
            </w:r>
            <w:r>
              <w:rPr>
                <w:rFonts w:hint="eastAsia" w:ascii="宋体" w:hAnsi="宋体" w:cs="宋体"/>
                <w:color w:val="auto"/>
                <w:szCs w:val="21"/>
              </w:rPr>
              <w:t>）</w:t>
            </w:r>
            <w:r>
              <w:rPr>
                <w:rFonts w:hint="eastAsia" w:ascii="宋体" w:hAnsi="宋体" w:cs="宋体"/>
                <w:szCs w:val="21"/>
              </w:rPr>
              <w:t>，不提供者或提供不全的报价文件方视为未实质性响应，作无效报价处理。 采购方在确认材料真实有效性后，才能继续签订合同，不满足要求的，</w:t>
            </w:r>
            <w:r>
              <w:rPr>
                <w:rFonts w:hint="eastAsia" w:ascii="宋体" w:hAnsi="宋体" w:cs="宋体"/>
                <w:szCs w:val="21"/>
                <w:lang w:eastAsia="zh-CN"/>
              </w:rPr>
              <w:t>作废</w:t>
            </w:r>
            <w:r>
              <w:rPr>
                <w:rFonts w:hint="eastAsia" w:ascii="宋体" w:hAnsi="宋体" w:cs="宋体"/>
                <w:szCs w:val="21"/>
              </w:rPr>
              <w:t>标处理，一概不签订合同，不签收货物，造成的所有损失由投标人自己负责。</w:t>
            </w:r>
          </w:p>
          <w:p w14:paraId="46F73ED7">
            <w:pPr>
              <w:spacing w:line="336" w:lineRule="exact"/>
              <w:rPr>
                <w:rFonts w:hint="eastAsia" w:ascii="宋体" w:hAnsi="宋体" w:cs="宋体"/>
                <w:szCs w:val="21"/>
              </w:rPr>
            </w:pPr>
            <w:r>
              <w:rPr>
                <w:rFonts w:hint="eastAsia" w:ascii="宋体" w:hAnsi="宋体" w:cs="宋体"/>
                <w:szCs w:val="21"/>
                <w:lang w:eastAsia="zh-CN"/>
              </w:rPr>
              <w:t>5.</w:t>
            </w:r>
            <w:r>
              <w:rPr>
                <w:rFonts w:hint="eastAsia" w:ascii="宋体" w:hAnsi="宋体" w:cs="宋体"/>
                <w:szCs w:val="21"/>
              </w:rPr>
              <w:t>关于虚假应标的处罚：因本项目完工时间紧急，如出现虚假应标会造成无法验收而且影响单位正常工作秩序，对单位造成</w:t>
            </w:r>
            <w:r>
              <w:rPr>
                <w:rFonts w:hint="eastAsia" w:ascii="宋体" w:hAnsi="宋体" w:cs="宋体"/>
                <w:szCs w:val="21"/>
                <w:lang w:eastAsia="zh-CN"/>
              </w:rPr>
              <w:t>极其</w:t>
            </w:r>
            <w:r>
              <w:rPr>
                <w:rFonts w:hint="eastAsia" w:ascii="宋体" w:hAnsi="宋体" w:cs="宋体"/>
                <w:szCs w:val="21"/>
              </w:rPr>
              <w:t>恶劣的影响，因此为防止虚假应标，本项目供应商如一旦提交报价则视为完全同意以下条款，同意采购人具有以下规定的处罚权力并无条件服从处罚，并不再进行任何申诉：按照如下规定处罚：（1）接受采购方无条件取消供应商的成交资格，并不再进行任何申诉； （2）按照《中华人民共和国政府采购法》及相关规定在取消成交资格后10日内向财政监管部门缴纳本项目合同金额10%的违约罚金约3万元，并不再进行任何申诉，逾期则无条件承担每日追加前一日应罚金额5‰的处罚；（3）按照《中华人民共和国消费者权益保护法》“第五十五条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在取消成交资格后10日内向采购人赔付合同款金额的3倍赔偿款90万元，并不再进行任何申诉，逾期则无条件承担每日追加前一日应赔偿金额5‰的赔偿；（4）接受采购人将供应商虚假应标骗取财政资金的行为上报至政采云系统并将供应商列入政府采购严重失信行为黑名单、政采云黑名单，并不再进行任何申诉；（5）接受采购人向征信部门递交有关失信行为的举报材料，将涉案供应商单位、供应商法人及相关经办人列入国家失信人员名单，并不再进行任何申诉；（6）接受以上所有条款要求并接受当逾期缴纳第（1）</w:t>
            </w:r>
            <w:r>
              <w:rPr>
                <w:rFonts w:hint="eastAsia" w:ascii="宋体" w:hAnsi="宋体" w:cs="宋体"/>
                <w:szCs w:val="21"/>
                <w:lang w:eastAsia="zh-CN"/>
              </w:rPr>
              <w:t>～</w:t>
            </w:r>
            <w:r>
              <w:rPr>
                <w:rFonts w:hint="eastAsia" w:ascii="宋体" w:hAnsi="宋体" w:cs="宋体"/>
                <w:szCs w:val="21"/>
              </w:rPr>
              <w:t>（5）内约定费用时，采购人有权直接向相关部门申请强制执行，执行机关有权直接将报价单位所有合法财产进行处置。接受执行机关对企业及本项目所有相关涉案人员进行处置，并放弃所有申诉权利，如违约申诉，</w:t>
            </w:r>
            <w:r>
              <w:rPr>
                <w:rFonts w:hint="eastAsia" w:ascii="宋体" w:hAnsi="宋体" w:cs="宋体"/>
                <w:color w:val="auto"/>
                <w:szCs w:val="21"/>
              </w:rPr>
              <w:t>接受任何单位对供应商</w:t>
            </w:r>
            <w:r>
              <w:rPr>
                <w:rFonts w:hint="eastAsia" w:ascii="宋体" w:hAnsi="宋体" w:cs="宋体"/>
                <w:color w:val="auto"/>
                <w:szCs w:val="21"/>
                <w:lang w:eastAsia="zh-CN"/>
              </w:rPr>
              <w:t>申诉</w:t>
            </w:r>
            <w:r>
              <w:rPr>
                <w:rFonts w:hint="eastAsia" w:ascii="宋体" w:hAnsi="宋体" w:cs="宋体"/>
                <w:color w:val="auto"/>
                <w:szCs w:val="21"/>
              </w:rPr>
              <w:t>进行不予受理的处理。</w:t>
            </w:r>
          </w:p>
        </w:tc>
      </w:tr>
    </w:tbl>
    <w:p w14:paraId="428D7480">
      <w:pPr>
        <w:tabs>
          <w:tab w:val="left" w:pos="312"/>
        </w:tabs>
        <w:rPr>
          <w:rFonts w:hint="eastAsia" w:ascii="宋体" w:hAnsi="宋体"/>
          <w:color w:val="FF0000"/>
          <w:lang w:val="en-US"/>
        </w:rPr>
      </w:pPr>
    </w:p>
    <w:sectPr>
      <w:footerReference r:id="rId3" w:type="default"/>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6E99">
    <w:pPr>
      <w:pStyle w:val="4"/>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14:paraId="6AEB853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EF865"/>
    <w:multiLevelType w:val="singleLevel"/>
    <w:tmpl w:val="130EF865"/>
    <w:lvl w:ilvl="0" w:tentative="0">
      <w:start w:val="1"/>
      <w:numFmt w:val="decimal"/>
      <w:suff w:val="nothing"/>
      <w:lvlText w:val="%1"/>
      <w:lvlJc w:val="left"/>
      <w:pPr>
        <w:tabs>
          <w:tab w:val="left" w:pos="0"/>
        </w:tabs>
        <w:ind w:left="425" w:hanging="425"/>
      </w:pPr>
      <w:rPr>
        <w:rFonts w:hint="default"/>
      </w:rPr>
    </w:lvl>
  </w:abstractNum>
  <w:abstractNum w:abstractNumId="1">
    <w:nsid w:val="6B31D00C"/>
    <w:multiLevelType w:val="singleLevel"/>
    <w:tmpl w:val="6B31D00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BD"/>
    <w:rsid w:val="00036E2B"/>
    <w:rsid w:val="0013563B"/>
    <w:rsid w:val="00182941"/>
    <w:rsid w:val="002D7F3B"/>
    <w:rsid w:val="003B06EF"/>
    <w:rsid w:val="004276D1"/>
    <w:rsid w:val="005403A0"/>
    <w:rsid w:val="00551655"/>
    <w:rsid w:val="005B611E"/>
    <w:rsid w:val="005C4D2E"/>
    <w:rsid w:val="006349B7"/>
    <w:rsid w:val="006873C5"/>
    <w:rsid w:val="006A507F"/>
    <w:rsid w:val="008209D1"/>
    <w:rsid w:val="0083087E"/>
    <w:rsid w:val="00846033"/>
    <w:rsid w:val="00C726BD"/>
    <w:rsid w:val="00C94F8E"/>
    <w:rsid w:val="00D43493"/>
    <w:rsid w:val="00F919E2"/>
    <w:rsid w:val="04244F58"/>
    <w:rsid w:val="05947E3D"/>
    <w:rsid w:val="05F6352F"/>
    <w:rsid w:val="06F16BC5"/>
    <w:rsid w:val="07ED4213"/>
    <w:rsid w:val="08071A24"/>
    <w:rsid w:val="094D790A"/>
    <w:rsid w:val="095C5D9F"/>
    <w:rsid w:val="09EF63D8"/>
    <w:rsid w:val="0A2040E7"/>
    <w:rsid w:val="0B6C1084"/>
    <w:rsid w:val="0BDE2A9B"/>
    <w:rsid w:val="0DED5218"/>
    <w:rsid w:val="0EC20452"/>
    <w:rsid w:val="10E67546"/>
    <w:rsid w:val="13001549"/>
    <w:rsid w:val="13480A4F"/>
    <w:rsid w:val="13936861"/>
    <w:rsid w:val="165A18B8"/>
    <w:rsid w:val="17412B7A"/>
    <w:rsid w:val="188C1683"/>
    <w:rsid w:val="18C27F65"/>
    <w:rsid w:val="18EC4727"/>
    <w:rsid w:val="197125B3"/>
    <w:rsid w:val="1C6A5624"/>
    <w:rsid w:val="1F6A67BE"/>
    <w:rsid w:val="21A63C04"/>
    <w:rsid w:val="23E946AA"/>
    <w:rsid w:val="24424E18"/>
    <w:rsid w:val="24961D0D"/>
    <w:rsid w:val="24AF7273"/>
    <w:rsid w:val="2523717D"/>
    <w:rsid w:val="25777D91"/>
    <w:rsid w:val="26C6534D"/>
    <w:rsid w:val="289E3886"/>
    <w:rsid w:val="29657F00"/>
    <w:rsid w:val="29E67293"/>
    <w:rsid w:val="2B261911"/>
    <w:rsid w:val="2C293467"/>
    <w:rsid w:val="2CDB64D3"/>
    <w:rsid w:val="2E884DBD"/>
    <w:rsid w:val="2FAA75AA"/>
    <w:rsid w:val="30945E61"/>
    <w:rsid w:val="31B25CAD"/>
    <w:rsid w:val="33174961"/>
    <w:rsid w:val="35C26AAE"/>
    <w:rsid w:val="36341386"/>
    <w:rsid w:val="37052E82"/>
    <w:rsid w:val="375C659B"/>
    <w:rsid w:val="393C7FB8"/>
    <w:rsid w:val="3B765F9D"/>
    <w:rsid w:val="3BA50630"/>
    <w:rsid w:val="3BD41359"/>
    <w:rsid w:val="3C706E90"/>
    <w:rsid w:val="3D234F8B"/>
    <w:rsid w:val="3D7D3613"/>
    <w:rsid w:val="3E247F32"/>
    <w:rsid w:val="3E636CAD"/>
    <w:rsid w:val="3E8A46A3"/>
    <w:rsid w:val="3FFF47B3"/>
    <w:rsid w:val="40672358"/>
    <w:rsid w:val="41EB0134"/>
    <w:rsid w:val="44004F9E"/>
    <w:rsid w:val="457C0654"/>
    <w:rsid w:val="46A55988"/>
    <w:rsid w:val="48A34433"/>
    <w:rsid w:val="48BF44BA"/>
    <w:rsid w:val="49155047"/>
    <w:rsid w:val="4A653DAC"/>
    <w:rsid w:val="4A8D0DD3"/>
    <w:rsid w:val="4C6D519A"/>
    <w:rsid w:val="4C7958ED"/>
    <w:rsid w:val="4E920EE8"/>
    <w:rsid w:val="4F1F0B9D"/>
    <w:rsid w:val="52505342"/>
    <w:rsid w:val="52560EF4"/>
    <w:rsid w:val="529945F3"/>
    <w:rsid w:val="53697D29"/>
    <w:rsid w:val="53B35B89"/>
    <w:rsid w:val="53C2401E"/>
    <w:rsid w:val="571038B0"/>
    <w:rsid w:val="582F1556"/>
    <w:rsid w:val="58B303D9"/>
    <w:rsid w:val="59CA7788"/>
    <w:rsid w:val="59CF724C"/>
    <w:rsid w:val="5ADA7E9F"/>
    <w:rsid w:val="5C875D75"/>
    <w:rsid w:val="5C90132E"/>
    <w:rsid w:val="5E950830"/>
    <w:rsid w:val="60030E42"/>
    <w:rsid w:val="60926D37"/>
    <w:rsid w:val="62AE5783"/>
    <w:rsid w:val="62E713AB"/>
    <w:rsid w:val="637F5A87"/>
    <w:rsid w:val="656E190F"/>
    <w:rsid w:val="65801698"/>
    <w:rsid w:val="67DD4B2A"/>
    <w:rsid w:val="6A276531"/>
    <w:rsid w:val="6C757A27"/>
    <w:rsid w:val="6E072901"/>
    <w:rsid w:val="71655A4E"/>
    <w:rsid w:val="7242180A"/>
    <w:rsid w:val="73CE3867"/>
    <w:rsid w:val="758A2545"/>
    <w:rsid w:val="77617526"/>
    <w:rsid w:val="77C47B8E"/>
    <w:rsid w:val="78126F19"/>
    <w:rsid w:val="79050385"/>
    <w:rsid w:val="79112F30"/>
    <w:rsid w:val="79330A4E"/>
    <w:rsid w:val="79B261C2"/>
    <w:rsid w:val="7BA64E2E"/>
    <w:rsid w:val="7DC10AD2"/>
    <w:rsid w:val="7EED29F8"/>
    <w:rsid w:val="7F625BE9"/>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CJK JP Regular" w:hAnsi="Noto Sans CJK JP Regular" w:eastAsia="宋体" w:cs="Noto Sans CJK JP Regular"/>
      <w:sz w:val="22"/>
      <w:szCs w:val="22"/>
      <w:lang w:val="zh-CN" w:eastAsia="zh-CN" w:bidi="ar-SA"/>
    </w:rPr>
  </w:style>
  <w:style w:type="paragraph" w:styleId="2">
    <w:name w:val="heading 1"/>
    <w:basedOn w:val="1"/>
    <w:next w:val="1"/>
    <w:link w:val="8"/>
    <w:qFormat/>
    <w:uiPriority w:val="99"/>
    <w:pPr>
      <w:outlineLvl w:val="0"/>
    </w:pPr>
    <w:rPr>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qFormat/>
    <w:uiPriority w:val="99"/>
    <w:pPr>
      <w:ind w:left="472"/>
    </w:pPr>
    <w:rPr>
      <w:sz w:val="21"/>
      <w:szCs w:val="21"/>
    </w:rPr>
  </w:style>
  <w:style w:type="paragraph" w:styleId="4">
    <w:name w:val="footer"/>
    <w:basedOn w:val="1"/>
    <w:link w:val="12"/>
    <w:qFormat/>
    <w:uiPriority w:val="99"/>
    <w:pPr>
      <w:tabs>
        <w:tab w:val="center" w:pos="4153"/>
        <w:tab w:val="right" w:pos="8306"/>
      </w:tabs>
      <w:snapToGrid w:val="0"/>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qFormat/>
    <w:uiPriority w:val="99"/>
    <w:rPr>
      <w:rFonts w:ascii="Noto Sans CJK JP Regular" w:hAnsi="Noto Sans CJK JP Regular" w:eastAsia="宋体" w:cs="Noto Sans CJK JP Regular"/>
      <w:kern w:val="0"/>
      <w:sz w:val="36"/>
      <w:szCs w:val="36"/>
      <w:lang w:val="zh-CN"/>
    </w:rPr>
  </w:style>
  <w:style w:type="character" w:customStyle="1" w:styleId="9">
    <w:name w:val="正文文本 字符"/>
    <w:basedOn w:val="7"/>
    <w:link w:val="3"/>
    <w:qFormat/>
    <w:uiPriority w:val="99"/>
    <w:rPr>
      <w:rFonts w:ascii="Noto Sans CJK JP Regular" w:hAnsi="Noto Sans CJK JP Regular" w:eastAsia="宋体" w:cs="Noto Sans CJK JP Regular"/>
      <w:kern w:val="0"/>
      <w:szCs w:val="21"/>
      <w:lang w:val="zh-CN"/>
    </w:rPr>
  </w:style>
  <w:style w:type="paragraph" w:styleId="10">
    <w:name w:val="List Paragraph"/>
    <w:basedOn w:val="1"/>
    <w:qFormat/>
    <w:uiPriority w:val="34"/>
    <w:pPr>
      <w:ind w:firstLine="420" w:firstLineChars="200"/>
    </w:pPr>
  </w:style>
  <w:style w:type="character" w:customStyle="1" w:styleId="11">
    <w:name w:val="页眉 字符"/>
    <w:basedOn w:val="7"/>
    <w:link w:val="5"/>
    <w:qFormat/>
    <w:uiPriority w:val="99"/>
    <w:rPr>
      <w:rFonts w:ascii="Noto Sans CJK JP Regular" w:hAnsi="Noto Sans CJK JP Regular" w:eastAsia="宋体" w:cs="Noto Sans CJK JP Regular"/>
      <w:kern w:val="0"/>
      <w:sz w:val="18"/>
      <w:szCs w:val="18"/>
      <w:lang w:val="zh-CN"/>
    </w:rPr>
  </w:style>
  <w:style w:type="character" w:customStyle="1" w:styleId="12">
    <w:name w:val="页脚 字符"/>
    <w:basedOn w:val="7"/>
    <w:link w:val="4"/>
    <w:qFormat/>
    <w:uiPriority w:val="99"/>
    <w:rPr>
      <w:rFonts w:ascii="Noto Sans CJK JP Regular" w:hAnsi="Noto Sans CJK JP Regular" w:eastAsia="宋体" w:cs="Noto Sans CJK JP Regular"/>
      <w:kern w:val="0"/>
      <w:sz w:val="18"/>
      <w:szCs w:val="1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381ea583-22fc-4c15-978b-a40b29f73561</errorID>
      <errorWord>尺寸±</errorWord>
      <group>L1_Word</group>
      <groupName>字词问题</groupName>
      <ability>L2_Typo</ability>
      <abilityName>字词错误</abilityName>
      <candidateList>
        <item>尺寸</item>
      </candidateList>
      <explain/>
      <paraID>68DD27C1</paraID>
      <start>46</start>
      <end>49</end>
      <status>ignored</status>
      <modifiedWord/>
      <trackRevisions>false</trackRevisions>
    </reviewItem>
    <reviewItem>
      <errorID>0737ee79-8722-4517-9ba7-c960805e9fc2</errorID>
      <errorWord>(</errorWord>
      <group>L1_Format</group>
      <groupName>格式问题</groupName>
      <ability>L2_HalfPunc_CN</ability>
      <abilityName/>
      <candidateList>
        <item>（</item>
      </candidateList>
      <explain>文本全半角错误。</explain>
      <paraID>68DD27C1</paraID>
      <start>80</start>
      <end>81</end>
      <status>modified</status>
      <modifiedWord>（</modifiedWord>
      <trackRevisions>false</trackRevisions>
    </reviewItem>
    <reviewItem>
      <errorID>c8a9cf95-2dc0-4fb4-bbaf-14df4f22fbf1</errorID>
      <errorWord>)</errorWord>
      <group>L1_Format</group>
      <groupName>格式问题</groupName>
      <ability>L2_HalfPunc_CN</ability>
      <abilityName/>
      <candidateList>
        <item>）</item>
      </candidateList>
      <explain>文本全半角错误。</explain>
      <paraID>68DD27C1</paraID>
      <start>82</start>
      <end>83</end>
      <status>modified</status>
      <modifiedWord>）</modifiedWord>
      <trackRevisions>false</trackRevisions>
    </reviewItem>
    <reviewItem>
      <errorID>2e125886-6c71-4ff1-9ded-002cb5c42cce</errorID>
      <errorWord>(</errorWord>
      <group>L1_Format</group>
      <groupName>格式问题</groupName>
      <ability>L2_HalfPunc_CN</ability>
      <abilityName/>
      <candidateList>
        <item>（</item>
      </candidateList>
      <explain>文本全半角错误。</explain>
      <paraID>68DD27C1</paraID>
      <start>87</start>
      <end>88</end>
      <status>modified</status>
      <modifiedWord>（</modifiedWord>
      <trackRevisions>false</trackRevisions>
    </reviewItem>
    <reviewItem>
      <errorID>32afbc09-935f-4440-815c-f21691208d5e</errorID>
      <errorWord>)</errorWord>
      <group>L1_Format</group>
      <groupName>格式问题</groupName>
      <ability>L2_HalfPunc_CN</ability>
      <abilityName/>
      <candidateList>
        <item>）</item>
      </candidateList>
      <explain>文本全半角错误。</explain>
      <paraID>68DD27C1</paraID>
      <start>89</start>
      <end>90</end>
      <status>modified</status>
      <modifiedWord>）</modifiedWord>
      <trackRevisions>false</trackRevisions>
    </reviewItem>
    <reviewItem>
      <errorID>7a015afd-4076-4f90-9cbe-fcc3f944a95e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7941418E</paraID>
      <start>13</start>
      <end>14</end>
      <status>modified</status>
      <modifiedWord>—</modifiedWord>
      <trackRevisions>false</trackRevisions>
    </reviewItem>
    <reviewItem>
      <errorID>f8ca0dc3-0b61-4bfd-be30-e2ee8b48d799</errorID>
      <errorWord>加盖</errorWord>
      <group>L1_Word</group>
      <groupName>字词问题</groupName>
      <ability>L2_Typo</ability>
      <abilityName>字词错误</abilityName>
      <candidateList>
        <item>并加盖</item>
      </candidateList>
      <explain/>
      <paraID>38A1982B</paraID>
      <start>188</start>
      <end>191</end>
      <status>modified</status>
      <modifiedWord>并加盖</modifiedWord>
      <trackRevisions>false</trackRevisions>
    </reviewItem>
    <reviewItem>
      <errorID>4ddd1ebe-bb71-4805-b52a-4aa780eaf540</errorID>
      <errorWord>(</errorWord>
      <group>L1_Format</group>
      <groupName>格式问题</groupName>
      <ability>L2_HalfPunc_CN</ability>
      <abilityName/>
      <candidateList>
        <item>（</item>
      </candidateList>
      <explain>文本全半角错误。</explain>
      <paraID>2546737E</paraID>
      <start>39</start>
      <end>40</end>
      <status>modified</status>
      <modifiedWord>（</modifiedWord>
      <trackRevisions>false</trackRevisions>
    </reviewItem>
    <reviewItem>
      <errorID>299d5bd7-92d4-43c6-b4f6-c4c5fe2298b7</errorID>
      <errorWord>)</errorWord>
      <group>L1_Format</group>
      <groupName>格式问题</groupName>
      <ability>L2_HalfPunc_CN</ability>
      <abilityName/>
      <candidateList>
        <item>）</item>
      </candidateList>
      <explain>文本全半角错误。</explain>
      <paraID>2546737E</paraID>
      <start>114</start>
      <end>115</end>
      <status>modified</status>
      <modifiedWord>）</modifiedWord>
      <trackRevisions>false</trackRevisions>
    </reviewItem>
    <reviewItem>
      <errorID>604ba466-1629-468b-ae1d-15e4445cbcfb</errorID>
      <errorWord>的</errorWord>
      <group>L1_Word</group>
      <groupName>字词问题</groupName>
      <ability>L2_Typo</ability>
      <abilityName>字词错误</abilityName>
      <candidateList>
        <item>地</item>
      </candidateList>
      <explain/>
      <paraID> CC9CED7</paraID>
      <start>50</start>
      <end>51</end>
      <status>modified</status>
      <modifiedWord>地</modifiedWord>
      <trackRevisions>false</trackRevisions>
    </reviewItem>
    <reviewItem>
      <errorID>4f0fe260-f3b3-45a1-b8e5-ac803f7935a0</errorID>
      <errorWord>)</errorWord>
      <group>L1_Format</group>
      <groupName>格式问题</groupName>
      <ability>L2_HalfPunc_CN</ability>
      <abilityName/>
      <candidateList>
        <item>）</item>
      </candidateList>
      <explain>文本全半角错误。</explain>
      <paraID> CC9CED7</paraID>
      <start>78</start>
      <end>79</end>
      <status>modified</status>
      <modifiedWord>）</modifiedWord>
      <trackRevisions>false</trackRevisions>
    </reviewItem>
    <reviewItem>
      <errorID>04b61894-792f-49ed-bd1b-8096e8296218</errorID>
      <errorWord>(</errorWord>
      <group>L1_Format</group>
      <groupName>格式问题</groupName>
      <ability>L2_HalfPunc_CN</ability>
      <abilityName/>
      <candidateList>
        <item>（</item>
      </candidateList>
      <explain>文本全半角错误。</explain>
      <paraID>1FA468E9</paraID>
      <start>39</start>
      <end>40</end>
      <status>modified</status>
      <modifiedWord>（</modifiedWord>
      <trackRevisions>false</trackRevisions>
    </reviewItem>
    <reviewItem>
      <errorID>71bfcd1c-2c3d-47a9-843a-317fbe8a84f9</errorID>
      <errorWord>)</errorWord>
      <group>L1_Format</group>
      <groupName>格式问题</groupName>
      <ability>L2_HalfPunc_CN</ability>
      <abilityName/>
      <candidateList>
        <item>）</item>
      </candidateList>
      <explain>文本全半角错误。</explain>
      <paraID>1FA468E9</paraID>
      <start>45</start>
      <end>46</end>
      <status>modified</status>
      <modifiedWord>）</modifiedWord>
      <trackRevisions>false</trackRevisions>
    </reviewItem>
    <reviewItem>
      <errorID>cb0c05b7-637b-40c1-87e4-02111c6a72c2</errorID>
      <errorWord>:</errorWord>
      <group>L1_Format</group>
      <groupName>格式问题</groupName>
      <ability>L2_HalfPunc_CN</ability>
      <abilityName/>
      <candidateList>
        <item>：</item>
      </candidateList>
      <explain>文本全半角错误。</explain>
      <paraID>1FA468E9</paraID>
      <start>102</start>
      <end>103</end>
      <status>modified</status>
      <modifiedWord>：</modifiedWord>
      <trackRevisions>false</trackRevisions>
    </reviewItem>
    <reviewItem>
      <errorID>2cff99a5-aa4a-47a1-993b-223e5a7fbb0a</errorID>
      <errorWord>)</errorWord>
      <group>L1_Format</group>
      <groupName>格式问题</groupName>
      <ability>L2_HalfPunc_CN</ability>
      <abilityName/>
      <candidateList>
        <item>）</item>
      </candidateList>
      <explain>文本全半角错误。</explain>
      <paraID> 7AEDC0D</paraID>
      <start>78</start>
      <end>79</end>
      <status>modified</status>
      <modifiedWord>）</modifiedWord>
      <trackRevisions>false</trackRevisions>
    </reviewItem>
    <reviewItem>
      <errorID>903351bb-dc28-4506-8a81-713b9b35d178</errorID>
      <errorWord>)</errorWord>
      <group>L1_Format</group>
      <groupName>格式问题</groupName>
      <ability>L2_HalfPunc_CN</ability>
      <abilityName/>
      <candidateList>
        <item>）</item>
      </candidateList>
      <explain>文本全半角错误。</explain>
      <paraID> 7AEDC0D</paraID>
      <start>93</start>
      <end>94</end>
      <status>modified</status>
      <modifiedWord>）</modifiedWord>
      <trackRevisions>false</trackRevisions>
    </reviewItem>
    <reviewItem>
      <errorID>68eb4b42-3b82-49fa-8cd8-9e6e1191b572</errorID>
      <errorWord>33、</errorWord>
      <group>L1_Format</group>
      <groupName>格式问题</groupName>
      <ability>L2_Ordinal</ability>
      <abilityName>序号格式</abilityName>
      <candidateList>
        <item>33.</item>
      </candidateList>
      <explain>标题顺序错误，请检查标题顺序是否合理。</explain>
      <paraID>6FB9853F</paraID>
      <start>1</start>
      <end>4</end>
      <status>modified</status>
      <modifiedWord>33.</modifiedWord>
      <trackRevisions>false</trackRevisions>
    </reviewItem>
    <reviewItem>
      <errorID>352658b8-e7b6-468a-a3d2-81232d10dcb3</errorID>
      <errorWord>依旧</errorWord>
      <group>L1_Word</group>
      <groupName>字词问题</groupName>
      <ability>L2_Typo</ability>
      <abilityName>字词错误</abilityName>
      <candidateList>
        <item>仍</item>
      </candidateList>
      <explain/>
      <paraID>552D0BCA</paraID>
      <start>38</start>
      <end>40</end>
      <status>ignored</status>
      <modifiedWord/>
      <trackRevisions>false</trackRevisions>
    </reviewItem>
    <reviewItem>
      <errorID>46ce0aea-b68d-459d-a4e2-72ff7cedaa53</errorID>
      <errorWord>:</errorWord>
      <group>L1_Format</group>
      <groupName>格式问题</groupName>
      <ability>L2_HalfPunc_CN</ability>
      <abilityName/>
      <candidateList>
        <item>：</item>
      </candidateList>
      <explain>文本全半角错误。</explain>
      <paraID>557D9602</paraID>
      <start>27</start>
      <end>28</end>
      <status>modified</status>
      <modifiedWord>：</modifiedWord>
      <trackRevisions>false</trackRevisions>
    </reviewItem>
    <reviewItem>
      <errorID>e51d1554-3893-4073-a657-dd8fc45bbc1a</errorID>
      <errorWord>,</errorWord>
      <group>L1_Format</group>
      <groupName>格式问题</groupName>
      <ability>L2_HalfPunc_CN</ability>
      <abilityName/>
      <candidateList>
        <item>，</item>
      </candidateList>
      <explain>文本全半角错误。</explain>
      <paraID>557D9602</paraID>
      <start>43</start>
      <end>44</end>
      <status>modified</status>
      <modifiedWord>，</modifiedWord>
      <trackRevisions>false</trackRevisions>
    </reviewItem>
    <reviewItem>
      <errorID>d08bde71-4482-4a83-b854-208f9839d92e</errorID>
      <errorWord>:</errorWord>
      <group>L1_Format</group>
      <groupName>格式问题</groupName>
      <ability>L2_HalfPunc_CN</ability>
      <abilityName/>
      <candidateList>
        <item>：</item>
      </candidateList>
      <explain>文本全半角错误。</explain>
      <paraID>557D9602</paraID>
      <start>66</start>
      <end>67</end>
      <status>modified</status>
      <modifiedWord>：</modifiedWord>
      <trackRevisions>false</trackRevisions>
    </reviewItem>
    <reviewItem>
      <errorID>c9dd3735-2b4c-4a33-978a-795610469dbe</errorID>
      <errorWord>,</errorWord>
      <group>L1_Format</group>
      <groupName>格式问题</groupName>
      <ability>L2_HalfPunc_CN</ability>
      <abilityName/>
      <candidateList>
        <item>，</item>
      </candidateList>
      <explain>文本全半角错误。</explain>
      <paraID>557D9602</paraID>
      <start>83</start>
      <end>84</end>
      <status>modified</status>
      <modifiedWord>，</modifiedWord>
      <trackRevisions>false</trackRevisions>
    </reviewItem>
    <reviewItem>
      <errorID>8425f3f2-5bac-4a23-92c0-99738df2cf11</errorID>
      <errorWord>90％</errorWord>
      <group>L1_Other</group>
      <groupName>其他问题</groupName>
      <ability>L2_Consistency</ability>
      <abilityName>一致性检查</abilityName>
      <candidateList>
        <item>90%</item>
      </candidateList>
      <explain>数字一致性：百分比符号表述不一致，应统一为“%”</explain>
      <paraID>30FC814B</paraID>
      <start>32</start>
      <end>35</end>
      <status>modified</status>
      <modifiedWord>90%</modifiedWord>
      <trackRevisions>false</trackRevisions>
    </reviewItem>
    <reviewItem>
      <errorID>834d007b-367f-48fb-be45-3c3a81947773</errorID>
      <errorWord>登陆、</errorWord>
      <group>L1_Word</group>
      <groupName>字词问题</groupName>
      <ability>L2_Typo</ability>
      <abilityName>字词错误</abilityName>
      <candidateList>
        <item>登录，</item>
      </candidateList>
      <explain/>
      <paraID>1D55816F</paraID>
      <start>37</start>
      <end>40</end>
      <status>ignored</status>
      <modifiedWord/>
      <trackRevisions>false</trackRevisions>
    </reviewItem>
    <reviewItem>
      <errorID>1f5b886e-a220-4fac-9329-d813843b8be5</errorID>
      <errorWord>实现通过</errorWord>
      <group>L1_Grammar</group>
      <groupName>语法问题</groupName>
      <ability>L2_Grammar</ability>
      <abilityName>语法错误</abilityName>
      <candidateList>
        <item>通过</item>
      </candidateList>
      <explain/>
      <paraID>44152FED</paraID>
      <start>50</start>
      <end>54</end>
      <status>ignored</status>
      <modifiedWord/>
      <trackRevisions>false</trackRevisions>
    </reviewItem>
    <reviewItem>
      <errorID>467e3a26-4e7b-4486-8224-05b9a7284cc6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B887D4E</paraID>
      <start>59</start>
      <end>60</end>
      <status>modified</status>
      <modifiedWord>地</modifiedWord>
      <trackRevisions>false</trackRevisions>
    </reviewItem>
    <reviewItem>
      <errorID>c698b202-a327-41e4-af78-1cd53aba5cbf</errorID>
      <errorWord>一台</errorWord>
      <group>L1_Grammar</group>
      <groupName>语法问题</groupName>
      <ability>L2_Grammar</ability>
      <abilityName>语法错误</abilityName>
      <candidateList>
        <item>作为一台</item>
      </candidateList>
      <explain/>
      <paraID>2A7B73F1</paraID>
      <start>68</start>
      <end>70</end>
      <status>ignored</status>
      <modifiedWord/>
      <trackRevisions>false</trackRevisions>
    </reviewItem>
    <reviewItem>
      <errorID>f8ff6ec6-21ec-43a9-a581-77c399798555</errorID>
      <errorWord>(</errorWord>
      <group>L1_Format</group>
      <groupName>格式问题</groupName>
      <ability>L2_HalfPunc_CN</ability>
      <abilityName/>
      <candidateList>
        <item>（</item>
      </candidateList>
      <explain>文本全半角错误。</explain>
      <paraID>7C5EEB2A</paraID>
      <start>53</start>
      <end>54</end>
      <status>modified</status>
      <modifiedWord>（</modifiedWord>
      <trackRevisions>false</trackRevisions>
    </reviewItem>
    <reviewItem>
      <errorID>f08d579e-1de7-4d14-8fe3-98066066cf0b</errorID>
      <errorWord>)</errorWord>
      <group>L1_Format</group>
      <groupName>格式问题</groupName>
      <ability>L2_HalfPunc_CN</ability>
      <abilityName/>
      <candidateList>
        <item>）</item>
      </candidateList>
      <explain>文本全半角错误。</explain>
      <paraID>7C5EEB2A</paraID>
      <start>60</start>
      <end>61</end>
      <status>modified</status>
      <modifiedWord>）</modifiedWord>
      <trackRevisions>false</trackRevisions>
    </reviewItem>
    <reviewItem>
      <errorID>1a779d9d-0f33-4c18-aab1-5387f1942512</errorID>
      <errorWord>(</errorWord>
      <group>L1_Format</group>
      <groupName>格式问题</groupName>
      <ability>L2_HalfPunc_CN</ability>
      <abilityName/>
      <candidateList>
        <item>（</item>
      </candidateList>
      <explain>文本全半角错误。</explain>
      <paraID>7C5EEB2A</paraID>
      <start>75</start>
      <end>76</end>
      <status>modified</status>
      <modifiedWord>（</modifiedWord>
      <trackRevisions>false</trackRevisions>
    </reviewItem>
    <reviewItem>
      <errorID>bc3c3696-e76e-4f56-bf24-18bdf2231eaf</errorID>
      <errorWord>)</errorWord>
      <group>L1_Format</group>
      <groupName>格式问题</groupName>
      <ability>L2_HalfPunc_CN</ability>
      <abilityName/>
      <candidateList>
        <item>）</item>
      </candidateList>
      <explain>文本全半角错误。</explain>
      <paraID>7C5EEB2A</paraID>
      <start>80</start>
      <end>81</end>
      <status>modified</status>
      <modifiedWord>）</modifiedWord>
      <trackRevisions>false</trackRevisions>
    </reviewItem>
    <reviewItem>
      <errorID>4863a40f-1440-4799-b043-499b069fabfe</errorID>
      <errorWord>(</errorWord>
      <group>L1_Format</group>
      <groupName>格式问题</groupName>
      <ability>L2_HalfPunc_CN</ability>
      <abilityName/>
      <candidateList>
        <item>（</item>
      </candidateList>
      <explain>文本全半角错误。</explain>
      <paraID>7C5EEB2A</paraID>
      <start>152</start>
      <end>153</end>
      <status>modified</status>
      <modifiedWord>（</modifiedWord>
      <trackRevisions>false</trackRevisions>
    </reviewItem>
    <reviewItem>
      <errorID>e7809838-aed7-4563-847c-713f1bc399bb</errorID>
      <errorWord>)</errorWord>
      <group>L1_Format</group>
      <groupName>格式问题</groupName>
      <ability>L2_HalfPunc_CN</ability>
      <abilityName/>
      <candidateList>
        <item>）</item>
      </candidateList>
      <explain>文本全半角错误。</explain>
      <paraID>7C5EEB2A</paraID>
      <start>156</start>
      <end>157</end>
      <status>modified</status>
      <modifiedWord>）</modifiedWord>
      <trackRevisions>false</trackRevisions>
    </reviewItem>
    <reviewItem>
      <errorID>856a1c95-c2e3-4cad-ae78-3dd7357b17b0</errorID>
      <errorWord>做</errorWord>
      <group>L1_Word</group>
      <groupName>字词问题</groupName>
      <ability>L2_Typo</ability>
      <abilityName>字词错误</abilityName>
      <candidateList>
        <item>作</item>
      </candidateList>
      <explain>存在发音相同字词的误用。</explain>
      <paraID>739C96ED</paraID>
      <start>80</start>
      <end>81</end>
      <status>modified</status>
      <modifiedWord>作</modifiedWord>
      <trackRevisions>false</trackRevisions>
    </reviewItem>
    <reviewItem>
      <errorID>b07d4a1f-8cb3-4323-ad40-8a75151c172f</errorID>
      <errorWord>完</errorWord>
      <group>L1_Word</group>
      <groupName>字词问题</groupName>
      <ability>L2_Typo</ability>
      <abilityName>字词错误</abilityName>
      <candidateList>
        <item>完成</item>
      </candidateList>
      <explain>〈动〉按照预期的目的结束；做成：～任务｜～作业｜计划完得成。</explain>
      <paraID>71BFD15D</paraID>
      <start>47</start>
      <end>49</end>
      <status>modified</status>
      <modifiedWord>完成</modifiedWord>
      <trackRevisions>false</trackRevisions>
    </reviewItem>
    <reviewItem>
      <errorID>10b1ee98-dc76-49a9-ac46-c9d84bf971b1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6A5D453D</paraID>
      <start>0</start>
      <end>2</end>
      <status>modified</status>
      <modifiedWord>3.</modifiedWord>
      <trackRevisions>false</trackRevisions>
    </reviewItem>
    <reviewItem>
      <errorID>7b81d4c2-12c3-49ff-b270-0f657e0e59c3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5370B626</paraID>
      <start>0</start>
      <end>2</end>
      <status>modified</status>
      <modifiedWord>4.</modifiedWord>
      <trackRevisions>false</trackRevisions>
    </reviewItem>
    <reviewItem>
      <errorID>7966c3c8-1b5e-4d9c-95d9-09d109ff9adf</errorID>
      <errorWord>做废</errorWord>
      <group>L1_Word</group>
      <groupName>字词问题</groupName>
      <ability>L2_Typo</ability>
      <abilityName>字词错误</abilityName>
      <candidateList>
        <item>作废</item>
      </candidateList>
      <explain/>
      <paraID>5370B626</paraID>
      <start>128</start>
      <end>130</end>
      <status>modified</status>
      <modifiedWord>作废</modifiedWord>
      <trackRevisions>false</trackRevisions>
    </reviewItem>
    <reviewItem>
      <errorID>95f129fd-2ee6-4932-81b8-eba2ace66506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46F73ED7</paraID>
      <start>0</start>
      <end>2</end>
      <status>modified</status>
      <modifiedWord>5.</modifiedWord>
      <trackRevisions>false</trackRevisions>
    </reviewItem>
    <reviewItem>
      <errorID>13e6e778-f5df-4803-97c7-134c30e3eba4</errorID>
      <errorWord>及其</errorWord>
      <group>L1_Word</group>
      <groupName>字词问题</groupName>
      <ability>L2_Typo</ability>
      <abilityName>字词错误</abilityName>
      <candidateList>
        <item>极其</item>
      </candidateList>
      <explain/>
      <paraID>46F73ED7</paraID>
      <start>55</start>
      <end>57</end>
      <status>modified</status>
      <modifiedWord>极其</modifiedWord>
      <trackRevisions>false</trackRevisions>
    </reviewItem>
    <reviewItem>
      <errorID>b8943dae-9da6-4071-9ecb-dfd763a9e834</errorID>
      <errorWord>“</errorWord>
      <group>L1_Punc</group>
      <groupName>标点问题</groupName>
      <ability>L2_Punc_CN</ability>
      <abilityName/>
      <candidateList/>
      <explain>此处标点可能未正确匹配，请检查句子中是否存在标点冗余、缺失或使用错误的情况。</explain>
      <paraID>46F73ED7</paraID>
      <start>297</start>
      <end>298</end>
      <status>ignored</status>
      <modifiedWord/>
      <trackRevisions>false</trackRevisions>
    </reviewItem>
    <reviewItem>
      <errorID>99c93114-97cc-40dd-ad4d-f83c14e2d845</errorID>
      <errorWord>90万元</errorWord>
      <group>L1_Other</group>
      <groupName>其他问题</groupName>
      <ability>L2_Consistency</ability>
      <abilityName>一致性检查</abilityName>
      <candidateList>
        <item/>
      </candidateList>
      <explain>数字一致性：文本中提到“赔付合同款金额的3倍赔偿款90万元”，但未明确合同金额，无法确定“90万元”是否为合同款金额的3倍</explain>
      <paraID>46F73ED7</paraID>
      <start>435</start>
      <end>439</end>
      <status>ignored</status>
      <modifiedWord/>
      <trackRevisions>false</trackRevisions>
    </reviewItem>
    <reviewItem>
      <errorID>71ed72a4-debb-494a-becb-7090ec251a28</errorID>
      <errorWord>并接受</errorWord>
      <group>L1_Grammar</group>
      <groupName>语法问题</groupName>
      <ability>L2_Grammar</ability>
      <abilityName>语法错误</abilityName>
      <candidateList>
        <item>，</item>
      </candidateList>
      <explain/>
      <paraID>46F73ED7</paraID>
      <start>628</start>
      <end>631</end>
      <status>ignored</status>
      <modifiedWord/>
      <trackRevisions>false</trackRevisions>
    </reviewItem>
    <reviewItem>
      <errorID>0627ba68-07c3-4a36-bc7d-485c2f936536</errorID>
      <errorWord>~</errorWord>
      <group>L1_Format</group>
      <groupName>格式问题</groupName>
      <ability>L2_HalfPunc_CN</ability>
      <abilityName/>
      <candidateList>
        <item>～</item>
      </candidateList>
      <explain>文本全半角错误。</explain>
      <paraID>46F73ED7</paraID>
      <start>640</start>
      <end>641</end>
      <status>modified</status>
      <modifiedWord>～</modifiedWord>
      <trackRevisions>false</trackRevisions>
    </reviewItem>
    <reviewItem>
      <errorID>c4271430-bfe4-4293-9d1d-3dc537da3206</errorID>
      <errorWord>内</errorWord>
      <group>L1_Word</group>
      <groupName>字词问题</groupName>
      <ability>L2_Typo</ability>
      <abilityName>字词错误</abilityName>
      <candidateList>
        <item>项</item>
      </candidateList>
      <explain/>
      <paraID>46F73ED7</paraID>
      <start>644</start>
      <end>645</end>
      <status>ignored</status>
      <modifiedWord/>
      <trackRevisions>false</trackRevisions>
    </reviewItem>
    <reviewItem>
      <errorID>9319b1cb-be4a-4c29-abb7-e7487f627642</errorID>
      <errorWord>将</errorWord>
      <group>L1_Word</group>
      <groupName>字词问题</groupName>
      <ability>L2_Typo</ability>
      <abilityName>字词错误</abilityName>
      <candidateList>
        <item>对</item>
      </candidateList>
      <explain/>
      <paraID>46F73ED7</paraID>
      <start>678</start>
      <end>679</end>
      <status>ignored</status>
      <modifiedWord/>
      <trackRevisions>false</trackRevisions>
    </reviewItem>
    <reviewItem>
      <errorID>27adfa3d-b319-4a62-a240-368a12190a10</errorID>
      <errorWord>申述</errorWord>
      <group>L1_Word</group>
      <groupName>字词问题</groupName>
      <ability>L2_Typo</ability>
      <abilityName>字词错误</abilityName>
      <candidateList>
        <item>申诉</item>
      </candidateList>
      <explain/>
      <paraID>46F73ED7</paraID>
      <start>746</start>
      <end>748</end>
      <status>modified</status>
      <modifiedWord>申诉</modifiedWord>
      <trackRevisions>false</trackRevisions>
    </reviewItem>
  </reviewItems>
  <config/>
</contractReview>
</file>

<file path=customXml/itemProps1.xml><?xml version="1.0" encoding="utf-8"?>
<ds:datastoreItem xmlns:ds="http://schemas.openxmlformats.org/officeDocument/2006/customXml" ds:itemID="{6df0c549-70af-4a52-a598-7af105dfd094}">
  <ds:schemaRefs/>
</ds:datastoreItem>
</file>

<file path=docProps/app.xml><?xml version="1.0" encoding="utf-8"?>
<Properties xmlns="http://schemas.openxmlformats.org/officeDocument/2006/extended-properties" xmlns:vt="http://schemas.openxmlformats.org/officeDocument/2006/docPropsVTypes">
  <Template>Normal</Template>
  <Pages>7</Pages>
  <Words>6099</Words>
  <Characters>7172</Characters>
  <Lines>71</Lines>
  <Paragraphs>20</Paragraphs>
  <TotalTime>25</TotalTime>
  <ScaleCrop>false</ScaleCrop>
  <LinksUpToDate>false</LinksUpToDate>
  <CharactersWithSpaces>7205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2025-04-07T03:26:00Z</dcterms:created>
  <dc:creator>Lenovo</dc:creator>
  <cp:lastModifiedBy>静</cp:lastModifiedBy>
  <dcterms:modified xsi:type="dcterms:W3CDTF">2026-05-19T02:04:17Z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64532850EDEB41DFA9118B0F41B6A765_13</vt:lpwstr>
  </property>
  <property fmtid="{D5CDD505-2E9C-101B-9397-08002B2CF9AE}" pid="4" name="KSOTemplateDocerSaveRecord">
    <vt:lpwstr>eyJoZGlkIjoiNDQ1NDJiZGRlOGY2ZTkxMjk1NmZkNGMwMWJkZjJhZmQiLCJ1c2VySWQiOiIzOTM1MjI4MzEifQ==</vt:lpwstr>
  </property>
</Properties>
</file>