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7830E">
      <w:pPr>
        <w:widowControl/>
        <w:ind w:left="94" w:leftChars="45"/>
        <w:jc w:val="center"/>
        <w:textAlignment w:val="center"/>
        <w:rPr>
          <w:rFonts w:hint="eastAsia" w:ascii="宋体" w:hAnsi="宋体" w:eastAsia="宋体" w:cs="宋体"/>
          <w:color w:val="auto"/>
          <w:sz w:val="44"/>
          <w:szCs w:val="44"/>
          <w:highlight w:val="none"/>
        </w:rPr>
      </w:pPr>
    </w:p>
    <w:p w14:paraId="7335BB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77FAE7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auto"/>
          <w:sz w:val="84"/>
          <w:szCs w:val="84"/>
          <w:highlight w:val="none"/>
        </w:rPr>
      </w:pPr>
      <w:r>
        <w:rPr>
          <w:rFonts w:hint="eastAsia" w:ascii="宋体" w:hAnsi="宋体" w:cs="宋体"/>
          <w:b w:val="0"/>
          <w:bCs w:val="0"/>
          <w:color w:val="auto"/>
          <w:sz w:val="84"/>
          <w:szCs w:val="84"/>
          <w:highlight w:val="none"/>
          <w:lang w:val="en-US" w:eastAsia="zh-CN"/>
        </w:rPr>
        <w:t>在线询价采购</w:t>
      </w:r>
      <w:r>
        <w:rPr>
          <w:rFonts w:hint="eastAsia" w:ascii="宋体" w:hAnsi="宋体" w:eastAsia="宋体" w:cs="宋体"/>
          <w:b w:val="0"/>
          <w:bCs w:val="0"/>
          <w:color w:val="auto"/>
          <w:sz w:val="84"/>
          <w:szCs w:val="84"/>
          <w:highlight w:val="none"/>
        </w:rPr>
        <w:t>文件</w:t>
      </w:r>
    </w:p>
    <w:p w14:paraId="5F51525B">
      <w:pPr>
        <w:numPr>
          <w:ilvl w:val="0"/>
          <w:numId w:val="0"/>
        </w:numPr>
        <w:tabs>
          <w:tab w:val="left" w:pos="1440"/>
        </w:tabs>
        <w:spacing w:line="570" w:lineRule="exact"/>
        <w:jc w:val="both"/>
        <w:rPr>
          <w:rFonts w:hint="eastAsia" w:ascii="宋体" w:hAnsi="宋体" w:cs="宋体"/>
          <w:b/>
          <w:bCs/>
          <w:color w:val="000000"/>
          <w:kern w:val="0"/>
          <w:sz w:val="28"/>
          <w:szCs w:val="28"/>
          <w:lang w:val="en-US" w:eastAsia="zh-CN" w:bidi="ar"/>
        </w:rPr>
      </w:pPr>
    </w:p>
    <w:p w14:paraId="42E504FA">
      <w:pPr>
        <w:numPr>
          <w:ilvl w:val="0"/>
          <w:numId w:val="0"/>
        </w:numPr>
        <w:tabs>
          <w:tab w:val="left" w:pos="1440"/>
        </w:tabs>
        <w:spacing w:line="570" w:lineRule="exact"/>
        <w:jc w:val="both"/>
        <w:rPr>
          <w:rFonts w:hint="eastAsia" w:ascii="宋体" w:hAnsi="宋体" w:cs="宋体"/>
          <w:b/>
          <w:bCs/>
          <w:color w:val="000000"/>
          <w:kern w:val="0"/>
          <w:sz w:val="28"/>
          <w:szCs w:val="28"/>
          <w:lang w:val="en-US" w:eastAsia="zh-CN" w:bidi="ar"/>
        </w:rPr>
      </w:pPr>
    </w:p>
    <w:p w14:paraId="3AA7AB49">
      <w:pPr>
        <w:numPr>
          <w:ilvl w:val="0"/>
          <w:numId w:val="0"/>
        </w:numPr>
        <w:tabs>
          <w:tab w:val="left" w:pos="1440"/>
        </w:tabs>
        <w:spacing w:line="570" w:lineRule="exact"/>
        <w:ind w:left="1606" w:hanging="1606" w:hangingChars="500"/>
        <w:jc w:val="both"/>
        <w:rPr>
          <w:rFonts w:hint="eastAsia" w:ascii="宋体" w:hAnsi="宋体" w:cs="宋体"/>
          <w:b/>
          <w:bCs/>
          <w:color w:val="000000"/>
          <w:kern w:val="0"/>
          <w:sz w:val="32"/>
          <w:szCs w:val="32"/>
          <w:lang w:val="en-US" w:eastAsia="zh-CN" w:bidi="ar"/>
        </w:rPr>
      </w:pPr>
    </w:p>
    <w:p w14:paraId="24E426AA">
      <w:pPr>
        <w:numPr>
          <w:ilvl w:val="0"/>
          <w:numId w:val="0"/>
        </w:numPr>
        <w:tabs>
          <w:tab w:val="left" w:pos="1440"/>
        </w:tabs>
        <w:spacing w:line="570" w:lineRule="exact"/>
        <w:ind w:left="1606" w:hanging="1807" w:hangingChars="500"/>
        <w:jc w:val="both"/>
        <w:rPr>
          <w:rFonts w:hint="eastAsia" w:ascii="宋体" w:hAnsi="宋体" w:cs="宋体"/>
          <w:b/>
          <w:bCs/>
          <w:color w:val="000000"/>
          <w:kern w:val="0"/>
          <w:sz w:val="36"/>
          <w:szCs w:val="36"/>
          <w:lang w:val="en-US" w:eastAsia="zh-CN" w:bidi="ar"/>
        </w:rPr>
      </w:pPr>
    </w:p>
    <w:p w14:paraId="13A14D02">
      <w:pPr>
        <w:numPr>
          <w:ilvl w:val="0"/>
          <w:numId w:val="0"/>
        </w:numPr>
        <w:tabs>
          <w:tab w:val="left" w:pos="1440"/>
        </w:tabs>
        <w:spacing w:line="570" w:lineRule="exact"/>
        <w:ind w:left="1606" w:hanging="1807" w:hangingChars="500"/>
        <w:jc w:val="both"/>
        <w:rPr>
          <w:rFonts w:hint="eastAsia" w:ascii="宋体" w:hAnsi="宋体" w:cs="宋体"/>
          <w:b/>
          <w:bCs/>
          <w:color w:val="000000"/>
          <w:kern w:val="0"/>
          <w:sz w:val="36"/>
          <w:szCs w:val="36"/>
          <w:lang w:val="en-US" w:eastAsia="zh-CN" w:bidi="ar"/>
        </w:rPr>
      </w:pPr>
    </w:p>
    <w:p w14:paraId="5EF8403C">
      <w:pPr>
        <w:numPr>
          <w:ilvl w:val="0"/>
          <w:numId w:val="0"/>
        </w:numPr>
        <w:tabs>
          <w:tab w:val="left" w:pos="1440"/>
        </w:tabs>
        <w:spacing w:line="570" w:lineRule="exact"/>
        <w:ind w:left="1606" w:hanging="1807" w:hangingChars="500"/>
        <w:jc w:val="both"/>
        <w:rPr>
          <w:rFonts w:hint="eastAsia" w:ascii="Arial" w:hAnsi="Arial" w:eastAsia="宋体" w:cs="Arial"/>
          <w:b/>
          <w:bCs/>
          <w:color w:val="auto"/>
          <w:kern w:val="0"/>
          <w:sz w:val="36"/>
          <w:szCs w:val="36"/>
          <w:lang w:val="en-US" w:eastAsia="zh-CN"/>
        </w:rPr>
      </w:pPr>
      <w:r>
        <w:rPr>
          <w:rFonts w:hint="eastAsia" w:ascii="宋体" w:hAnsi="宋体" w:cs="宋体"/>
          <w:b/>
          <w:bCs/>
          <w:color w:val="000000"/>
          <w:kern w:val="0"/>
          <w:sz w:val="36"/>
          <w:szCs w:val="36"/>
          <w:lang w:val="en-US" w:eastAsia="zh-CN" w:bidi="ar"/>
        </w:rPr>
        <w:t>项目名称：</w:t>
      </w:r>
      <w:r>
        <w:rPr>
          <w:rFonts w:hint="eastAsia" w:ascii="宋体" w:hAnsi="宋体" w:cs="宋体"/>
          <w:b/>
          <w:bCs/>
          <w:color w:val="000000"/>
          <w:kern w:val="0"/>
          <w:sz w:val="36"/>
          <w:szCs w:val="36"/>
          <w:lang w:eastAsia="zh-CN" w:bidi="ar"/>
        </w:rPr>
        <w:t>钦州市外国语学校白石湖校区2间</w:t>
      </w:r>
      <w:r>
        <w:rPr>
          <w:rFonts w:hint="eastAsia" w:ascii="宋体" w:hAnsi="宋体" w:cs="宋体"/>
          <w:b/>
          <w:bCs/>
          <w:color w:val="000000"/>
          <w:kern w:val="0"/>
          <w:sz w:val="36"/>
          <w:szCs w:val="36"/>
          <w:lang w:val="en-US" w:eastAsia="zh-CN" w:bidi="ar"/>
        </w:rPr>
        <w:t>化学</w:t>
      </w:r>
      <w:r>
        <w:rPr>
          <w:rFonts w:hint="eastAsia" w:ascii="宋体" w:hAnsi="宋体" w:cs="宋体"/>
          <w:b/>
          <w:bCs/>
          <w:color w:val="000000"/>
          <w:kern w:val="0"/>
          <w:sz w:val="36"/>
          <w:szCs w:val="36"/>
          <w:lang w:eastAsia="zh-CN" w:bidi="ar"/>
        </w:rPr>
        <w:t>实验室实验桌椅及实验柜等采购项目（2026）</w:t>
      </w:r>
    </w:p>
    <w:p w14:paraId="1486F2CC">
      <w:pPr>
        <w:numPr>
          <w:ilvl w:val="0"/>
          <w:numId w:val="0"/>
        </w:numPr>
        <w:tabs>
          <w:tab w:val="left" w:pos="1440"/>
        </w:tabs>
        <w:spacing w:line="570" w:lineRule="exact"/>
        <w:ind w:firstLine="1968" w:firstLineChars="700"/>
        <w:jc w:val="both"/>
        <w:rPr>
          <w:rFonts w:hint="eastAsia" w:ascii="Arial" w:hAnsi="Arial" w:cs="Arial"/>
          <w:b/>
          <w:bCs/>
          <w:color w:val="auto"/>
          <w:kern w:val="0"/>
          <w:sz w:val="28"/>
          <w:szCs w:val="28"/>
          <w:lang w:val="en-US" w:eastAsia="zh-CN"/>
        </w:rPr>
      </w:pPr>
    </w:p>
    <w:p w14:paraId="0EDA7791">
      <w:pPr>
        <w:numPr>
          <w:ilvl w:val="0"/>
          <w:numId w:val="0"/>
        </w:numPr>
        <w:tabs>
          <w:tab w:val="left" w:pos="1440"/>
        </w:tabs>
        <w:spacing w:line="570" w:lineRule="exact"/>
        <w:ind w:firstLine="1968" w:firstLineChars="700"/>
        <w:jc w:val="both"/>
        <w:rPr>
          <w:rFonts w:hint="eastAsia" w:ascii="Arial" w:hAnsi="Arial" w:cs="Arial"/>
          <w:b/>
          <w:bCs/>
          <w:color w:val="auto"/>
          <w:kern w:val="0"/>
          <w:sz w:val="28"/>
          <w:szCs w:val="28"/>
          <w:lang w:val="en-US" w:eastAsia="zh-CN"/>
        </w:rPr>
      </w:pPr>
    </w:p>
    <w:p w14:paraId="07D81926">
      <w:pPr>
        <w:keepNext w:val="0"/>
        <w:keepLines w:val="0"/>
        <w:widowControl/>
        <w:suppressLineNumbers w:val="0"/>
        <w:jc w:val="center"/>
        <w:rPr>
          <w:rFonts w:hint="eastAsia" w:ascii="宋体" w:hAnsi="宋体" w:eastAsia="宋体" w:cs="宋体"/>
          <w:b/>
          <w:bCs/>
          <w:color w:val="000000"/>
          <w:kern w:val="0"/>
          <w:sz w:val="36"/>
          <w:szCs w:val="36"/>
          <w:lang w:val="en-US" w:eastAsia="zh-CN" w:bidi="ar"/>
        </w:rPr>
      </w:pPr>
    </w:p>
    <w:p w14:paraId="02A68690">
      <w:pPr>
        <w:keepNext w:val="0"/>
        <w:keepLines w:val="0"/>
        <w:widowControl/>
        <w:suppressLineNumbers w:val="0"/>
        <w:jc w:val="center"/>
        <w:rPr>
          <w:rFonts w:hint="eastAsia" w:ascii="宋体" w:hAnsi="宋体" w:eastAsia="宋体" w:cs="宋体"/>
          <w:b/>
          <w:bCs/>
          <w:color w:val="000000"/>
          <w:kern w:val="0"/>
          <w:sz w:val="36"/>
          <w:szCs w:val="36"/>
          <w:lang w:val="en-US" w:eastAsia="zh-CN" w:bidi="ar"/>
        </w:rPr>
      </w:pPr>
    </w:p>
    <w:p w14:paraId="1D543323">
      <w:pPr>
        <w:keepNext w:val="0"/>
        <w:keepLines w:val="0"/>
        <w:widowControl/>
        <w:suppressLineNumbers w:val="0"/>
        <w:jc w:val="center"/>
        <w:rPr>
          <w:rFonts w:hint="eastAsia" w:ascii="宋体" w:hAnsi="宋体" w:eastAsia="宋体" w:cs="宋体"/>
          <w:b/>
          <w:bCs/>
          <w:color w:val="000000"/>
          <w:kern w:val="0"/>
          <w:sz w:val="36"/>
          <w:szCs w:val="36"/>
          <w:lang w:val="en-US" w:eastAsia="zh-CN" w:bidi="ar"/>
        </w:rPr>
      </w:pPr>
    </w:p>
    <w:p w14:paraId="071A7AB2">
      <w:pPr>
        <w:keepNext w:val="0"/>
        <w:keepLines w:val="0"/>
        <w:widowControl/>
        <w:suppressLineNumbers w:val="0"/>
        <w:jc w:val="center"/>
        <w:rPr>
          <w:rFonts w:hint="eastAsia" w:ascii="宋体" w:hAnsi="宋体" w:eastAsia="宋体" w:cs="宋体"/>
          <w:b/>
          <w:bCs/>
          <w:color w:val="000000"/>
          <w:kern w:val="0"/>
          <w:sz w:val="36"/>
          <w:szCs w:val="36"/>
          <w:lang w:val="en-US" w:eastAsia="zh-CN" w:bidi="ar"/>
        </w:rPr>
      </w:pPr>
    </w:p>
    <w:p w14:paraId="4152903F">
      <w:pPr>
        <w:keepNext w:val="0"/>
        <w:keepLines w:val="0"/>
        <w:widowControl/>
        <w:suppressLineNumbers w:val="0"/>
        <w:jc w:val="center"/>
        <w:rPr>
          <w:rFonts w:hint="eastAsia" w:asciiTheme="majorEastAsia" w:hAnsiTheme="majorEastAsia" w:eastAsiaTheme="majorEastAsia" w:cstheme="majorEastAsia"/>
          <w:b/>
          <w:bCs/>
          <w:color w:val="auto"/>
          <w:kern w:val="0"/>
          <w:sz w:val="44"/>
          <w:szCs w:val="44"/>
          <w:lang w:val="en-US" w:eastAsia="zh-CN"/>
        </w:rPr>
      </w:pPr>
      <w:r>
        <w:rPr>
          <w:rFonts w:hint="eastAsia" w:ascii="宋体" w:hAnsi="宋体" w:eastAsia="宋体" w:cs="宋体"/>
          <w:b/>
          <w:bCs/>
          <w:color w:val="000000"/>
          <w:kern w:val="0"/>
          <w:sz w:val="36"/>
          <w:szCs w:val="36"/>
          <w:lang w:val="en-US" w:eastAsia="zh-CN" w:bidi="ar"/>
        </w:rPr>
        <w:t>采购单位： 钦州市外国语学校</w:t>
      </w:r>
    </w:p>
    <w:p w14:paraId="4D339143">
      <w:pPr>
        <w:numPr>
          <w:ilvl w:val="0"/>
          <w:numId w:val="0"/>
        </w:numPr>
        <w:tabs>
          <w:tab w:val="left" w:pos="1440"/>
        </w:tabs>
        <w:spacing w:line="570" w:lineRule="exact"/>
        <w:ind w:firstLine="2209" w:firstLineChars="500"/>
        <w:jc w:val="both"/>
        <w:rPr>
          <w:rFonts w:hint="eastAsia" w:asciiTheme="majorEastAsia" w:hAnsiTheme="majorEastAsia" w:eastAsiaTheme="majorEastAsia" w:cstheme="majorEastAsia"/>
          <w:b/>
          <w:bCs/>
          <w:color w:val="auto"/>
          <w:kern w:val="0"/>
          <w:sz w:val="44"/>
          <w:szCs w:val="44"/>
          <w:lang w:val="en-US" w:eastAsia="zh-CN"/>
        </w:rPr>
      </w:pPr>
    </w:p>
    <w:p w14:paraId="516745B1">
      <w:pPr>
        <w:numPr>
          <w:ilvl w:val="0"/>
          <w:numId w:val="0"/>
        </w:numPr>
        <w:tabs>
          <w:tab w:val="left" w:pos="1440"/>
        </w:tabs>
        <w:spacing w:line="570" w:lineRule="exact"/>
        <w:ind w:firstLine="3253" w:firstLineChars="900"/>
        <w:jc w:val="both"/>
        <w:rPr>
          <w:rFonts w:hint="eastAsia" w:asciiTheme="majorEastAsia" w:hAnsiTheme="majorEastAsia" w:eastAsiaTheme="majorEastAsia" w:cstheme="majorEastAsia"/>
          <w:b/>
          <w:bCs/>
          <w:color w:val="auto"/>
          <w:kern w:val="0"/>
          <w:sz w:val="36"/>
          <w:szCs w:val="36"/>
          <w:lang w:val="en-US" w:eastAsia="zh-CN"/>
        </w:rPr>
      </w:pPr>
      <w:r>
        <w:rPr>
          <w:rFonts w:hint="eastAsia" w:asciiTheme="majorEastAsia" w:hAnsiTheme="majorEastAsia" w:eastAsiaTheme="majorEastAsia" w:cstheme="majorEastAsia"/>
          <w:b/>
          <w:bCs/>
          <w:color w:val="auto"/>
          <w:kern w:val="0"/>
          <w:sz w:val="36"/>
          <w:szCs w:val="36"/>
          <w:lang w:val="en-US" w:eastAsia="zh-CN"/>
        </w:rPr>
        <w:t>2026年8月</w:t>
      </w:r>
    </w:p>
    <w:p w14:paraId="38100286">
      <w:pPr>
        <w:numPr>
          <w:ilvl w:val="0"/>
          <w:numId w:val="0"/>
        </w:numPr>
        <w:tabs>
          <w:tab w:val="left" w:pos="1440"/>
        </w:tabs>
        <w:spacing w:line="570" w:lineRule="exact"/>
        <w:ind w:firstLine="1968" w:firstLineChars="700"/>
        <w:jc w:val="both"/>
        <w:rPr>
          <w:rFonts w:hint="eastAsia" w:ascii="Arial" w:hAnsi="Arial" w:cs="Arial"/>
          <w:b/>
          <w:bCs/>
          <w:color w:val="auto"/>
          <w:kern w:val="0"/>
          <w:sz w:val="28"/>
          <w:szCs w:val="28"/>
          <w:lang w:val="en-US" w:eastAsia="zh-CN"/>
        </w:rPr>
      </w:pPr>
    </w:p>
    <w:p w14:paraId="429A8EA7">
      <w:pPr>
        <w:numPr>
          <w:ilvl w:val="0"/>
          <w:numId w:val="0"/>
        </w:numPr>
        <w:tabs>
          <w:tab w:val="left" w:pos="1440"/>
        </w:tabs>
        <w:spacing w:line="570" w:lineRule="exact"/>
        <w:jc w:val="center"/>
        <w:rPr>
          <w:rFonts w:hint="eastAsia" w:ascii="Arial" w:hAnsi="Arial" w:cs="Arial"/>
          <w:b/>
          <w:bCs/>
          <w:color w:val="auto"/>
          <w:kern w:val="0"/>
          <w:sz w:val="28"/>
          <w:szCs w:val="28"/>
          <w:lang w:val="en-US" w:eastAsia="zh-CN"/>
        </w:rPr>
      </w:pPr>
    </w:p>
    <w:p w14:paraId="699F014D">
      <w:pPr>
        <w:numPr>
          <w:ilvl w:val="0"/>
          <w:numId w:val="0"/>
        </w:numPr>
        <w:tabs>
          <w:tab w:val="left" w:pos="1440"/>
        </w:tabs>
        <w:spacing w:line="570" w:lineRule="exact"/>
        <w:jc w:val="center"/>
        <w:rPr>
          <w:rFonts w:hint="eastAsia" w:ascii="Arial" w:hAnsi="Arial" w:cs="Arial"/>
          <w:b/>
          <w:bCs/>
          <w:color w:val="auto"/>
          <w:kern w:val="0"/>
          <w:sz w:val="28"/>
          <w:szCs w:val="28"/>
          <w:lang w:val="en-US" w:eastAsia="zh-CN"/>
        </w:rPr>
      </w:pPr>
    </w:p>
    <w:p w14:paraId="6CF85FC6">
      <w:pPr>
        <w:numPr>
          <w:ilvl w:val="0"/>
          <w:numId w:val="0"/>
        </w:numPr>
        <w:tabs>
          <w:tab w:val="left" w:pos="1440"/>
        </w:tabs>
        <w:spacing w:line="570" w:lineRule="exact"/>
        <w:jc w:val="center"/>
        <w:rPr>
          <w:rFonts w:hint="eastAsia" w:ascii="Arial" w:hAnsi="Arial" w:cs="Arial"/>
          <w:b/>
          <w:bCs/>
          <w:color w:val="auto"/>
          <w:kern w:val="0"/>
          <w:sz w:val="28"/>
          <w:szCs w:val="28"/>
          <w:lang w:val="en-US" w:eastAsia="zh-CN"/>
        </w:rPr>
      </w:pPr>
    </w:p>
    <w:p w14:paraId="35A3FC01">
      <w:pPr>
        <w:numPr>
          <w:ilvl w:val="0"/>
          <w:numId w:val="0"/>
        </w:numPr>
        <w:tabs>
          <w:tab w:val="left" w:pos="1440"/>
        </w:tabs>
        <w:spacing w:line="570" w:lineRule="exact"/>
        <w:jc w:val="center"/>
        <w:rPr>
          <w:rFonts w:hint="eastAsia" w:ascii="Arial" w:hAnsi="Arial" w:cs="Arial"/>
          <w:b/>
          <w:bCs/>
          <w:color w:val="auto"/>
          <w:kern w:val="0"/>
          <w:sz w:val="28"/>
          <w:szCs w:val="28"/>
          <w:lang w:val="en-US" w:eastAsia="zh-CN"/>
        </w:rPr>
      </w:pPr>
    </w:p>
    <w:p w14:paraId="3F512906">
      <w:pPr>
        <w:jc w:val="center"/>
        <w:rPr>
          <w:rFonts w:hint="eastAsia" w:ascii="Times New Roman" w:hAnsi="Times New Roman"/>
          <w:b/>
          <w:color w:val="auto"/>
          <w:kern w:val="0"/>
          <w:sz w:val="48"/>
          <w:szCs w:val="48"/>
        </w:rPr>
      </w:pPr>
      <w:r>
        <w:rPr>
          <w:rFonts w:hint="eastAsia" w:ascii="Times New Roman" w:hAnsi="Times New Roman"/>
          <w:b/>
          <w:color w:val="auto"/>
          <w:kern w:val="0"/>
          <w:sz w:val="48"/>
          <w:szCs w:val="48"/>
        </w:rPr>
        <w:t>目</w:t>
      </w:r>
      <w:r>
        <w:rPr>
          <w:rFonts w:ascii="Times New Roman" w:hAnsi="Times New Roman"/>
          <w:b/>
          <w:color w:val="auto"/>
          <w:kern w:val="0"/>
          <w:sz w:val="48"/>
          <w:szCs w:val="48"/>
        </w:rPr>
        <w:t xml:space="preserve">     </w:t>
      </w:r>
      <w:r>
        <w:rPr>
          <w:rFonts w:hint="eastAsia" w:ascii="Times New Roman" w:hAnsi="Times New Roman"/>
          <w:b/>
          <w:color w:val="auto"/>
          <w:kern w:val="0"/>
          <w:sz w:val="48"/>
          <w:szCs w:val="48"/>
        </w:rPr>
        <w:t>录</w:t>
      </w:r>
    </w:p>
    <w:p w14:paraId="7C6B16EF">
      <w:pPr>
        <w:numPr>
          <w:ilvl w:val="0"/>
          <w:numId w:val="0"/>
        </w:numPr>
        <w:tabs>
          <w:tab w:val="left" w:pos="1440"/>
        </w:tabs>
        <w:spacing w:line="570" w:lineRule="exact"/>
        <w:jc w:val="center"/>
        <w:rPr>
          <w:rFonts w:hint="eastAsia" w:ascii="Arial" w:hAnsi="Arial" w:cs="Arial"/>
          <w:b/>
          <w:bCs/>
          <w:color w:val="auto"/>
          <w:kern w:val="0"/>
          <w:sz w:val="28"/>
          <w:szCs w:val="28"/>
          <w:lang w:val="en-US" w:eastAsia="zh-CN"/>
        </w:rPr>
      </w:pPr>
    </w:p>
    <w:p w14:paraId="10D420C8">
      <w:pPr>
        <w:numPr>
          <w:ilvl w:val="0"/>
          <w:numId w:val="1"/>
        </w:numPr>
        <w:tabs>
          <w:tab w:val="left" w:pos="1440"/>
        </w:tabs>
        <w:spacing w:line="570" w:lineRule="exact"/>
        <w:jc w:val="both"/>
        <w:rPr>
          <w:rFonts w:hint="eastAsia" w:ascii="Arial" w:hAnsi="Arial" w:eastAsia="宋体" w:cs="Arial"/>
          <w:b/>
          <w:bCs/>
          <w:color w:val="auto"/>
          <w:kern w:val="0"/>
          <w:sz w:val="28"/>
          <w:szCs w:val="28"/>
          <w:lang w:val="en-US" w:eastAsia="zh-CN"/>
        </w:rPr>
      </w:pPr>
      <w:r>
        <w:rPr>
          <w:rFonts w:hint="eastAsia" w:ascii="Arial" w:hAnsi="Arial" w:cs="Arial"/>
          <w:b/>
          <w:bCs/>
          <w:color w:val="auto"/>
          <w:kern w:val="0"/>
          <w:sz w:val="28"/>
          <w:szCs w:val="28"/>
          <w:lang w:val="en-US" w:eastAsia="zh-CN"/>
        </w:rPr>
        <w:t xml:space="preserve"> </w:t>
      </w:r>
      <w:r>
        <w:rPr>
          <w:rFonts w:hint="eastAsia" w:ascii="Arial" w:hAnsi="Arial" w:eastAsia="宋体" w:cs="Arial"/>
          <w:b/>
          <w:bCs/>
          <w:color w:val="auto"/>
          <w:kern w:val="0"/>
          <w:sz w:val="28"/>
          <w:szCs w:val="28"/>
          <w:lang w:val="en-US" w:eastAsia="zh-CN"/>
        </w:rPr>
        <w:t>项目基本情况.....................................................................1</w:t>
      </w:r>
    </w:p>
    <w:p w14:paraId="15BECE51">
      <w:pPr>
        <w:numPr>
          <w:ilvl w:val="0"/>
          <w:numId w:val="1"/>
        </w:numPr>
        <w:tabs>
          <w:tab w:val="left" w:pos="1440"/>
        </w:tabs>
        <w:spacing w:line="570" w:lineRule="exact"/>
        <w:jc w:val="both"/>
        <w:rPr>
          <w:rFonts w:hint="default" w:ascii="Arial" w:hAnsi="Arial" w:eastAsia="宋体" w:cs="Arial"/>
          <w:b/>
          <w:bCs/>
          <w:color w:val="auto"/>
          <w:kern w:val="0"/>
          <w:sz w:val="28"/>
          <w:szCs w:val="28"/>
          <w:lang w:val="en-US" w:eastAsia="zh-CN"/>
        </w:rPr>
      </w:pPr>
      <w:r>
        <w:rPr>
          <w:rFonts w:hint="eastAsia" w:ascii="Arial" w:hAnsi="Arial" w:eastAsia="宋体" w:cs="Arial"/>
          <w:b/>
          <w:bCs/>
          <w:color w:val="auto"/>
          <w:kern w:val="0"/>
          <w:sz w:val="28"/>
          <w:szCs w:val="28"/>
          <w:lang w:val="en-US" w:eastAsia="zh-CN"/>
        </w:rPr>
        <w:t xml:space="preserve"> 采购需求............................................................................</w:t>
      </w:r>
      <w:r>
        <w:rPr>
          <w:rFonts w:hint="eastAsia" w:ascii="Arial" w:hAnsi="Arial" w:cs="Arial"/>
          <w:b/>
          <w:bCs/>
          <w:color w:val="auto"/>
          <w:kern w:val="0"/>
          <w:sz w:val="28"/>
          <w:szCs w:val="28"/>
          <w:lang w:val="en-US" w:eastAsia="zh-CN"/>
        </w:rPr>
        <w:t>5</w:t>
      </w:r>
    </w:p>
    <w:p w14:paraId="32B07701">
      <w:pPr>
        <w:numPr>
          <w:ilvl w:val="0"/>
          <w:numId w:val="1"/>
        </w:numPr>
        <w:tabs>
          <w:tab w:val="left" w:pos="1440"/>
        </w:tabs>
        <w:spacing w:line="570" w:lineRule="exact"/>
        <w:jc w:val="both"/>
        <w:rPr>
          <w:rFonts w:hint="default" w:ascii="Arial" w:hAnsi="Arial" w:eastAsia="宋体" w:cs="Arial"/>
          <w:b/>
          <w:bCs/>
          <w:color w:val="auto"/>
          <w:kern w:val="0"/>
          <w:sz w:val="28"/>
          <w:szCs w:val="28"/>
          <w:lang w:val="en-US" w:eastAsia="zh-CN"/>
        </w:rPr>
      </w:pPr>
      <w:r>
        <w:rPr>
          <w:rFonts w:hint="eastAsia" w:ascii="Arial" w:hAnsi="Arial" w:eastAsia="宋体" w:cs="Arial"/>
          <w:b/>
          <w:bCs/>
          <w:color w:val="auto"/>
          <w:kern w:val="0"/>
          <w:sz w:val="28"/>
          <w:szCs w:val="28"/>
          <w:lang w:val="en-US" w:eastAsia="zh-CN"/>
        </w:rPr>
        <w:t xml:space="preserve"> 竞价响应文件组成.............................................................</w:t>
      </w:r>
      <w:r>
        <w:rPr>
          <w:rFonts w:hint="eastAsia" w:ascii="Arial" w:hAnsi="Arial" w:cs="Arial"/>
          <w:b/>
          <w:bCs/>
          <w:color w:val="auto"/>
          <w:kern w:val="0"/>
          <w:sz w:val="28"/>
          <w:szCs w:val="28"/>
          <w:highlight w:val="none"/>
          <w:lang w:val="en-US" w:eastAsia="zh-CN"/>
        </w:rPr>
        <w:t>32</w:t>
      </w:r>
    </w:p>
    <w:p w14:paraId="0DD8AAE8">
      <w:pPr>
        <w:numPr>
          <w:ilvl w:val="0"/>
          <w:numId w:val="0"/>
        </w:numPr>
        <w:tabs>
          <w:tab w:val="left" w:pos="1440"/>
        </w:tabs>
        <w:spacing w:line="570" w:lineRule="exact"/>
        <w:jc w:val="both"/>
        <w:rPr>
          <w:rFonts w:hint="default" w:ascii="黑体" w:hAnsi="黑体" w:eastAsia="黑体" w:cs="黑体"/>
          <w:b w:val="0"/>
          <w:bCs w:val="0"/>
          <w:color w:val="auto"/>
          <w:sz w:val="32"/>
          <w:szCs w:val="32"/>
          <w:highlight w:val="none"/>
          <w:lang w:val="en-US" w:eastAsia="zh-CN"/>
        </w:rPr>
        <w:sectPr>
          <w:footerReference r:id="rId3" w:type="default"/>
          <w:pgSz w:w="11910" w:h="16840"/>
          <w:pgMar w:top="1340" w:right="1500" w:bottom="280" w:left="1680" w:header="720" w:footer="720" w:gutter="0"/>
          <w:pgNumType w:fmt="decimal" w:start="1"/>
          <w:cols w:space="720" w:num="1"/>
        </w:sectPr>
      </w:pPr>
      <w:r>
        <w:rPr>
          <w:rFonts w:hint="eastAsia" w:ascii="Arial" w:hAnsi="Arial" w:cs="Arial"/>
          <w:b/>
          <w:bCs/>
          <w:color w:val="auto"/>
          <w:kern w:val="0"/>
          <w:sz w:val="28"/>
          <w:szCs w:val="28"/>
          <w:lang w:val="en-US" w:eastAsia="zh-CN"/>
        </w:rPr>
        <w:t xml:space="preserve">第四章  </w:t>
      </w:r>
      <w:r>
        <w:rPr>
          <w:rFonts w:hint="eastAsia" w:ascii="宋体" w:hAnsi="宋体" w:eastAsia="宋体" w:cs="宋体"/>
          <w:b/>
          <w:bCs/>
          <w:color w:val="auto"/>
          <w:sz w:val="32"/>
          <w:szCs w:val="32"/>
          <w:highlight w:val="none"/>
          <w:lang w:val="en-US" w:eastAsia="zh-CN"/>
        </w:rPr>
        <w:t>响应文件格式</w:t>
      </w:r>
      <w:r>
        <w:rPr>
          <w:rFonts w:hint="eastAsia" w:ascii="Arial" w:hAnsi="Arial" w:eastAsia="宋体" w:cs="Arial"/>
          <w:b/>
          <w:bCs/>
          <w:color w:val="auto"/>
          <w:kern w:val="0"/>
          <w:sz w:val="28"/>
          <w:szCs w:val="28"/>
          <w:lang w:val="en-US" w:eastAsia="zh-CN"/>
        </w:rPr>
        <w:t>......................................................</w:t>
      </w:r>
      <w:r>
        <w:rPr>
          <w:rFonts w:hint="eastAsia" w:ascii="Arial" w:hAnsi="Arial" w:cs="Arial"/>
          <w:b/>
          <w:bCs/>
          <w:color w:val="auto"/>
          <w:kern w:val="0"/>
          <w:sz w:val="28"/>
          <w:szCs w:val="28"/>
          <w:lang w:val="en-US" w:eastAsia="zh-CN"/>
        </w:rPr>
        <w:t>....</w:t>
      </w:r>
      <w:r>
        <w:rPr>
          <w:rFonts w:hint="eastAsia" w:ascii="Arial" w:hAnsi="Arial" w:eastAsia="宋体" w:cs="Arial"/>
          <w:b/>
          <w:bCs/>
          <w:color w:val="auto"/>
          <w:kern w:val="0"/>
          <w:sz w:val="28"/>
          <w:szCs w:val="28"/>
          <w:lang w:val="en-US" w:eastAsia="zh-CN"/>
        </w:rPr>
        <w:t>.......</w:t>
      </w:r>
      <w:r>
        <w:rPr>
          <w:rFonts w:hint="eastAsia" w:ascii="Arial" w:hAnsi="Arial" w:cs="Arial"/>
          <w:b/>
          <w:bCs/>
          <w:color w:val="auto"/>
          <w:kern w:val="0"/>
          <w:sz w:val="28"/>
          <w:szCs w:val="28"/>
          <w:highlight w:val="none"/>
          <w:lang w:val="en-US" w:eastAsia="zh-CN"/>
        </w:rPr>
        <w:t>34</w:t>
      </w:r>
    </w:p>
    <w:p w14:paraId="5C5ECD56">
      <w:pPr>
        <w:jc w:val="center"/>
        <w:rPr>
          <w:rFonts w:hint="eastAsia" w:ascii="宋体" w:hAnsi="宋体"/>
          <w:b/>
          <w:color w:val="auto"/>
          <w:kern w:val="0"/>
          <w:sz w:val="36"/>
          <w:szCs w:val="36"/>
        </w:rPr>
      </w:pPr>
      <w:r>
        <w:rPr>
          <w:rFonts w:hint="eastAsia" w:ascii="黑体" w:hAnsi="黑体" w:eastAsia="黑体" w:cs="黑体"/>
          <w:b w:val="0"/>
          <w:bCs w:val="0"/>
          <w:color w:val="auto"/>
          <w:sz w:val="32"/>
          <w:szCs w:val="32"/>
          <w:highlight w:val="none"/>
          <w:lang w:val="en-US" w:eastAsia="zh-CN"/>
        </w:rPr>
        <w:t xml:space="preserve">  </w:t>
      </w:r>
      <w:r>
        <w:rPr>
          <w:rFonts w:hint="eastAsia" w:ascii="Times New Roman" w:hAnsi="Times New Roman"/>
          <w:b/>
          <w:color w:val="auto"/>
          <w:kern w:val="0"/>
          <w:sz w:val="36"/>
          <w:szCs w:val="20"/>
        </w:rPr>
        <w:t>第一章</w:t>
      </w:r>
      <w:r>
        <w:rPr>
          <w:rFonts w:ascii="Times New Roman" w:hAnsi="Times New Roman"/>
          <w:b/>
          <w:color w:val="auto"/>
          <w:kern w:val="0"/>
          <w:sz w:val="36"/>
          <w:szCs w:val="20"/>
        </w:rPr>
        <w:t xml:space="preserve"> </w:t>
      </w:r>
      <w:r>
        <w:rPr>
          <w:rFonts w:hint="eastAsia" w:ascii="Times New Roman" w:hAnsi="Times New Roman" w:eastAsia="宋体" w:cs="Times New Roman"/>
          <w:b/>
          <w:color w:val="auto"/>
          <w:kern w:val="0"/>
          <w:sz w:val="36"/>
          <w:szCs w:val="20"/>
          <w:lang w:val="en-US" w:eastAsia="zh-CN"/>
        </w:rPr>
        <w:t>项目基本情况</w:t>
      </w:r>
    </w:p>
    <w:p w14:paraId="01259A95">
      <w:pPr>
        <w:spacing w:line="360" w:lineRule="auto"/>
        <w:rPr>
          <w:rFonts w:hint="eastAsia" w:ascii="黑体" w:hAnsi="黑体" w:eastAsia="黑体" w:cs="黑体"/>
          <w:b w:val="0"/>
          <w:bCs w:val="0"/>
          <w:color w:val="auto"/>
          <w:sz w:val="32"/>
          <w:szCs w:val="32"/>
          <w:highlight w:val="none"/>
          <w:lang w:val="en-US" w:eastAsia="zh-CN"/>
        </w:rPr>
      </w:pPr>
    </w:p>
    <w:p w14:paraId="0E11B36B">
      <w:pPr>
        <w:spacing w:line="360" w:lineRule="auto"/>
        <w:rPr>
          <w:rFonts w:hint="eastAsia" w:ascii="黑体" w:hAnsi="黑体" w:eastAsia="黑体"/>
          <w:b/>
          <w:bCs/>
          <w:color w:val="auto"/>
          <w:sz w:val="24"/>
          <w:szCs w:val="24"/>
        </w:rPr>
      </w:pPr>
      <w:r>
        <w:rPr>
          <w:rFonts w:hint="eastAsia" w:ascii="黑体" w:hAnsi="黑体" w:eastAsia="黑体"/>
          <w:b/>
          <w:bCs/>
          <w:color w:val="auto"/>
          <w:sz w:val="24"/>
          <w:szCs w:val="24"/>
        </w:rPr>
        <w:t>一、项目基本情况</w:t>
      </w:r>
    </w:p>
    <w:p w14:paraId="1E8044A3">
      <w:pPr>
        <w:spacing w:line="360" w:lineRule="auto"/>
        <w:ind w:firstLine="420" w:firstLineChars="200"/>
        <w:rPr>
          <w:rFonts w:hint="default" w:ascii="宋体" w:hAnsi="宋体"/>
          <w:color w:val="auto"/>
          <w:szCs w:val="21"/>
          <w:u w:val="single"/>
          <w:lang w:val="en-US" w:eastAsia="zh-CN"/>
        </w:rPr>
      </w:pPr>
      <w:r>
        <w:rPr>
          <w:rFonts w:hint="eastAsia" w:ascii="宋体" w:hAnsi="宋体"/>
          <w:color w:val="auto"/>
          <w:szCs w:val="21"/>
        </w:rPr>
        <w:t>项目名称：</w:t>
      </w:r>
      <w:r>
        <w:rPr>
          <w:rFonts w:hint="eastAsia" w:ascii="宋体" w:hAnsi="宋体"/>
          <w:color w:val="auto"/>
          <w:szCs w:val="21"/>
          <w:u w:val="single"/>
          <w:lang w:val="en-US" w:eastAsia="zh-CN"/>
        </w:rPr>
        <w:t>钦州市外国语学校白石湖校区2间化学实验室实验桌椅及实验柜等采购项目（2026）</w:t>
      </w:r>
    </w:p>
    <w:p w14:paraId="50A868BF">
      <w:pPr>
        <w:spacing w:line="360" w:lineRule="auto"/>
        <w:ind w:firstLine="420" w:firstLineChars="200"/>
        <w:rPr>
          <w:rFonts w:hint="default" w:ascii="宋体" w:hAnsi="宋体" w:eastAsia="宋体"/>
          <w:color w:val="auto"/>
          <w:szCs w:val="21"/>
          <w:u w:val="single"/>
          <w:lang w:val="en-US" w:eastAsia="zh-CN"/>
        </w:rPr>
      </w:pPr>
      <w:r>
        <w:rPr>
          <w:rFonts w:hint="eastAsia" w:ascii="宋体" w:hAnsi="宋体"/>
          <w:color w:val="auto"/>
          <w:szCs w:val="21"/>
        </w:rPr>
        <w:t>预算金额：</w:t>
      </w:r>
      <w:r>
        <w:rPr>
          <w:rFonts w:hint="eastAsia" w:ascii="宋体" w:hAnsi="宋体"/>
          <w:color w:val="auto"/>
          <w:szCs w:val="21"/>
          <w:u w:val="single"/>
          <w:lang w:val="en-US" w:eastAsia="zh-CN"/>
        </w:rPr>
        <w:t xml:space="preserve">                   600000.00</w:t>
      </w:r>
      <w:r>
        <w:rPr>
          <w:rFonts w:hint="eastAsia" w:ascii="宋体" w:hAnsi="宋体"/>
          <w:color w:val="auto"/>
          <w:szCs w:val="21"/>
          <w:u w:val="single"/>
        </w:rPr>
        <w:t>元</w:t>
      </w:r>
      <w:r>
        <w:rPr>
          <w:rFonts w:hint="eastAsia" w:ascii="宋体" w:hAnsi="宋体"/>
          <w:color w:val="auto"/>
          <w:szCs w:val="21"/>
          <w:u w:val="single"/>
          <w:lang w:val="en-US" w:eastAsia="zh-CN"/>
        </w:rPr>
        <w:t xml:space="preserve">                       </w:t>
      </w:r>
    </w:p>
    <w:p w14:paraId="0972ACA9">
      <w:pPr>
        <w:spacing w:line="360" w:lineRule="auto"/>
        <w:ind w:firstLine="420" w:firstLineChars="200"/>
        <w:rPr>
          <w:rFonts w:hint="eastAsia" w:ascii="宋体" w:hAnsi="宋体"/>
          <w:color w:val="auto"/>
          <w:szCs w:val="21"/>
        </w:rPr>
      </w:pPr>
      <w:r>
        <w:rPr>
          <w:rFonts w:hint="eastAsia" w:ascii="宋体" w:hAnsi="宋体"/>
          <w:color w:val="auto"/>
          <w:szCs w:val="21"/>
        </w:rPr>
        <w:t xml:space="preserve">采购需求： </w:t>
      </w:r>
      <w:bookmarkStart w:id="0" w:name="PO_3000001867_PM004"/>
    </w:p>
    <w:tbl>
      <w:tblPr>
        <w:tblStyle w:val="6"/>
        <w:tblW w:w="5454" w:type="pct"/>
        <w:tblInd w:w="-2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9"/>
        <w:gridCol w:w="2908"/>
        <w:gridCol w:w="655"/>
        <w:gridCol w:w="718"/>
        <w:gridCol w:w="1116"/>
        <w:gridCol w:w="1872"/>
        <w:gridCol w:w="1308"/>
      </w:tblGrid>
      <w:tr w14:paraId="02E45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7" w:type="pct"/>
            <w:tcBorders>
              <w:top w:val="single" w:color="000000" w:sz="4" w:space="0"/>
              <w:left w:val="single" w:color="000000" w:sz="4" w:space="0"/>
              <w:bottom w:val="single" w:color="000000" w:sz="4" w:space="0"/>
              <w:right w:val="single" w:color="000000" w:sz="4" w:space="0"/>
            </w:tcBorders>
            <w:noWrap w:val="0"/>
            <w:vAlign w:val="center"/>
          </w:tcPr>
          <w:p w14:paraId="5434D1F4">
            <w:pPr>
              <w:spacing w:line="360" w:lineRule="auto"/>
              <w:jc w:val="center"/>
              <w:rPr>
                <w:rFonts w:ascii="宋体" w:hAnsi="宋体"/>
                <w:color w:val="auto"/>
                <w:kern w:val="0"/>
                <w:sz w:val="20"/>
                <w:szCs w:val="21"/>
              </w:rPr>
            </w:pPr>
            <w:r>
              <w:rPr>
                <w:rFonts w:hint="eastAsia" w:ascii="宋体" w:hAnsi="宋体"/>
                <w:color w:val="auto"/>
                <w:kern w:val="0"/>
                <w:sz w:val="20"/>
                <w:szCs w:val="21"/>
              </w:rPr>
              <w:t>序号</w:t>
            </w:r>
          </w:p>
        </w:tc>
        <w:tc>
          <w:tcPr>
            <w:tcW w:w="1563" w:type="pct"/>
            <w:tcBorders>
              <w:top w:val="single" w:color="000000" w:sz="4" w:space="0"/>
              <w:left w:val="single" w:color="000000" w:sz="4" w:space="0"/>
              <w:bottom w:val="single" w:color="000000" w:sz="4" w:space="0"/>
              <w:right w:val="single" w:color="000000" w:sz="4" w:space="0"/>
            </w:tcBorders>
            <w:noWrap w:val="0"/>
            <w:vAlign w:val="center"/>
          </w:tcPr>
          <w:p w14:paraId="1BBB2260">
            <w:pPr>
              <w:spacing w:line="360" w:lineRule="auto"/>
              <w:jc w:val="center"/>
              <w:rPr>
                <w:rFonts w:ascii="宋体" w:hAnsi="宋体"/>
                <w:color w:val="auto"/>
                <w:kern w:val="0"/>
                <w:sz w:val="20"/>
                <w:szCs w:val="21"/>
              </w:rPr>
            </w:pPr>
            <w:r>
              <w:rPr>
                <w:rFonts w:hint="eastAsia" w:ascii="宋体" w:hAnsi="宋体"/>
                <w:color w:val="auto"/>
                <w:kern w:val="0"/>
                <w:sz w:val="20"/>
                <w:szCs w:val="21"/>
              </w:rPr>
              <w:t>名称</w:t>
            </w:r>
          </w:p>
        </w:tc>
        <w:tc>
          <w:tcPr>
            <w:tcW w:w="352" w:type="pct"/>
            <w:tcBorders>
              <w:top w:val="single" w:color="000000" w:sz="4" w:space="0"/>
              <w:left w:val="single" w:color="000000" w:sz="4" w:space="0"/>
              <w:bottom w:val="single" w:color="000000" w:sz="4" w:space="0"/>
              <w:right w:val="single" w:color="000000" w:sz="4" w:space="0"/>
            </w:tcBorders>
            <w:noWrap w:val="0"/>
            <w:vAlign w:val="center"/>
          </w:tcPr>
          <w:p w14:paraId="3BB27736">
            <w:pPr>
              <w:spacing w:line="360" w:lineRule="auto"/>
              <w:jc w:val="center"/>
              <w:rPr>
                <w:rFonts w:ascii="宋体" w:hAnsi="宋体"/>
                <w:color w:val="auto"/>
                <w:kern w:val="0"/>
                <w:sz w:val="20"/>
                <w:szCs w:val="21"/>
              </w:rPr>
            </w:pPr>
            <w:r>
              <w:rPr>
                <w:rFonts w:hint="eastAsia" w:ascii="宋体" w:hAnsi="宋体"/>
                <w:color w:val="auto"/>
                <w:kern w:val="0"/>
                <w:sz w:val="20"/>
                <w:szCs w:val="21"/>
              </w:rPr>
              <w:t>数量</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14:paraId="3F5A33E4">
            <w:pPr>
              <w:spacing w:line="360" w:lineRule="auto"/>
              <w:jc w:val="center"/>
              <w:rPr>
                <w:rFonts w:ascii="宋体" w:hAnsi="宋体"/>
                <w:color w:val="auto"/>
                <w:kern w:val="0"/>
                <w:sz w:val="20"/>
                <w:szCs w:val="21"/>
              </w:rPr>
            </w:pPr>
            <w:r>
              <w:rPr>
                <w:rFonts w:hint="eastAsia" w:ascii="宋体" w:hAnsi="宋体"/>
                <w:color w:val="auto"/>
                <w:kern w:val="0"/>
                <w:sz w:val="20"/>
                <w:szCs w:val="21"/>
              </w:rPr>
              <w:t>单位</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14:paraId="206F8E7C">
            <w:pPr>
              <w:spacing w:line="360" w:lineRule="auto"/>
              <w:jc w:val="center"/>
              <w:rPr>
                <w:rFonts w:ascii="宋体" w:hAnsi="宋体"/>
                <w:color w:val="auto"/>
                <w:kern w:val="0"/>
                <w:sz w:val="20"/>
                <w:szCs w:val="21"/>
              </w:rPr>
            </w:pPr>
            <w:r>
              <w:rPr>
                <w:rFonts w:hint="eastAsia" w:ascii="宋体" w:hAnsi="宋体"/>
                <w:color w:val="auto"/>
                <w:kern w:val="0"/>
                <w:sz w:val="20"/>
                <w:szCs w:val="21"/>
              </w:rPr>
              <w:t>预算金额</w:t>
            </w:r>
          </w:p>
          <w:p w14:paraId="1BEF4F5B">
            <w:pPr>
              <w:spacing w:line="360" w:lineRule="auto"/>
              <w:jc w:val="center"/>
              <w:rPr>
                <w:rFonts w:ascii="宋体" w:hAnsi="宋体"/>
                <w:color w:val="auto"/>
                <w:kern w:val="0"/>
                <w:sz w:val="20"/>
                <w:szCs w:val="21"/>
              </w:rPr>
            </w:pPr>
            <w:r>
              <w:rPr>
                <w:rFonts w:hint="eastAsia" w:ascii="宋体" w:hAnsi="宋体"/>
                <w:color w:val="auto"/>
                <w:kern w:val="0"/>
                <w:sz w:val="20"/>
                <w:szCs w:val="21"/>
              </w:rPr>
              <w:t>(元)</w:t>
            </w:r>
          </w:p>
        </w:tc>
        <w:tc>
          <w:tcPr>
            <w:tcW w:w="1006" w:type="pct"/>
            <w:tcBorders>
              <w:top w:val="single" w:color="000000" w:sz="4" w:space="0"/>
              <w:left w:val="single" w:color="000000" w:sz="4" w:space="0"/>
              <w:bottom w:val="single" w:color="000000" w:sz="4" w:space="0"/>
              <w:right w:val="single" w:color="000000" w:sz="4" w:space="0"/>
            </w:tcBorders>
            <w:noWrap w:val="0"/>
            <w:vAlign w:val="center"/>
          </w:tcPr>
          <w:p w14:paraId="27063FED">
            <w:pPr>
              <w:spacing w:line="360" w:lineRule="auto"/>
              <w:jc w:val="center"/>
              <w:rPr>
                <w:rFonts w:ascii="宋体" w:hAnsi="宋体"/>
                <w:color w:val="auto"/>
                <w:kern w:val="0"/>
                <w:sz w:val="20"/>
                <w:szCs w:val="21"/>
              </w:rPr>
            </w:pPr>
            <w:r>
              <w:rPr>
                <w:rFonts w:hint="eastAsia" w:ascii="宋体" w:hAnsi="宋体"/>
                <w:color w:val="auto"/>
                <w:kern w:val="0"/>
                <w:sz w:val="20"/>
                <w:szCs w:val="21"/>
              </w:rPr>
              <w:t>简要规格描述</w:t>
            </w:r>
          </w:p>
          <w:p w14:paraId="423B6BE1">
            <w:pPr>
              <w:spacing w:line="360" w:lineRule="auto"/>
              <w:jc w:val="center"/>
              <w:rPr>
                <w:rFonts w:ascii="宋体" w:hAnsi="宋体"/>
                <w:color w:val="auto"/>
                <w:kern w:val="0"/>
                <w:sz w:val="20"/>
                <w:szCs w:val="21"/>
              </w:rPr>
            </w:pPr>
            <w:r>
              <w:rPr>
                <w:rFonts w:hint="eastAsia" w:ascii="宋体" w:hAnsi="宋体"/>
                <w:color w:val="auto"/>
                <w:kern w:val="0"/>
                <w:sz w:val="20"/>
                <w:szCs w:val="21"/>
              </w:rPr>
              <w:t>或基本概况介绍</w:t>
            </w:r>
          </w:p>
        </w:tc>
        <w:tc>
          <w:tcPr>
            <w:tcW w:w="703" w:type="pct"/>
            <w:tcBorders>
              <w:top w:val="single" w:color="000000" w:sz="4" w:space="0"/>
              <w:left w:val="single" w:color="000000" w:sz="4" w:space="0"/>
              <w:bottom w:val="single" w:color="000000" w:sz="4" w:space="0"/>
              <w:right w:val="single" w:color="000000" w:sz="4" w:space="0"/>
            </w:tcBorders>
            <w:noWrap w:val="0"/>
            <w:vAlign w:val="center"/>
          </w:tcPr>
          <w:p w14:paraId="4600042E">
            <w:pPr>
              <w:spacing w:line="360" w:lineRule="auto"/>
              <w:jc w:val="center"/>
              <w:rPr>
                <w:rFonts w:ascii="宋体" w:hAnsi="宋体"/>
                <w:color w:val="auto"/>
                <w:kern w:val="0"/>
                <w:sz w:val="20"/>
                <w:szCs w:val="21"/>
              </w:rPr>
            </w:pPr>
            <w:r>
              <w:rPr>
                <w:rFonts w:hint="eastAsia" w:ascii="宋体" w:hAnsi="宋体"/>
                <w:color w:val="auto"/>
                <w:kern w:val="0"/>
                <w:sz w:val="20"/>
                <w:szCs w:val="21"/>
              </w:rPr>
              <w:t>最高限价</w:t>
            </w:r>
          </w:p>
          <w:p w14:paraId="7AFFF448">
            <w:pPr>
              <w:spacing w:line="360" w:lineRule="auto"/>
              <w:jc w:val="center"/>
              <w:rPr>
                <w:rFonts w:ascii="宋体" w:hAnsi="宋体"/>
                <w:color w:val="auto"/>
                <w:kern w:val="0"/>
                <w:sz w:val="20"/>
                <w:szCs w:val="21"/>
              </w:rPr>
            </w:pPr>
            <w:r>
              <w:rPr>
                <w:rFonts w:hint="eastAsia" w:ascii="宋体" w:hAnsi="宋体"/>
                <w:color w:val="auto"/>
                <w:kern w:val="0"/>
                <w:sz w:val="20"/>
                <w:szCs w:val="21"/>
              </w:rPr>
              <w:t>(元)</w:t>
            </w:r>
          </w:p>
        </w:tc>
      </w:tr>
      <w:tr w14:paraId="3C4C8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7" w:type="pct"/>
            <w:tcBorders>
              <w:top w:val="single" w:color="000000" w:sz="4" w:space="0"/>
              <w:left w:val="single" w:color="000000" w:sz="4" w:space="0"/>
              <w:bottom w:val="single" w:color="000000" w:sz="4" w:space="0"/>
              <w:right w:val="single" w:color="000000" w:sz="4" w:space="0"/>
            </w:tcBorders>
            <w:noWrap w:val="0"/>
            <w:vAlign w:val="center"/>
          </w:tcPr>
          <w:p w14:paraId="078A59C7">
            <w:pPr>
              <w:spacing w:line="360" w:lineRule="auto"/>
              <w:jc w:val="center"/>
              <w:rPr>
                <w:rFonts w:ascii="宋体" w:hAnsi="宋体"/>
                <w:color w:val="auto"/>
                <w:kern w:val="0"/>
                <w:sz w:val="20"/>
                <w:szCs w:val="21"/>
              </w:rPr>
            </w:pPr>
            <w:r>
              <w:rPr>
                <w:rFonts w:hint="eastAsia" w:ascii="宋体" w:hAnsi="宋体"/>
                <w:color w:val="auto"/>
                <w:kern w:val="0"/>
                <w:sz w:val="20"/>
                <w:szCs w:val="21"/>
              </w:rPr>
              <w:t>1</w:t>
            </w:r>
          </w:p>
        </w:tc>
        <w:tc>
          <w:tcPr>
            <w:tcW w:w="1563" w:type="pct"/>
            <w:tcBorders>
              <w:top w:val="single" w:color="000000" w:sz="4" w:space="0"/>
              <w:left w:val="single" w:color="000000" w:sz="4" w:space="0"/>
              <w:bottom w:val="single" w:color="000000" w:sz="4" w:space="0"/>
              <w:right w:val="single" w:color="000000" w:sz="4" w:space="0"/>
            </w:tcBorders>
            <w:noWrap w:val="0"/>
            <w:vAlign w:val="center"/>
          </w:tcPr>
          <w:p w14:paraId="255329FE">
            <w:pPr>
              <w:spacing w:line="360" w:lineRule="auto"/>
              <w:jc w:val="center"/>
              <w:rPr>
                <w:rFonts w:hint="default" w:ascii="宋体" w:hAnsi="宋体"/>
                <w:color w:val="auto"/>
                <w:szCs w:val="21"/>
                <w:u w:val="none"/>
                <w:lang w:val="en-US" w:eastAsia="zh-CN"/>
              </w:rPr>
            </w:pPr>
            <w:r>
              <w:rPr>
                <w:rFonts w:hint="eastAsia" w:ascii="宋体" w:hAnsi="宋体"/>
                <w:color w:val="auto"/>
                <w:szCs w:val="21"/>
                <w:u w:val="none"/>
                <w:lang w:val="en-US" w:eastAsia="zh-CN"/>
              </w:rPr>
              <w:t>钦州市外国语学校白石湖校区2间化学理实验室实验桌椅及实验柜等采购项目（2026）</w:t>
            </w:r>
          </w:p>
        </w:tc>
        <w:tc>
          <w:tcPr>
            <w:tcW w:w="352" w:type="pct"/>
            <w:tcBorders>
              <w:top w:val="single" w:color="000000" w:sz="4" w:space="0"/>
              <w:left w:val="single" w:color="000000" w:sz="4" w:space="0"/>
              <w:bottom w:val="single" w:color="000000" w:sz="4" w:space="0"/>
              <w:right w:val="single" w:color="000000" w:sz="4" w:space="0"/>
            </w:tcBorders>
            <w:noWrap w:val="0"/>
            <w:vAlign w:val="center"/>
          </w:tcPr>
          <w:p w14:paraId="462752B0">
            <w:pPr>
              <w:spacing w:line="360" w:lineRule="auto"/>
              <w:jc w:val="center"/>
              <w:rPr>
                <w:rFonts w:hint="default" w:ascii="宋体" w:hAnsi="宋体" w:eastAsia="宋体"/>
                <w:color w:val="auto"/>
                <w:kern w:val="0"/>
                <w:sz w:val="20"/>
                <w:szCs w:val="21"/>
                <w:lang w:val="en-US" w:eastAsia="zh-CN"/>
              </w:rPr>
            </w:pPr>
            <w:r>
              <w:rPr>
                <w:rFonts w:hint="eastAsia" w:ascii="宋体" w:hAnsi="宋体"/>
                <w:color w:val="auto"/>
                <w:kern w:val="0"/>
                <w:sz w:val="20"/>
                <w:szCs w:val="21"/>
                <w:lang w:val="en-US" w:eastAsia="zh-CN"/>
              </w:rPr>
              <w:t>1</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14:paraId="7B53BD15">
            <w:pPr>
              <w:spacing w:line="360" w:lineRule="auto"/>
              <w:jc w:val="center"/>
              <w:rPr>
                <w:rFonts w:hint="eastAsia" w:ascii="宋体" w:hAnsi="宋体" w:eastAsia="宋体"/>
                <w:color w:val="auto"/>
                <w:kern w:val="0"/>
                <w:sz w:val="20"/>
                <w:szCs w:val="21"/>
                <w:lang w:val="en-US" w:eastAsia="zh-CN"/>
              </w:rPr>
            </w:pPr>
            <w:r>
              <w:rPr>
                <w:rFonts w:hint="eastAsia" w:ascii="宋体" w:hAnsi="宋体"/>
                <w:color w:val="auto"/>
                <w:kern w:val="0"/>
                <w:sz w:val="20"/>
                <w:szCs w:val="21"/>
                <w:lang w:val="en-US" w:eastAsia="zh-CN"/>
              </w:rPr>
              <w:t>批</w:t>
            </w:r>
          </w:p>
        </w:tc>
        <w:tc>
          <w:tcPr>
            <w:tcW w:w="600" w:type="pct"/>
            <w:tcBorders>
              <w:top w:val="single" w:color="000000" w:sz="4" w:space="0"/>
              <w:left w:val="single" w:color="000000" w:sz="4" w:space="0"/>
              <w:bottom w:val="single" w:color="000000" w:sz="4" w:space="0"/>
              <w:right w:val="single" w:color="000000" w:sz="4" w:space="0"/>
            </w:tcBorders>
            <w:noWrap w:val="0"/>
            <w:vAlign w:val="center"/>
          </w:tcPr>
          <w:p w14:paraId="59CBE327">
            <w:pPr>
              <w:spacing w:line="360" w:lineRule="auto"/>
              <w:jc w:val="center"/>
              <w:rPr>
                <w:rFonts w:ascii="宋体" w:hAnsi="宋体"/>
                <w:color w:val="auto"/>
                <w:kern w:val="0"/>
                <w:sz w:val="20"/>
                <w:szCs w:val="21"/>
              </w:rPr>
            </w:pPr>
            <w:r>
              <w:rPr>
                <w:rFonts w:hint="eastAsia" w:ascii="宋体" w:hAnsi="宋体"/>
                <w:color w:val="auto"/>
                <w:kern w:val="0"/>
                <w:sz w:val="20"/>
                <w:szCs w:val="21"/>
                <w:lang w:val="en-US" w:eastAsia="zh-CN"/>
              </w:rPr>
              <w:t>600000</w:t>
            </w:r>
            <w:r>
              <w:rPr>
                <w:rFonts w:hint="eastAsia" w:ascii="宋体" w:hAnsi="宋体"/>
                <w:color w:val="auto"/>
                <w:kern w:val="0"/>
                <w:sz w:val="20"/>
                <w:szCs w:val="21"/>
              </w:rPr>
              <w:t>.00</w:t>
            </w:r>
          </w:p>
        </w:tc>
        <w:tc>
          <w:tcPr>
            <w:tcW w:w="1006" w:type="pct"/>
            <w:tcBorders>
              <w:top w:val="single" w:color="000000" w:sz="4" w:space="0"/>
              <w:left w:val="single" w:color="000000" w:sz="4" w:space="0"/>
              <w:bottom w:val="single" w:color="000000" w:sz="4" w:space="0"/>
              <w:right w:val="single" w:color="000000" w:sz="4" w:space="0"/>
            </w:tcBorders>
            <w:noWrap w:val="0"/>
            <w:vAlign w:val="center"/>
          </w:tcPr>
          <w:p w14:paraId="7D7C265C">
            <w:pPr>
              <w:spacing w:line="360" w:lineRule="auto"/>
              <w:jc w:val="center"/>
              <w:rPr>
                <w:rFonts w:hint="default" w:ascii="宋体" w:hAnsi="宋体" w:eastAsia="宋体"/>
                <w:color w:val="auto"/>
                <w:kern w:val="0"/>
                <w:sz w:val="20"/>
                <w:szCs w:val="21"/>
                <w:lang w:val="en-US" w:eastAsia="zh-CN"/>
              </w:rPr>
            </w:pPr>
            <w:r>
              <w:rPr>
                <w:rFonts w:hint="eastAsia" w:ascii="宋体" w:hAnsi="宋体"/>
                <w:color w:val="auto"/>
                <w:kern w:val="0"/>
                <w:sz w:val="20"/>
                <w:szCs w:val="21"/>
              </w:rPr>
              <w:t>详见</w:t>
            </w:r>
            <w:r>
              <w:rPr>
                <w:rFonts w:hint="eastAsia" w:ascii="宋体" w:hAnsi="宋体"/>
                <w:color w:val="auto"/>
                <w:kern w:val="0"/>
                <w:sz w:val="20"/>
                <w:szCs w:val="21"/>
                <w:lang w:val="en-US" w:eastAsia="zh-CN"/>
              </w:rPr>
              <w:t>第二章采购需求</w:t>
            </w:r>
          </w:p>
        </w:tc>
        <w:tc>
          <w:tcPr>
            <w:tcW w:w="703" w:type="pct"/>
            <w:tcBorders>
              <w:top w:val="single" w:color="000000" w:sz="4" w:space="0"/>
              <w:left w:val="single" w:color="000000" w:sz="4" w:space="0"/>
              <w:bottom w:val="single" w:color="000000" w:sz="4" w:space="0"/>
              <w:right w:val="single" w:color="000000" w:sz="4" w:space="0"/>
            </w:tcBorders>
            <w:noWrap w:val="0"/>
            <w:vAlign w:val="center"/>
          </w:tcPr>
          <w:p w14:paraId="427FDE05">
            <w:pPr>
              <w:spacing w:line="360" w:lineRule="auto"/>
              <w:jc w:val="center"/>
              <w:rPr>
                <w:rFonts w:ascii="宋体" w:hAnsi="宋体"/>
                <w:color w:val="auto"/>
                <w:kern w:val="0"/>
                <w:sz w:val="20"/>
                <w:szCs w:val="21"/>
              </w:rPr>
            </w:pPr>
            <w:r>
              <w:rPr>
                <w:rFonts w:hint="eastAsia" w:ascii="宋体" w:hAnsi="宋体"/>
                <w:color w:val="auto"/>
                <w:kern w:val="0"/>
                <w:sz w:val="20"/>
                <w:szCs w:val="21"/>
                <w:lang w:val="en-US" w:eastAsia="zh-CN"/>
              </w:rPr>
              <w:t>600000</w:t>
            </w:r>
            <w:r>
              <w:rPr>
                <w:rFonts w:hint="eastAsia" w:ascii="宋体" w:hAnsi="宋体"/>
                <w:color w:val="auto"/>
                <w:kern w:val="0"/>
                <w:sz w:val="20"/>
                <w:szCs w:val="21"/>
              </w:rPr>
              <w:t>.00</w:t>
            </w:r>
          </w:p>
        </w:tc>
      </w:tr>
      <w:bookmarkEnd w:id="0"/>
    </w:tbl>
    <w:p w14:paraId="3EE237A5">
      <w:pPr>
        <w:spacing w:line="360" w:lineRule="auto"/>
        <w:ind w:firstLine="420" w:firstLineChars="200"/>
        <w:rPr>
          <w:rFonts w:hint="eastAsia" w:ascii="宋体" w:hAnsi="宋体"/>
          <w:color w:val="auto"/>
          <w:szCs w:val="21"/>
        </w:rPr>
      </w:pPr>
      <w:r>
        <w:rPr>
          <w:rFonts w:hint="eastAsia" w:ascii="宋体" w:hAnsi="宋体"/>
          <w:color w:val="auto"/>
          <w:szCs w:val="21"/>
        </w:rPr>
        <w:t>本项目是否接受联合体投标：否。</w:t>
      </w:r>
    </w:p>
    <w:p w14:paraId="262C421A">
      <w:pPr>
        <w:spacing w:line="360" w:lineRule="auto"/>
        <w:rPr>
          <w:rFonts w:hint="eastAsia" w:ascii="黑体" w:hAnsi="黑体" w:eastAsia="黑体" w:cs="Times New Roman"/>
          <w:b/>
          <w:bCs/>
          <w:color w:val="auto"/>
          <w:sz w:val="24"/>
          <w:szCs w:val="24"/>
          <w:lang w:val="en-US" w:eastAsia="zh-CN"/>
        </w:rPr>
      </w:pPr>
      <w:r>
        <w:rPr>
          <w:rFonts w:hint="eastAsia" w:ascii="黑体" w:hAnsi="黑体" w:eastAsia="黑体" w:cs="Times New Roman"/>
          <w:b/>
          <w:bCs/>
          <w:color w:val="auto"/>
          <w:sz w:val="24"/>
          <w:szCs w:val="24"/>
          <w:lang w:val="en-US" w:eastAsia="zh-CN"/>
        </w:rPr>
        <w:t>二、投标人的资格要求：</w:t>
      </w:r>
    </w:p>
    <w:p w14:paraId="2106CBDF">
      <w:pPr>
        <w:numPr>
          <w:ilvl w:val="0"/>
          <w:numId w:val="0"/>
        </w:num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
          <w:bCs/>
          <w:color w:val="auto"/>
          <w:kern w:val="0"/>
          <w:sz w:val="28"/>
          <w:szCs w:val="28"/>
        </w:rPr>
        <w:t> </w:t>
      </w:r>
      <w:r>
        <w:rPr>
          <w:rFonts w:hint="eastAsia" w:ascii="宋体" w:hAnsi="宋体" w:eastAsia="宋体" w:cs="宋体"/>
          <w:bCs/>
          <w:color w:val="auto"/>
          <w:kern w:val="0"/>
          <w:szCs w:val="21"/>
        </w:rPr>
        <w:t>一、投标人（竞标人/报价人/供应商）资格特定条件：</w:t>
      </w:r>
    </w:p>
    <w:p w14:paraId="5488C10B">
      <w:pPr>
        <w:tabs>
          <w:tab w:val="left" w:pos="1440"/>
        </w:tabs>
        <w:spacing w:line="570" w:lineRule="exact"/>
        <w:ind w:firstLine="210" w:firstLineChars="100"/>
        <w:jc w:val="left"/>
        <w:rPr>
          <w:rFonts w:hint="eastAsia" w:ascii="宋体" w:hAnsi="宋体" w:eastAsia="宋体" w:cs="宋体"/>
          <w:bCs/>
          <w:color w:val="auto"/>
          <w:kern w:val="0"/>
          <w:szCs w:val="21"/>
          <w:highlight w:val="yellow"/>
          <w:u w:val="single"/>
        </w:rPr>
      </w:pPr>
      <w:r>
        <w:rPr>
          <w:rFonts w:hint="eastAsia" w:ascii="宋体" w:hAnsi="宋体" w:eastAsia="宋体" w:cs="宋体"/>
          <w:bCs/>
          <w:color w:val="auto"/>
          <w:kern w:val="0"/>
          <w:szCs w:val="21"/>
        </w:rPr>
        <w:t>1.满足《中华人民共和国政府采购法》第二十二条规定；</w:t>
      </w:r>
    </w:p>
    <w:p w14:paraId="530E9516">
      <w:pPr>
        <w:tabs>
          <w:tab w:val="left" w:pos="1440"/>
        </w:tabs>
        <w:spacing w:line="570" w:lineRule="exact"/>
        <w:ind w:firstLine="210" w:firstLineChars="100"/>
        <w:jc w:val="left"/>
        <w:rPr>
          <w:rFonts w:hint="eastAsia" w:ascii="宋体" w:hAnsi="宋体" w:eastAsia="宋体" w:cs="宋体"/>
          <w:bCs/>
          <w:color w:val="auto"/>
          <w:kern w:val="0"/>
          <w:szCs w:val="21"/>
          <w:u w:val="single"/>
          <w:lang w:eastAsia="zh-CN"/>
        </w:rPr>
      </w:pPr>
      <w:r>
        <w:rPr>
          <w:rFonts w:hint="eastAsia" w:ascii="宋体" w:hAnsi="宋体" w:cs="宋体"/>
          <w:bCs/>
          <w:color w:val="auto"/>
          <w:kern w:val="0"/>
          <w:szCs w:val="21"/>
          <w:lang w:val="en-US" w:eastAsia="zh-CN"/>
        </w:rPr>
        <w:t>2</w:t>
      </w:r>
      <w:r>
        <w:rPr>
          <w:rFonts w:hint="eastAsia" w:ascii="宋体" w:hAnsi="宋体" w:eastAsia="宋体" w:cs="宋体"/>
          <w:bCs/>
          <w:color w:val="auto"/>
          <w:kern w:val="0"/>
          <w:szCs w:val="21"/>
        </w:rPr>
        <w:t>.本项目的特定资格要求：</w:t>
      </w:r>
      <w:r>
        <w:rPr>
          <w:rFonts w:hint="eastAsia" w:ascii="宋体" w:hAnsi="宋体" w:eastAsia="宋体" w:cs="宋体"/>
          <w:bCs/>
          <w:color w:val="auto"/>
          <w:kern w:val="0"/>
          <w:szCs w:val="21"/>
          <w:u w:val="single"/>
          <w:lang w:val="en-US" w:eastAsia="zh-CN"/>
        </w:rPr>
        <w:t>无</w:t>
      </w:r>
    </w:p>
    <w:p w14:paraId="45DB8211">
      <w:pPr>
        <w:tabs>
          <w:tab w:val="left" w:pos="1440"/>
        </w:tabs>
        <w:spacing w:line="570" w:lineRule="exact"/>
        <w:ind w:firstLine="210" w:firstLineChars="100"/>
        <w:jc w:val="left"/>
        <w:rPr>
          <w:rFonts w:hint="eastAsia" w:ascii="宋体" w:hAnsi="宋体" w:eastAsia="宋体" w:cs="宋体"/>
          <w:bCs/>
          <w:color w:val="auto"/>
          <w:kern w:val="0"/>
          <w:szCs w:val="21"/>
          <w:lang w:val="en-US" w:eastAsia="zh-CN"/>
        </w:rPr>
      </w:pPr>
      <w:r>
        <w:rPr>
          <w:rFonts w:hint="eastAsia" w:ascii="宋体" w:hAnsi="宋体" w:cs="宋体"/>
          <w:bCs/>
          <w:color w:val="auto"/>
          <w:kern w:val="0"/>
          <w:szCs w:val="21"/>
          <w:lang w:val="en-US" w:eastAsia="zh-CN"/>
        </w:rPr>
        <w:t>3</w:t>
      </w:r>
      <w:r>
        <w:rPr>
          <w:rFonts w:hint="eastAsia" w:ascii="宋体" w:hAnsi="宋体" w:eastAsia="宋体" w:cs="宋体"/>
          <w:bCs/>
          <w:color w:val="auto"/>
          <w:kern w:val="0"/>
          <w:szCs w:val="21"/>
        </w:rPr>
        <w:t>.本项目的特定条件：</w:t>
      </w:r>
      <w:r>
        <w:rPr>
          <w:rFonts w:hint="eastAsia" w:ascii="宋体" w:hAnsi="宋体" w:eastAsia="宋体" w:cs="宋体"/>
          <w:bCs/>
          <w:color w:val="auto"/>
          <w:kern w:val="0"/>
          <w:szCs w:val="21"/>
          <w:lang w:val="en-US" w:eastAsia="zh-CN"/>
        </w:rPr>
        <w:t>无</w:t>
      </w:r>
    </w:p>
    <w:p w14:paraId="5995F902">
      <w:pPr>
        <w:tabs>
          <w:tab w:val="left" w:pos="1440"/>
        </w:tabs>
        <w:spacing w:line="570" w:lineRule="exact"/>
        <w:ind w:firstLine="210" w:firstLineChars="100"/>
        <w:jc w:val="left"/>
        <w:rPr>
          <w:rFonts w:hint="eastAsia" w:ascii="宋体" w:hAnsi="宋体" w:eastAsia="宋体" w:cs="宋体"/>
          <w:bCs/>
          <w:color w:val="auto"/>
          <w:kern w:val="0"/>
          <w:szCs w:val="21"/>
        </w:rPr>
      </w:pPr>
      <w:r>
        <w:rPr>
          <w:rFonts w:hint="eastAsia" w:ascii="宋体" w:hAnsi="宋体" w:cs="宋体"/>
          <w:bCs/>
          <w:color w:val="auto"/>
          <w:kern w:val="0"/>
          <w:szCs w:val="21"/>
          <w:lang w:val="en-US" w:eastAsia="zh-CN"/>
        </w:rPr>
        <w:t>4</w:t>
      </w:r>
      <w:r>
        <w:rPr>
          <w:rFonts w:hint="eastAsia" w:ascii="宋体" w:hAnsi="宋体" w:eastAsia="宋体" w:cs="宋体"/>
          <w:bCs/>
          <w:color w:val="auto"/>
          <w:kern w:val="0"/>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A60517F">
      <w:pPr>
        <w:tabs>
          <w:tab w:val="left" w:pos="1440"/>
        </w:tabs>
        <w:spacing w:line="570" w:lineRule="exact"/>
        <w:ind w:firstLine="210" w:firstLineChars="100"/>
        <w:jc w:val="left"/>
        <w:rPr>
          <w:rFonts w:ascii="Arial" w:hAnsi="Arial" w:cs="Arial"/>
          <w:bCs/>
          <w:color w:val="auto"/>
          <w:kern w:val="0"/>
          <w:szCs w:val="21"/>
        </w:rPr>
      </w:pPr>
      <w:r>
        <w:rPr>
          <w:rFonts w:hint="eastAsia" w:ascii="宋体" w:hAnsi="宋体" w:cs="宋体"/>
          <w:bCs/>
          <w:color w:val="auto"/>
          <w:kern w:val="0"/>
          <w:szCs w:val="21"/>
          <w:lang w:val="en-US" w:eastAsia="zh-CN"/>
        </w:rPr>
        <w:t>5</w:t>
      </w:r>
      <w:r>
        <w:rPr>
          <w:rFonts w:hint="eastAsia" w:ascii="宋体" w:hAnsi="宋体" w:eastAsia="宋体" w:cs="宋体"/>
          <w:bCs/>
          <w:color w:val="auto"/>
          <w:kern w:val="0"/>
          <w:szCs w:val="21"/>
        </w:rPr>
        <w:t>.对</w:t>
      </w:r>
      <w:r>
        <w:rPr>
          <w:rFonts w:hint="eastAsia" w:ascii="Arial" w:hAnsi="Arial" w:cs="Arial"/>
          <w:bCs/>
          <w:color w:val="auto"/>
          <w:kern w:val="0"/>
          <w:szCs w:val="21"/>
        </w:rPr>
        <w:t>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42BC6B9A">
      <w:pPr>
        <w:tabs>
          <w:tab w:val="left" w:pos="1440"/>
        </w:tabs>
        <w:spacing w:line="570" w:lineRule="exact"/>
        <w:jc w:val="left"/>
        <w:rPr>
          <w:rFonts w:ascii="Arial" w:hAnsi="Arial" w:cs="Arial"/>
          <w:bCs/>
          <w:color w:val="auto"/>
          <w:kern w:val="0"/>
          <w:szCs w:val="21"/>
        </w:rPr>
      </w:pPr>
      <w:r>
        <w:rPr>
          <w:rFonts w:ascii="Arial" w:hAnsi="Arial" w:cs="Arial"/>
          <w:bCs/>
          <w:color w:val="auto"/>
          <w:kern w:val="0"/>
          <w:szCs w:val="21"/>
        </w:rPr>
        <w:t>二、采购项目内容：</w:t>
      </w:r>
    </w:p>
    <w:p w14:paraId="3A1BC0C6">
      <w:pPr>
        <w:tabs>
          <w:tab w:val="left" w:pos="1440"/>
        </w:tabs>
        <w:spacing w:line="570" w:lineRule="exact"/>
        <w:jc w:val="left"/>
        <w:rPr>
          <w:rFonts w:hint="eastAsia" w:ascii="宋体" w:hAnsi="宋体" w:eastAsia="宋体" w:cs="宋体"/>
          <w:bCs/>
          <w:color w:val="auto"/>
          <w:kern w:val="0"/>
          <w:szCs w:val="21"/>
          <w:u w:val="single"/>
          <w:lang w:val="en-US" w:eastAsia="zh-CN"/>
        </w:rPr>
      </w:pPr>
      <w:r>
        <w:rPr>
          <w:rFonts w:hint="eastAsia" w:ascii="宋体" w:hAnsi="宋体" w:eastAsia="宋体" w:cs="宋体"/>
          <w:bCs/>
          <w:color w:val="auto"/>
          <w:kern w:val="0"/>
          <w:szCs w:val="21"/>
        </w:rPr>
        <w:t>1．采购人名称：</w:t>
      </w:r>
      <w:r>
        <w:rPr>
          <w:rFonts w:hint="eastAsia" w:ascii="宋体" w:hAnsi="宋体" w:eastAsia="宋体" w:cs="宋体"/>
          <w:bCs/>
          <w:color w:val="auto"/>
          <w:kern w:val="0"/>
          <w:szCs w:val="21"/>
          <w:lang w:val="en-US" w:eastAsia="zh-CN"/>
        </w:rPr>
        <w:t xml:space="preserve"> </w:t>
      </w:r>
      <w:r>
        <w:rPr>
          <w:rFonts w:hint="eastAsia" w:ascii="宋体" w:hAnsi="宋体" w:eastAsia="宋体" w:cs="宋体"/>
          <w:bCs/>
          <w:color w:val="auto"/>
          <w:kern w:val="0"/>
          <w:szCs w:val="21"/>
          <w:u w:val="single"/>
          <w:lang w:val="en-US" w:eastAsia="zh-CN"/>
        </w:rPr>
        <w:t xml:space="preserve">  钦州市外国语学校  </w:t>
      </w:r>
    </w:p>
    <w:p w14:paraId="25C081DC">
      <w:p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地址：</w:t>
      </w:r>
      <w:r>
        <w:rPr>
          <w:rFonts w:hint="eastAsia" w:ascii="宋体" w:hAnsi="宋体" w:eastAsia="宋体" w:cs="宋体"/>
          <w:bCs/>
          <w:color w:val="auto"/>
          <w:kern w:val="0"/>
          <w:szCs w:val="21"/>
          <w:u w:val="single"/>
          <w:lang w:val="en-US" w:eastAsia="zh-CN"/>
        </w:rPr>
        <w:t xml:space="preserve">  钦州市钦北区育才路9号   </w:t>
      </w:r>
      <w:r>
        <w:rPr>
          <w:rFonts w:hint="eastAsia" w:ascii="宋体" w:hAnsi="宋体" w:eastAsia="宋体" w:cs="宋体"/>
          <w:bCs/>
          <w:color w:val="auto"/>
          <w:kern w:val="0"/>
          <w:szCs w:val="21"/>
        </w:rPr>
        <w:t>；</w:t>
      </w:r>
    </w:p>
    <w:p w14:paraId="408F66E1">
      <w:p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联系人：</w:t>
      </w:r>
      <w:r>
        <w:rPr>
          <w:rFonts w:hint="eastAsia" w:ascii="宋体" w:hAnsi="宋体" w:eastAsia="宋体" w:cs="宋体"/>
          <w:bCs/>
          <w:color w:val="auto"/>
          <w:kern w:val="0"/>
          <w:szCs w:val="21"/>
          <w:u w:val="single"/>
          <w:lang w:val="en-US" w:eastAsia="zh-CN"/>
        </w:rPr>
        <w:t xml:space="preserve">  归老师  </w:t>
      </w:r>
      <w:r>
        <w:rPr>
          <w:rFonts w:hint="eastAsia" w:ascii="宋体" w:hAnsi="宋体" w:eastAsia="宋体" w:cs="宋体"/>
          <w:bCs/>
          <w:color w:val="auto"/>
          <w:kern w:val="0"/>
          <w:szCs w:val="21"/>
        </w:rPr>
        <w:t>；</w:t>
      </w:r>
    </w:p>
    <w:p w14:paraId="4912E068">
      <w:pPr>
        <w:tabs>
          <w:tab w:val="left" w:pos="1440"/>
        </w:tabs>
        <w:spacing w:line="570" w:lineRule="exact"/>
        <w:jc w:val="left"/>
        <w:rPr>
          <w:rFonts w:hint="eastAsia" w:ascii="宋体" w:hAnsi="宋体" w:eastAsia="宋体" w:cs="宋体"/>
          <w:bCs/>
          <w:color w:val="auto"/>
          <w:kern w:val="0"/>
          <w:szCs w:val="21"/>
          <w:u w:val="single"/>
          <w:lang w:val="en-US" w:eastAsia="zh-CN"/>
        </w:rPr>
      </w:pPr>
      <w:r>
        <w:rPr>
          <w:rFonts w:hint="eastAsia" w:ascii="宋体" w:hAnsi="宋体" w:eastAsia="宋体" w:cs="宋体"/>
          <w:bCs/>
          <w:color w:val="auto"/>
          <w:kern w:val="0"/>
          <w:szCs w:val="21"/>
        </w:rPr>
        <w:t>电话：</w:t>
      </w:r>
      <w:r>
        <w:rPr>
          <w:rFonts w:hint="eastAsia" w:ascii="宋体" w:hAnsi="宋体" w:eastAsia="宋体" w:cs="宋体"/>
          <w:bCs/>
          <w:color w:val="auto"/>
          <w:kern w:val="0"/>
          <w:szCs w:val="21"/>
          <w:u w:val="single"/>
          <w:lang w:val="en-US" w:eastAsia="zh-CN"/>
        </w:rPr>
        <w:t xml:space="preserve">   07772822382    </w:t>
      </w:r>
    </w:p>
    <w:p w14:paraId="617F7A0A">
      <w:p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2．采购总预算价：</w:t>
      </w:r>
      <w:r>
        <w:rPr>
          <w:rFonts w:hint="eastAsia" w:ascii="宋体" w:hAnsi="宋体" w:cs="宋体"/>
          <w:bCs/>
          <w:color w:val="auto"/>
          <w:kern w:val="0"/>
          <w:szCs w:val="21"/>
          <w:u w:val="single"/>
          <w:lang w:val="en-US" w:eastAsia="zh-CN"/>
        </w:rPr>
        <w:t>60</w:t>
      </w:r>
      <w:r>
        <w:rPr>
          <w:rFonts w:hint="eastAsia" w:ascii="宋体" w:hAnsi="宋体" w:eastAsia="宋体" w:cs="宋体"/>
          <w:bCs/>
          <w:color w:val="auto"/>
          <w:kern w:val="0"/>
          <w:szCs w:val="21"/>
        </w:rPr>
        <w:t>万元整；</w:t>
      </w:r>
    </w:p>
    <w:p w14:paraId="5E7A50A0">
      <w:p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分项采购预算：</w:t>
      </w:r>
      <w:r>
        <w:rPr>
          <w:rFonts w:hint="eastAsia" w:ascii="宋体" w:hAnsi="宋体" w:eastAsia="宋体" w:cs="宋体"/>
          <w:color w:val="auto"/>
        </w:rPr>
        <w:t>除采购总预算外，采购人还须提供采购项目所涉及各分项的分项预算。</w:t>
      </w:r>
      <w:r>
        <w:rPr>
          <w:rFonts w:hint="eastAsia" w:ascii="宋体" w:hAnsi="宋体" w:eastAsia="宋体" w:cs="宋体"/>
          <w:bCs/>
          <w:color w:val="auto"/>
          <w:kern w:val="0"/>
          <w:szCs w:val="21"/>
        </w:rPr>
        <w:t>分项采购预算应为报经财政部门批复的或经采购人确定的</w:t>
      </w:r>
      <w:r>
        <w:rPr>
          <w:rFonts w:hint="eastAsia" w:ascii="宋体" w:hAnsi="宋体" w:eastAsia="宋体" w:cs="宋体"/>
          <w:color w:val="auto"/>
        </w:rPr>
        <w:t>低于市场平均价格的</w:t>
      </w:r>
      <w:r>
        <w:rPr>
          <w:rFonts w:hint="eastAsia" w:ascii="宋体" w:hAnsi="宋体" w:eastAsia="宋体" w:cs="宋体"/>
          <w:bCs/>
          <w:color w:val="auto"/>
          <w:kern w:val="0"/>
          <w:szCs w:val="21"/>
        </w:rPr>
        <w:t>预算价格。</w:t>
      </w:r>
    </w:p>
    <w:p w14:paraId="579B50A7">
      <w:p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3．为本项目或者其中分项目的前期工作提供设计、编制规范、进行管理等服务的供应商有：</w:t>
      </w:r>
      <w:r>
        <w:rPr>
          <w:rFonts w:hint="eastAsia" w:ascii="宋体" w:hAnsi="宋体" w:eastAsia="宋体" w:cs="宋体"/>
          <w:bCs/>
          <w:color w:val="auto"/>
          <w:kern w:val="0"/>
          <w:szCs w:val="21"/>
          <w:u w:val="single"/>
        </w:rPr>
        <w:t> </w:t>
      </w:r>
      <w:r>
        <w:rPr>
          <w:rFonts w:hint="eastAsia" w:ascii="宋体" w:hAnsi="宋体" w:eastAsia="宋体" w:cs="宋体"/>
          <w:bCs/>
          <w:color w:val="auto"/>
          <w:kern w:val="0"/>
          <w:szCs w:val="21"/>
          <w:u w:val="single"/>
          <w:lang w:val="en-US" w:eastAsia="zh-CN"/>
        </w:rPr>
        <w:t>无</w:t>
      </w:r>
      <w:r>
        <w:rPr>
          <w:rFonts w:hint="eastAsia" w:ascii="宋体" w:hAnsi="宋体" w:eastAsia="宋体" w:cs="宋体"/>
          <w:bCs/>
          <w:color w:val="auto"/>
          <w:kern w:val="0"/>
          <w:szCs w:val="21"/>
          <w:u w:val="single"/>
        </w:rPr>
        <w:t> 。</w:t>
      </w:r>
    </w:p>
    <w:p w14:paraId="3AA149C6">
      <w:pPr>
        <w:tabs>
          <w:tab w:val="left" w:pos="1440"/>
        </w:tabs>
        <w:spacing w:line="570" w:lineRule="exact"/>
        <w:jc w:val="left"/>
        <w:rPr>
          <w:rFonts w:ascii="Arial" w:hAnsi="Arial" w:cs="Arial"/>
          <w:bCs/>
          <w:color w:val="auto"/>
          <w:kern w:val="0"/>
          <w:szCs w:val="21"/>
        </w:rPr>
      </w:pPr>
      <w:r>
        <w:rPr>
          <w:rFonts w:hint="eastAsia" w:ascii="宋体" w:hAnsi="宋体" w:eastAsia="宋体" w:cs="宋体"/>
          <w:bCs/>
          <w:color w:val="auto"/>
          <w:kern w:val="0"/>
          <w:szCs w:val="21"/>
        </w:rPr>
        <w:t>4．是否接受联</w:t>
      </w:r>
      <w:r>
        <w:rPr>
          <w:rFonts w:ascii="Arial" w:hAnsi="Arial" w:cs="Arial"/>
          <w:bCs/>
          <w:color w:val="auto"/>
          <w:kern w:val="0"/>
          <w:szCs w:val="21"/>
        </w:rPr>
        <w:t>合体投标：  </w:t>
      </w:r>
      <w:r>
        <w:rPr>
          <w:rFonts w:hint="eastAsia" w:ascii="Arial" w:hAnsi="Arial" w:cs="Arial"/>
          <w:bCs/>
          <w:color w:val="auto"/>
          <w:kern w:val="0"/>
          <w:szCs w:val="21"/>
          <w:lang w:eastAsia="zh-CN"/>
        </w:rPr>
        <w:t>☑</w:t>
      </w:r>
      <w:r>
        <w:rPr>
          <w:rFonts w:ascii="Arial" w:hAnsi="Arial" w:cs="Arial"/>
          <w:bCs/>
          <w:color w:val="auto"/>
          <w:kern w:val="0"/>
          <w:szCs w:val="21"/>
        </w:rPr>
        <w:t>否</w:t>
      </w:r>
    </w:p>
    <w:p w14:paraId="0FCF9F4F">
      <w:p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5．合同签订是否接受合同专用章：  </w:t>
      </w:r>
      <w:r>
        <w:rPr>
          <w:rFonts w:hint="eastAsia" w:ascii="宋体" w:hAnsi="宋体" w:eastAsia="宋体" w:cs="宋体"/>
          <w:bCs/>
          <w:color w:val="auto"/>
          <w:kern w:val="0"/>
          <w:szCs w:val="21"/>
          <w:lang w:eastAsia="zh-CN"/>
        </w:rPr>
        <w:t>☑</w:t>
      </w:r>
      <w:r>
        <w:rPr>
          <w:rFonts w:hint="eastAsia" w:ascii="宋体" w:hAnsi="宋体" w:eastAsia="宋体" w:cs="宋体"/>
          <w:bCs/>
          <w:color w:val="auto"/>
          <w:kern w:val="0"/>
          <w:szCs w:val="21"/>
        </w:rPr>
        <w:t>否</w:t>
      </w:r>
    </w:p>
    <w:p w14:paraId="4FCB3B79">
      <w:pPr>
        <w:tabs>
          <w:tab w:val="left" w:pos="1440"/>
        </w:tabs>
        <w:spacing w:line="570" w:lineRule="exact"/>
        <w:jc w:val="left"/>
        <w:rPr>
          <w:rFonts w:hint="eastAsia" w:ascii="宋体" w:hAnsi="宋体" w:eastAsia="宋体" w:cs="宋体"/>
          <w:bCs/>
          <w:color w:val="auto"/>
          <w:kern w:val="0"/>
          <w:szCs w:val="21"/>
        </w:rPr>
      </w:pPr>
      <w:r>
        <w:rPr>
          <w:rFonts w:hint="eastAsia" w:ascii="宋体" w:hAnsi="宋体" w:eastAsia="宋体" w:cs="宋体"/>
          <w:bCs/>
          <w:color w:val="auto"/>
          <w:kern w:val="0"/>
          <w:szCs w:val="21"/>
        </w:rPr>
        <w:t>6．如为电梯类采购项目的，是否需要在签订合同后向中标（成交）供应商支付预付款：   </w:t>
      </w:r>
      <w:r>
        <w:rPr>
          <w:rFonts w:hint="eastAsia" w:ascii="宋体" w:hAnsi="宋体" w:eastAsia="宋体" w:cs="宋体"/>
          <w:bCs/>
          <w:color w:val="auto"/>
          <w:kern w:val="0"/>
          <w:szCs w:val="21"/>
          <w:lang w:eastAsia="zh-CN"/>
        </w:rPr>
        <w:t>☑</w:t>
      </w:r>
      <w:r>
        <w:rPr>
          <w:rFonts w:hint="eastAsia" w:ascii="宋体" w:hAnsi="宋体" w:eastAsia="宋体" w:cs="宋体"/>
          <w:bCs/>
          <w:color w:val="auto"/>
          <w:kern w:val="0"/>
          <w:szCs w:val="21"/>
        </w:rPr>
        <w:t>否</w:t>
      </w:r>
    </w:p>
    <w:p w14:paraId="447ED02C">
      <w:pPr>
        <w:tabs>
          <w:tab w:val="left" w:pos="1440"/>
        </w:tabs>
        <w:spacing w:line="570" w:lineRule="exact"/>
        <w:jc w:val="left"/>
        <w:rPr>
          <w:rFonts w:hAnsi="宋体"/>
          <w:b/>
          <w:color w:val="auto"/>
          <w:szCs w:val="21"/>
        </w:rPr>
      </w:pPr>
      <w:r>
        <w:rPr>
          <w:rFonts w:hint="eastAsia" w:ascii="宋体" w:hAnsi="宋体" w:eastAsia="宋体" w:cs="宋体"/>
          <w:bCs/>
          <w:color w:val="auto"/>
          <w:kern w:val="0"/>
          <w:szCs w:val="21"/>
        </w:rPr>
        <w:t>7.本表中的品牌型号仅起参考作用，投标人可选用其他品牌型号替代，但这些替代的品牌型号要实质上相当于或</w:t>
      </w:r>
      <w:r>
        <w:rPr>
          <w:rFonts w:ascii="Arial" w:hAnsi="Arial" w:cs="Arial"/>
          <w:bCs/>
          <w:color w:val="auto"/>
          <w:kern w:val="0"/>
          <w:szCs w:val="21"/>
        </w:rPr>
        <w:t>优于所列的技术参数要求。</w:t>
      </w:r>
    </w:p>
    <w:p w14:paraId="5555EE2D">
      <w:pPr>
        <w:adjustRightInd w:val="0"/>
        <w:spacing w:line="570" w:lineRule="exact"/>
        <w:rPr>
          <w:rFonts w:hAnsi="宋体"/>
          <w:b/>
          <w:color w:val="auto"/>
          <w:szCs w:val="21"/>
        </w:rPr>
      </w:pPr>
      <w:r>
        <w:rPr>
          <w:rFonts w:hint="eastAsia" w:hAnsi="宋体"/>
          <w:b/>
          <w:color w:val="auto"/>
          <w:szCs w:val="21"/>
        </w:rPr>
        <w:t>说明：</w:t>
      </w:r>
    </w:p>
    <w:p w14:paraId="0EEEB8A3">
      <w:pPr>
        <w:spacing w:line="570" w:lineRule="exact"/>
        <w:ind w:firstLine="420" w:firstLineChars="200"/>
        <w:jc w:val="left"/>
        <w:rPr>
          <w:rFonts w:hint="eastAsia" w:ascii="宋体" w:hAnsi="宋体" w:eastAsia="宋体" w:cs="宋体"/>
          <w:color w:val="auto"/>
          <w:szCs w:val="21"/>
        </w:rPr>
      </w:pPr>
      <w:r>
        <w:rPr>
          <w:rFonts w:hint="eastAsia" w:ascii="宋体" w:hAnsi="宋体" w:eastAsia="宋体" w:cs="宋体"/>
          <w:color w:val="auto"/>
        </w:rPr>
        <w:t>1. 为落实政府采购政策需满足的要求（根据项目实际情况填写内容）</w:t>
      </w:r>
    </w:p>
    <w:p w14:paraId="188BCABA">
      <w:pPr>
        <w:spacing w:line="570" w:lineRule="exact"/>
        <w:ind w:firstLine="424" w:firstLineChars="202"/>
        <w:jc w:val="left"/>
        <w:rPr>
          <w:rFonts w:ascii="宋体" w:hAnsi="宋体" w:cs="宋体"/>
          <w:color w:val="auto"/>
          <w:szCs w:val="21"/>
        </w:rPr>
      </w:pPr>
      <w:r>
        <w:rPr>
          <w:rFonts w:hint="eastAsia" w:ascii="宋体" w:hAnsi="宋体" w:eastAsia="宋体" w:cs="宋体"/>
          <w:color w:val="auto"/>
          <w:szCs w:val="21"/>
        </w:rPr>
        <w:t>（</w:t>
      </w:r>
      <w:r>
        <w:rPr>
          <w:rFonts w:hint="eastAsia" w:ascii="宋体" w:hAnsi="宋体" w:cs="宋体"/>
          <w:color w:val="auto"/>
          <w:szCs w:val="21"/>
          <w:lang w:val="en-US" w:eastAsia="zh-CN"/>
        </w:rPr>
        <w:t>1</w:t>
      </w:r>
      <w:r>
        <w:rPr>
          <w:rFonts w:hint="eastAsia" w:ascii="宋体" w:hAnsi="宋体" w:eastAsia="宋体" w:cs="宋体"/>
          <w:color w:val="auto"/>
          <w:szCs w:val="21"/>
        </w:rPr>
        <w:t>）根据《财政部 发展改革委 生态环境部 市场监管总局关于调整优化节能产品、环境标志产品政府采购执行机制的通知》（财库〔2019〕9号）和《关于印发节能产品政府采购品目清单的通知》（财库〔2</w:t>
      </w:r>
      <w:r>
        <w:rPr>
          <w:rFonts w:hint="eastAsia" w:ascii="宋体" w:hAnsi="宋体" w:cs="宋体"/>
          <w:color w:val="auto"/>
          <w:szCs w:val="21"/>
        </w:rPr>
        <w:t>019〕19号）的规定，采购需求中的产品属于节能产品政府采购品目清单内标注“</w:t>
      </w:r>
      <w:r>
        <w:rPr>
          <w:rFonts w:hint="eastAsia" w:ascii="宋体" w:hAnsi="宋体" w:cs="宋体"/>
          <w:color w:val="auto"/>
          <w:szCs w:val="21"/>
          <w:lang w:eastAsia="zh-CN"/>
        </w:rPr>
        <w:t>▲</w:t>
      </w:r>
      <w:r>
        <w:rPr>
          <w:rFonts w:hint="eastAsia" w:ascii="宋体" w:hAnsi="宋体" w:cs="宋体"/>
          <w:color w:val="auto"/>
          <w:szCs w:val="21"/>
        </w:rPr>
        <w:t>”的（详见本章后附的节能产品政府采购品目清单），投标人的投标货物必须使用政府强制采购的节能产品，投标人必须在投标文件中提供所投标产品的节能产品认证证书复印件（加盖投标人公章），</w:t>
      </w:r>
      <w:r>
        <w:rPr>
          <w:rFonts w:hint="eastAsia" w:ascii="宋体" w:hAnsi="宋体" w:cs="宋体"/>
          <w:b/>
          <w:bCs/>
          <w:color w:val="auto"/>
          <w:szCs w:val="21"/>
        </w:rPr>
        <w:t>否则投标文件作无效处理</w:t>
      </w:r>
      <w:r>
        <w:rPr>
          <w:rFonts w:hint="eastAsia" w:ascii="宋体" w:hAnsi="宋体" w:cs="宋体"/>
          <w:color w:val="auto"/>
          <w:szCs w:val="21"/>
        </w:rPr>
        <w:t>。如本项目包含的货物属于品目清单内非标注“</w:t>
      </w:r>
      <w:r>
        <w:rPr>
          <w:rFonts w:hint="eastAsia" w:ascii="宋体" w:hAnsi="宋体" w:cs="宋体"/>
          <w:color w:val="auto"/>
          <w:szCs w:val="21"/>
          <w:lang w:eastAsia="zh-CN"/>
        </w:rPr>
        <w:t>▲</w:t>
      </w:r>
      <w:r>
        <w:rPr>
          <w:rFonts w:hint="eastAsia" w:ascii="宋体" w:hAnsi="宋体" w:cs="宋体"/>
          <w:color w:val="auto"/>
          <w:szCs w:val="21"/>
        </w:rPr>
        <w:t>”的产品时，应优先采购。</w:t>
      </w:r>
    </w:p>
    <w:p w14:paraId="107F6BCF">
      <w:pPr>
        <w:spacing w:line="570" w:lineRule="exact"/>
        <w:ind w:firstLine="426" w:firstLineChars="202"/>
        <w:jc w:val="left"/>
        <w:rPr>
          <w:rFonts w:ascii="宋体" w:hAnsi="宋体" w:cs="宋体"/>
          <w:b/>
          <w:bCs/>
          <w:color w:val="auto"/>
          <w:szCs w:val="21"/>
        </w:rPr>
      </w:pPr>
      <w:r>
        <w:rPr>
          <w:rFonts w:hint="eastAsia" w:ascii="宋体" w:hAnsi="宋体" w:cs="宋体"/>
          <w:b/>
          <w:bCs/>
          <w:color w:val="auto"/>
          <w:szCs w:val="21"/>
        </w:rPr>
        <w:t>2.“实质性要求”是指招标文件中已经指明不满足则投标无效的条款，或者不能负偏离的条款，或者采购需求中带“</w:t>
      </w:r>
      <w:r>
        <w:rPr>
          <w:rFonts w:hint="eastAsia" w:ascii="宋体" w:hAnsi="宋体" w:eastAsia="宋体" w:cs="宋体"/>
        </w:rPr>
        <w:t>▲</w:t>
      </w:r>
      <w:r>
        <w:rPr>
          <w:rFonts w:hint="eastAsia" w:ascii="宋体" w:hAnsi="宋体" w:cs="宋体"/>
          <w:b/>
          <w:bCs/>
          <w:color w:val="auto"/>
          <w:szCs w:val="21"/>
        </w:rPr>
        <w:t>”的条款。</w:t>
      </w:r>
    </w:p>
    <w:p w14:paraId="3114CC74">
      <w:pPr>
        <w:spacing w:line="570" w:lineRule="exact"/>
        <w:ind w:firstLine="424" w:firstLineChars="202"/>
        <w:jc w:val="left"/>
        <w:rPr>
          <w:rFonts w:hint="eastAsia" w:ascii="Times New Roman" w:hAnsi="Times New Roman"/>
          <w:b/>
          <w:color w:val="auto"/>
          <w:kern w:val="0"/>
          <w:sz w:val="36"/>
          <w:szCs w:val="20"/>
        </w:rPr>
      </w:pPr>
      <w:r>
        <w:rPr>
          <w:rFonts w:hint="eastAsia" w:ascii="宋体" w:hAnsi="宋体" w:eastAsia="宋体" w:cs="宋体"/>
          <w:color w:val="auto"/>
          <w:szCs w:val="21"/>
        </w:rPr>
        <w:t>3.如投标人投标产品存在侵犯他人的知识产权或者专利成果行为的，应承担相应法律责任。</w:t>
      </w:r>
      <w:bookmarkStart w:id="1" w:name="_Toc170982374"/>
    </w:p>
    <w:p w14:paraId="29EB0456">
      <w:pPr>
        <w:rPr>
          <w:rFonts w:hint="eastAsia" w:ascii="Times New Roman" w:hAnsi="Times New Roman"/>
          <w:b/>
          <w:color w:val="auto"/>
          <w:kern w:val="0"/>
          <w:sz w:val="36"/>
          <w:szCs w:val="20"/>
        </w:rPr>
      </w:pPr>
    </w:p>
    <w:p w14:paraId="4507BB99">
      <w:pPr>
        <w:jc w:val="center"/>
        <w:rPr>
          <w:rFonts w:hint="eastAsia" w:ascii="Times New Roman" w:hAnsi="Times New Roman"/>
          <w:b/>
          <w:color w:val="auto"/>
          <w:kern w:val="0"/>
          <w:sz w:val="36"/>
          <w:szCs w:val="20"/>
          <w:lang w:val="en-US" w:eastAsia="zh-CN"/>
        </w:rPr>
      </w:pPr>
      <w:r>
        <w:rPr>
          <w:rFonts w:hint="eastAsia" w:ascii="Times New Roman" w:hAnsi="Times New Roman"/>
          <w:b/>
          <w:color w:val="auto"/>
          <w:kern w:val="0"/>
          <w:sz w:val="36"/>
          <w:szCs w:val="20"/>
        </w:rPr>
        <w:t>第二章</w:t>
      </w:r>
      <w:r>
        <w:rPr>
          <w:rFonts w:ascii="Times New Roman" w:hAnsi="Times New Roman"/>
          <w:b/>
          <w:color w:val="auto"/>
          <w:kern w:val="0"/>
          <w:sz w:val="36"/>
          <w:szCs w:val="20"/>
        </w:rPr>
        <w:t xml:space="preserve">  </w:t>
      </w:r>
      <w:r>
        <w:rPr>
          <w:rFonts w:hint="eastAsia" w:ascii="Times New Roman" w:hAnsi="Times New Roman"/>
          <w:b/>
          <w:color w:val="auto"/>
          <w:kern w:val="0"/>
          <w:sz w:val="36"/>
          <w:szCs w:val="20"/>
        </w:rPr>
        <w:t>采购需求</w:t>
      </w:r>
      <w:bookmarkEnd w:id="1"/>
      <w:r>
        <w:rPr>
          <w:rFonts w:hint="eastAsia" w:ascii="Times New Roman" w:hAnsi="Times New Roman"/>
          <w:b/>
          <w:color w:val="auto"/>
          <w:kern w:val="0"/>
          <w:sz w:val="36"/>
          <w:szCs w:val="20"/>
          <w:lang w:val="en-US" w:eastAsia="zh-CN"/>
        </w:rPr>
        <w:t>清单</w:t>
      </w:r>
    </w:p>
    <w:p w14:paraId="6DFA7E99">
      <w:pPr>
        <w:bidi w:val="0"/>
        <w:rPr>
          <w:rFonts w:hint="eastAsia" w:ascii="Calibri" w:hAnsi="Calibri" w:eastAsia="宋体" w:cs="Times New Roman"/>
          <w:kern w:val="2"/>
          <w:sz w:val="21"/>
          <w:szCs w:val="24"/>
          <w:lang w:val="en-US" w:eastAsia="zh-CN" w:bidi="ar-SA"/>
        </w:rPr>
      </w:pPr>
    </w:p>
    <w:tbl>
      <w:tblPr>
        <w:tblStyle w:val="6"/>
        <w:tblW w:w="9261" w:type="dxa"/>
        <w:tblInd w:w="-44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5"/>
        <w:gridCol w:w="765"/>
        <w:gridCol w:w="915"/>
        <w:gridCol w:w="5256"/>
        <w:gridCol w:w="675"/>
        <w:gridCol w:w="765"/>
      </w:tblGrid>
      <w:tr w14:paraId="3A95B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D8DB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F671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产品名称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438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参考品牌</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6A97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技术参数、规格、功能</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713B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C6C7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r>
      <w:tr w14:paraId="6111F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7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CFB5B">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0C3B">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教师演示台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08E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top"/>
          </w:tcPr>
          <w:p w14:paraId="122B1760">
            <w:pPr>
              <w:spacing w:beforeLines="0" w:afterLines="0"/>
              <w:jc w:val="left"/>
              <w:rPr>
                <w:rFonts w:hint="eastAsia" w:ascii="宋体" w:hAnsi="宋体"/>
                <w:color w:val="000000"/>
                <w:sz w:val="20"/>
                <w:szCs w:val="24"/>
              </w:rPr>
            </w:pPr>
            <w:r>
              <w:rPr>
                <w:rFonts w:hint="eastAsia" w:ascii="宋体" w:hAnsi="宋体"/>
                <w:color w:val="000000"/>
                <w:sz w:val="20"/>
                <w:szCs w:val="24"/>
              </w:rPr>
              <w:t>1、规格：2400mm*700mm*850mm±5mm；</w:t>
            </w:r>
          </w:p>
          <w:p w14:paraId="56851311">
            <w:pPr>
              <w:spacing w:beforeLines="0" w:afterLines="0"/>
              <w:jc w:val="left"/>
              <w:rPr>
                <w:rFonts w:hint="eastAsia" w:ascii="宋体" w:hAnsi="宋体"/>
                <w:color w:val="000000"/>
                <w:sz w:val="20"/>
                <w:szCs w:val="24"/>
              </w:rPr>
            </w:pPr>
            <w:r>
              <w:rPr>
                <w:rFonts w:hint="eastAsia" w:ascii="宋体" w:hAnsi="宋体"/>
                <w:color w:val="000000"/>
                <w:sz w:val="20"/>
                <w:szCs w:val="24"/>
              </w:rPr>
              <w:t>2、台面：采用一体化≥12mm实芯理化板台面，台面前沿设计为内凹弧形；</w:t>
            </w:r>
          </w:p>
          <w:p w14:paraId="61C7F836">
            <w:pPr>
              <w:spacing w:beforeLines="0" w:afterLines="0"/>
              <w:jc w:val="left"/>
              <w:rPr>
                <w:rFonts w:hint="eastAsia" w:ascii="宋体" w:hAnsi="宋体"/>
                <w:color w:val="000000"/>
                <w:sz w:val="20"/>
                <w:szCs w:val="24"/>
              </w:rPr>
            </w:pPr>
            <w:r>
              <w:rPr>
                <w:rFonts w:hint="eastAsia" w:ascii="宋体" w:hAnsi="宋体"/>
                <w:color w:val="000000"/>
                <w:sz w:val="20"/>
                <w:szCs w:val="24"/>
              </w:rPr>
              <w:t>3、桌身：整体采用≥1.2mm厚冷轧钢板，全部钢制件进行喷涂防锈处理；</w:t>
            </w:r>
          </w:p>
          <w:p w14:paraId="235E43E0">
            <w:pPr>
              <w:spacing w:beforeLines="0" w:afterLines="0"/>
              <w:jc w:val="left"/>
              <w:rPr>
                <w:rFonts w:hint="eastAsia" w:ascii="宋体" w:hAnsi="宋体"/>
                <w:color w:val="000000"/>
                <w:sz w:val="20"/>
                <w:szCs w:val="24"/>
              </w:rPr>
            </w:pPr>
            <w:r>
              <w:rPr>
                <w:rFonts w:hint="eastAsia" w:ascii="宋体" w:hAnsi="宋体"/>
                <w:color w:val="000000"/>
                <w:sz w:val="20"/>
                <w:szCs w:val="24"/>
              </w:rPr>
              <w:t>4、结构：演示台设有≥5个功能分区，可灵活放置电源总控台、键盘鼠标、预留交换机固定孔位；</w:t>
            </w:r>
          </w:p>
          <w:p w14:paraId="6C6954EF">
            <w:pPr>
              <w:spacing w:beforeLines="0" w:afterLines="0"/>
              <w:jc w:val="left"/>
              <w:rPr>
                <w:rFonts w:hint="eastAsia" w:ascii="宋体" w:hAnsi="宋体"/>
                <w:color w:val="000000"/>
                <w:sz w:val="20"/>
                <w:szCs w:val="24"/>
              </w:rPr>
            </w:pPr>
            <w:r>
              <w:rPr>
                <w:rFonts w:hint="eastAsia" w:ascii="宋体" w:hAnsi="宋体"/>
                <w:color w:val="000000"/>
                <w:sz w:val="20"/>
                <w:szCs w:val="24"/>
              </w:rPr>
              <w:t>5、滑道：抽屉全部采用三节承重式滚珠滑道开合，保障使用过程中不变形；</w:t>
            </w:r>
          </w:p>
          <w:p w14:paraId="36DB5B50">
            <w:pPr>
              <w:spacing w:beforeLines="0" w:afterLines="0"/>
              <w:jc w:val="left"/>
              <w:rPr>
                <w:rFonts w:hint="eastAsia" w:ascii="宋体" w:hAnsi="宋体"/>
                <w:color w:val="000000"/>
                <w:sz w:val="20"/>
                <w:szCs w:val="24"/>
              </w:rPr>
            </w:pPr>
            <w:r>
              <w:rPr>
                <w:rFonts w:hint="eastAsia" w:ascii="宋体" w:hAnsi="宋体"/>
                <w:color w:val="000000"/>
                <w:sz w:val="20"/>
                <w:szCs w:val="24"/>
              </w:rPr>
              <w:t>6、铰链：采用带缓冲铰链，保障使用过程中开合不变形；</w:t>
            </w:r>
          </w:p>
          <w:p w14:paraId="71112E25">
            <w:pPr>
              <w:spacing w:beforeLines="0" w:afterLines="0"/>
              <w:jc w:val="left"/>
              <w:rPr>
                <w:rFonts w:hint="eastAsia" w:ascii="宋体" w:hAnsi="宋体"/>
                <w:color w:val="000000"/>
                <w:sz w:val="20"/>
                <w:szCs w:val="24"/>
              </w:rPr>
            </w:pPr>
            <w:r>
              <w:rPr>
                <w:rFonts w:hint="eastAsia" w:ascii="宋体" w:hAnsi="宋体"/>
                <w:color w:val="000000"/>
                <w:sz w:val="20"/>
                <w:szCs w:val="24"/>
              </w:rPr>
              <w:t>7、加强管：中间采用两根≥2200mm*25mm*25mm的方管与两根≥280*25*25mm的方管进行加强连接，保障桌体的稳固性；</w:t>
            </w:r>
          </w:p>
          <w:p w14:paraId="701698D8">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8、边缘处理：左右两侧各安装有≥2块装饰盖板，装饰盖板与桌面呈≥85度倾角，采用弧形边缘，整体进行平滑的圆角过渡处理；</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E0889">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63B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张</w:t>
            </w:r>
          </w:p>
        </w:tc>
      </w:tr>
      <w:tr w14:paraId="34554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1A881">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557DA">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教师低背椅</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FF405">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top"/>
          </w:tcPr>
          <w:p w14:paraId="6FCC1797">
            <w:pPr>
              <w:spacing w:beforeLines="0" w:afterLines="0"/>
              <w:jc w:val="left"/>
              <w:rPr>
                <w:rFonts w:hint="eastAsia" w:ascii="宋体" w:hAnsi="宋体"/>
                <w:color w:val="000000"/>
                <w:sz w:val="20"/>
                <w:szCs w:val="24"/>
              </w:rPr>
            </w:pPr>
            <w:r>
              <w:rPr>
                <w:rFonts w:hint="eastAsia" w:ascii="宋体" w:hAnsi="宋体"/>
                <w:color w:val="000000"/>
                <w:sz w:val="20"/>
                <w:szCs w:val="24"/>
              </w:rPr>
              <w:t>1、尺寸：W440mm*D440mm*H550mm±1%</w:t>
            </w:r>
          </w:p>
          <w:p w14:paraId="666FBD1E">
            <w:pPr>
              <w:spacing w:beforeLines="0" w:afterLines="0"/>
              <w:jc w:val="left"/>
              <w:rPr>
                <w:rFonts w:hint="eastAsia" w:ascii="宋体" w:hAnsi="宋体"/>
                <w:color w:val="000000"/>
                <w:sz w:val="20"/>
                <w:szCs w:val="24"/>
              </w:rPr>
            </w:pPr>
            <w:r>
              <w:rPr>
                <w:rFonts w:hint="eastAsia" w:ascii="宋体" w:hAnsi="宋体"/>
                <w:color w:val="000000"/>
                <w:sz w:val="20"/>
                <w:szCs w:val="24"/>
              </w:rPr>
              <w:t>2、结构：工字形钢架，科学支撑，钢架前端有踏脚垫，磨砂界面；</w:t>
            </w:r>
          </w:p>
          <w:p w14:paraId="52AF2BDC">
            <w:pPr>
              <w:spacing w:beforeLines="0" w:afterLines="0"/>
              <w:jc w:val="left"/>
              <w:rPr>
                <w:rFonts w:hint="eastAsia" w:ascii="宋体" w:hAnsi="宋体"/>
                <w:color w:val="000000"/>
                <w:sz w:val="20"/>
                <w:szCs w:val="24"/>
              </w:rPr>
            </w:pPr>
            <w:r>
              <w:rPr>
                <w:rFonts w:hint="eastAsia" w:ascii="宋体" w:hAnsi="宋体"/>
                <w:color w:val="000000"/>
                <w:sz w:val="20"/>
                <w:szCs w:val="24"/>
              </w:rPr>
              <w:t>3、座面规格：采用PP塑料一体注塑成型，长≥389mm*宽≥352mm*高≥149mm，椅背提手设计（提手规格：182mm*36mm±1%），提拉方便。人性化圆角设计（坐垫、钢架），有效防止磕碰撞伤。座椅底部可悬挂功能设计，不用时，可悬挂桌面之上，方便打扫，节省空间。</w:t>
            </w:r>
          </w:p>
          <w:p w14:paraId="41903D85">
            <w:pPr>
              <w:spacing w:beforeLines="0" w:afterLines="0"/>
              <w:jc w:val="left"/>
              <w:rPr>
                <w:rFonts w:hint="eastAsia" w:ascii="宋体" w:hAnsi="宋体"/>
                <w:color w:val="000000"/>
                <w:sz w:val="20"/>
                <w:szCs w:val="24"/>
              </w:rPr>
            </w:pPr>
            <w:r>
              <w:rPr>
                <w:rFonts w:hint="eastAsia" w:ascii="宋体" w:hAnsi="宋体"/>
                <w:color w:val="000000"/>
                <w:sz w:val="20"/>
                <w:szCs w:val="24"/>
              </w:rPr>
              <w:t>4、材质：座椅面采用双色双质，有内弧造型，表面防滑不发光，座椅面镶嵌TPR灰色软性材料，并采用包胶工艺与凳面组合，且表面平整、无凹凸，注塑包胶成型。</w:t>
            </w:r>
          </w:p>
          <w:p w14:paraId="061C1F50">
            <w:pPr>
              <w:spacing w:beforeLines="0" w:afterLines="0"/>
              <w:jc w:val="left"/>
              <w:rPr>
                <w:rFonts w:hint="eastAsia" w:ascii="宋体" w:hAnsi="宋体"/>
                <w:color w:val="000000"/>
                <w:sz w:val="20"/>
                <w:szCs w:val="24"/>
              </w:rPr>
            </w:pPr>
            <w:r>
              <w:rPr>
                <w:rFonts w:hint="eastAsia" w:ascii="宋体" w:hAnsi="宋体"/>
                <w:color w:val="000000"/>
                <w:sz w:val="20"/>
                <w:szCs w:val="24"/>
              </w:rPr>
              <w:t>5、工艺：钢管直径≥22mm，壁厚≥1.8mm</w:t>
            </w:r>
          </w:p>
          <w:p w14:paraId="0ACB7BF8">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6、脚垫：有效防滑，防刮伤，前防滑脚垫尺寸：40mm*19mm±1%，后防滑脚垫尺寸：73mm*22mm±1%，脚垫材质为PP塑料材质。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8D61">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C3D5E">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张</w:t>
            </w:r>
          </w:p>
        </w:tc>
      </w:tr>
      <w:tr w14:paraId="0BB47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DC6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5C284">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三联水嘴</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F73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武洁、TOF、chunshui</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top"/>
          </w:tcPr>
          <w:p w14:paraId="0E00CA33">
            <w:pPr>
              <w:spacing w:beforeLines="0" w:afterLines="0"/>
              <w:jc w:val="left"/>
              <w:rPr>
                <w:rFonts w:hint="eastAsia" w:ascii="宋体" w:hAnsi="宋体"/>
                <w:color w:val="000000"/>
                <w:sz w:val="20"/>
                <w:szCs w:val="24"/>
              </w:rPr>
            </w:pPr>
            <w:r>
              <w:rPr>
                <w:rFonts w:hint="eastAsia" w:ascii="宋体" w:hAnsi="宋体"/>
                <w:color w:val="000000"/>
                <w:sz w:val="20"/>
                <w:szCs w:val="24"/>
              </w:rPr>
              <w:t>1、主体材料、尺寸：水龙头总整高度≥570mm。主体：采用≥ø20.5*4mm管径的不低于黄铜制造。直管：采用≥ø20*2mm管径的不锈钢制造。臂管：采用≥ø18*1mm管径的不锈钢制造。鹅颈弯管：采用≥ø13*1.0 mm管径的不锈钢制造，可360°旋转。</w:t>
            </w:r>
          </w:p>
          <w:p w14:paraId="3417C34A">
            <w:pPr>
              <w:spacing w:beforeLines="0" w:afterLines="0"/>
              <w:jc w:val="left"/>
              <w:rPr>
                <w:rFonts w:hint="eastAsia" w:ascii="宋体" w:hAnsi="宋体"/>
                <w:color w:val="000000"/>
                <w:sz w:val="20"/>
                <w:szCs w:val="24"/>
              </w:rPr>
            </w:pPr>
            <w:r>
              <w:rPr>
                <w:rFonts w:hint="eastAsia" w:ascii="宋体" w:hAnsi="宋体"/>
                <w:color w:val="000000"/>
                <w:sz w:val="20"/>
                <w:szCs w:val="24"/>
              </w:rPr>
              <w:t>2、涂层: 涂层经亚光环氧树脂耐酸碱粉末涂料热固处理，耐腐蚀、耐热，防紫外线辐射。</w:t>
            </w:r>
          </w:p>
          <w:p w14:paraId="149A6461">
            <w:pPr>
              <w:spacing w:beforeLines="0" w:afterLines="0"/>
              <w:jc w:val="left"/>
              <w:rPr>
                <w:rFonts w:hint="eastAsia" w:ascii="宋体" w:hAnsi="宋体"/>
                <w:color w:val="000000"/>
                <w:sz w:val="20"/>
                <w:szCs w:val="24"/>
              </w:rPr>
            </w:pPr>
            <w:r>
              <w:rPr>
                <w:rFonts w:hint="eastAsia" w:ascii="宋体" w:hAnsi="宋体"/>
                <w:color w:val="000000"/>
                <w:sz w:val="20"/>
                <w:szCs w:val="24"/>
              </w:rPr>
              <w:t>3、陶瓷阀芯：≥90°旋转，使用寿命开关要求达到≥20万次，静态最大耐压≥10 bar。</w:t>
            </w:r>
          </w:p>
          <w:p w14:paraId="4DF6C4AE">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4、开关旋钮: 高密度PP，人体工学设计，手感舒适。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8919">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9C75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付</w:t>
            </w:r>
          </w:p>
        </w:tc>
      </w:tr>
      <w:tr w14:paraId="3D430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5"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A5DB">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0961">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洗眼器</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18B4A">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润旺达、育本、韵辰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top"/>
          </w:tcPr>
          <w:p w14:paraId="1E0E6BE8">
            <w:pPr>
              <w:spacing w:beforeLines="0" w:afterLines="0"/>
              <w:jc w:val="left"/>
              <w:rPr>
                <w:rFonts w:hint="eastAsia" w:ascii="宋体" w:hAnsi="宋体"/>
                <w:color w:val="000000"/>
                <w:sz w:val="20"/>
                <w:szCs w:val="24"/>
              </w:rPr>
            </w:pPr>
            <w:r>
              <w:rPr>
                <w:rFonts w:hint="eastAsia" w:ascii="宋体" w:hAnsi="宋体"/>
                <w:color w:val="000000"/>
                <w:sz w:val="20"/>
                <w:szCs w:val="24"/>
              </w:rPr>
              <w:t>1、主体：高度≥320mm，不低于加厚H59铜质,符合YS/T910-2013黄铜中铜量的测定碘量法,铜含量；铜含量≥59.3%。</w:t>
            </w:r>
          </w:p>
          <w:p w14:paraId="5616752A">
            <w:pPr>
              <w:spacing w:beforeLines="0" w:afterLines="0"/>
              <w:jc w:val="left"/>
              <w:rPr>
                <w:rFonts w:hint="eastAsia" w:ascii="宋体" w:hAnsi="宋体"/>
                <w:color w:val="000000"/>
                <w:sz w:val="20"/>
                <w:szCs w:val="24"/>
              </w:rPr>
            </w:pPr>
            <w:r>
              <w:rPr>
                <w:rFonts w:hint="eastAsia" w:ascii="宋体" w:hAnsi="宋体"/>
                <w:color w:val="000000"/>
                <w:sz w:val="20"/>
                <w:szCs w:val="24"/>
              </w:rPr>
              <w:t>2、涂层：高亮度超厚电镀层，耐腐蚀、耐热，防紫外线辐射；</w:t>
            </w:r>
          </w:p>
          <w:p w14:paraId="1BFF7EFF">
            <w:pPr>
              <w:spacing w:beforeLines="0" w:afterLines="0"/>
              <w:jc w:val="left"/>
              <w:rPr>
                <w:rFonts w:hint="eastAsia" w:ascii="宋体" w:hAnsi="宋体"/>
                <w:color w:val="000000"/>
                <w:sz w:val="20"/>
                <w:szCs w:val="24"/>
              </w:rPr>
            </w:pPr>
            <w:r>
              <w:rPr>
                <w:rFonts w:hint="eastAsia" w:ascii="宋体" w:hAnsi="宋体"/>
                <w:color w:val="000000"/>
                <w:sz w:val="20"/>
                <w:szCs w:val="24"/>
              </w:rPr>
              <w:t>3、洗眼头：模注一体成型，软性橡胶并带有缓冲滤网，出水经缓压处理呈泡沫柱状，可持续均匀柔和,去除水中杂质，避免水束冲伤眼睛流量≥11.4升/分钟并维持冲洗至少15分钟。</w:t>
            </w:r>
          </w:p>
          <w:p w14:paraId="1CDC6EB4">
            <w:pPr>
              <w:spacing w:beforeLines="0" w:afterLines="0"/>
              <w:jc w:val="left"/>
              <w:rPr>
                <w:rFonts w:hint="eastAsia" w:ascii="宋体" w:hAnsi="宋体"/>
                <w:color w:val="000000"/>
                <w:sz w:val="20"/>
                <w:szCs w:val="24"/>
              </w:rPr>
            </w:pPr>
            <w:r>
              <w:rPr>
                <w:rFonts w:hint="eastAsia" w:ascii="宋体" w:hAnsi="宋体"/>
                <w:color w:val="000000"/>
                <w:sz w:val="20"/>
                <w:szCs w:val="24"/>
              </w:rPr>
              <w:t>4、防尘盖：PP材质，设置防尘盖,使用时自动被水冲开；</w:t>
            </w:r>
          </w:p>
          <w:p w14:paraId="62E3013F">
            <w:pPr>
              <w:spacing w:beforeLines="0" w:afterLines="0"/>
              <w:jc w:val="left"/>
              <w:rPr>
                <w:rFonts w:hint="eastAsia" w:ascii="宋体" w:hAnsi="宋体"/>
                <w:color w:val="000000"/>
                <w:sz w:val="20"/>
                <w:szCs w:val="24"/>
              </w:rPr>
            </w:pPr>
            <w:r>
              <w:rPr>
                <w:rFonts w:hint="eastAsia" w:ascii="宋体" w:hAnsi="宋体"/>
                <w:color w:val="000000"/>
                <w:sz w:val="20"/>
                <w:szCs w:val="24"/>
              </w:rPr>
              <w:t>5、开关：采用杠杆结构，铜质按压阀通过塑料手柄操作，水流在1秒钟内快速启动，启闭方便；</w:t>
            </w:r>
          </w:p>
          <w:p w14:paraId="17C90845">
            <w:pPr>
              <w:spacing w:beforeLines="0" w:afterLines="0"/>
              <w:jc w:val="left"/>
              <w:rPr>
                <w:rFonts w:hint="eastAsia" w:ascii="宋体" w:hAnsi="宋体"/>
                <w:color w:val="000000"/>
                <w:sz w:val="20"/>
                <w:szCs w:val="24"/>
              </w:rPr>
            </w:pPr>
            <w:r>
              <w:rPr>
                <w:rFonts w:hint="eastAsia" w:ascii="宋体" w:hAnsi="宋体"/>
                <w:color w:val="000000"/>
                <w:sz w:val="20"/>
                <w:szCs w:val="24"/>
              </w:rPr>
              <w:t>6、控水阀：止逆阀，其阀门可自动关闭；</w:t>
            </w:r>
          </w:p>
          <w:p w14:paraId="798187CF">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7、软管：供水软管长度≥1.4米，软性PVC管外覆不锈钢网,外层包裹PE管，有效防止生锈、磨损、划手；</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48D7">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570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付</w:t>
            </w:r>
          </w:p>
        </w:tc>
      </w:tr>
      <w:tr w14:paraId="16964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4447">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41BCC">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吊装控制教师电源</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1BAE6">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浙绿睿、言行果、韵辰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top"/>
          </w:tcPr>
          <w:p w14:paraId="532832F0">
            <w:pPr>
              <w:spacing w:beforeLines="0" w:afterLines="0"/>
              <w:jc w:val="left"/>
              <w:rPr>
                <w:rFonts w:hint="eastAsia" w:ascii="宋体" w:hAnsi="宋体"/>
                <w:color w:val="000000"/>
                <w:sz w:val="20"/>
                <w:szCs w:val="24"/>
              </w:rPr>
            </w:pPr>
            <w:r>
              <w:rPr>
                <w:rFonts w:hint="eastAsia" w:ascii="宋体" w:hAnsi="宋体"/>
                <w:color w:val="000000"/>
                <w:sz w:val="20"/>
                <w:szCs w:val="24"/>
              </w:rPr>
              <w:t>1、显示及输入端选用≥7寸全触摸真彩显示屏，智能一体化界面，所有功能均在触屏上操作完成；</w:t>
            </w:r>
          </w:p>
          <w:p w14:paraId="4158AEA6">
            <w:pPr>
              <w:spacing w:beforeLines="0" w:afterLines="0"/>
              <w:jc w:val="left"/>
              <w:rPr>
                <w:rFonts w:hint="eastAsia" w:ascii="宋体" w:hAnsi="宋体"/>
                <w:color w:val="000000"/>
                <w:sz w:val="20"/>
                <w:szCs w:val="24"/>
              </w:rPr>
            </w:pPr>
            <w:r>
              <w:rPr>
                <w:rFonts w:hint="eastAsia" w:ascii="宋体" w:hAnsi="宋体"/>
                <w:color w:val="000000"/>
                <w:sz w:val="20"/>
                <w:szCs w:val="24"/>
              </w:rPr>
              <w:t>2、教师电源提供本地登录和远程身份验证登录两种方式：本地登录后方可开启电源操作权限，后台记录用户操作过程；远程身份验证通过输入教师账号和密码进行服务端验证，验证通过后方可登录系统；</w:t>
            </w:r>
          </w:p>
          <w:p w14:paraId="1A7E0897">
            <w:pPr>
              <w:spacing w:beforeLines="0" w:afterLines="0"/>
              <w:jc w:val="left"/>
              <w:rPr>
                <w:rFonts w:hint="eastAsia" w:ascii="宋体" w:hAnsi="宋体"/>
                <w:color w:val="000000"/>
                <w:sz w:val="20"/>
                <w:szCs w:val="24"/>
              </w:rPr>
            </w:pPr>
            <w:r>
              <w:rPr>
                <w:rFonts w:hint="eastAsia" w:ascii="宋体" w:hAnsi="宋体"/>
                <w:color w:val="000000"/>
                <w:sz w:val="20"/>
                <w:szCs w:val="24"/>
              </w:rPr>
              <w:t>3、1路漏电保护空开，3个220V五孔安全插座输出；</w:t>
            </w:r>
          </w:p>
          <w:p w14:paraId="32C9031C">
            <w:pPr>
              <w:spacing w:beforeLines="0" w:afterLines="0"/>
              <w:jc w:val="left"/>
              <w:rPr>
                <w:rFonts w:hint="eastAsia" w:ascii="宋体" w:hAnsi="宋体"/>
                <w:color w:val="000000"/>
                <w:sz w:val="20"/>
                <w:szCs w:val="24"/>
              </w:rPr>
            </w:pPr>
            <w:r>
              <w:rPr>
                <w:rFonts w:hint="eastAsia" w:ascii="宋体" w:hAnsi="宋体"/>
                <w:color w:val="000000"/>
                <w:sz w:val="20"/>
                <w:szCs w:val="24"/>
              </w:rPr>
              <w:t>4、可实现定时关机功能，定时关机时间由教师据任务要求按需设定；</w:t>
            </w:r>
          </w:p>
          <w:p w14:paraId="0798D07C">
            <w:pPr>
              <w:spacing w:beforeLines="0" w:afterLines="0"/>
              <w:jc w:val="left"/>
              <w:rPr>
                <w:rFonts w:hint="eastAsia" w:ascii="宋体" w:hAnsi="宋体"/>
                <w:color w:val="000000"/>
                <w:sz w:val="20"/>
                <w:szCs w:val="24"/>
              </w:rPr>
            </w:pPr>
            <w:r>
              <w:rPr>
                <w:rFonts w:hint="eastAsia" w:ascii="宋体" w:hAnsi="宋体"/>
                <w:color w:val="000000"/>
                <w:sz w:val="20"/>
                <w:szCs w:val="24"/>
              </w:rPr>
              <w:t>5、教师自用低压交流电源电压0V~30V/3A，分辨率为1V，具备自动过载保护功能，过载后可通过复位按键手动复位；</w:t>
            </w:r>
          </w:p>
          <w:p w14:paraId="3A715969">
            <w:pPr>
              <w:spacing w:beforeLines="0" w:afterLines="0"/>
              <w:jc w:val="left"/>
              <w:rPr>
                <w:rFonts w:hint="eastAsia" w:ascii="宋体" w:hAnsi="宋体"/>
                <w:color w:val="000000"/>
                <w:sz w:val="20"/>
                <w:szCs w:val="24"/>
              </w:rPr>
            </w:pPr>
            <w:r>
              <w:rPr>
                <w:rFonts w:hint="eastAsia" w:ascii="宋体" w:hAnsi="宋体"/>
                <w:color w:val="000000"/>
                <w:sz w:val="20"/>
                <w:szCs w:val="24"/>
              </w:rPr>
              <w:t>6、教师自用低压直流电源电压0V~30V/3A，分辨率为0.1V，具备自动过载保护功能，过载后可通过复位按键手动复位；</w:t>
            </w:r>
          </w:p>
          <w:p w14:paraId="48D4A50B">
            <w:pPr>
              <w:spacing w:beforeLines="0" w:afterLines="0"/>
              <w:jc w:val="left"/>
              <w:rPr>
                <w:rFonts w:hint="eastAsia" w:ascii="宋体" w:hAnsi="宋体"/>
                <w:color w:val="000000"/>
                <w:sz w:val="20"/>
                <w:szCs w:val="24"/>
              </w:rPr>
            </w:pPr>
            <w:r>
              <w:rPr>
                <w:rFonts w:hint="eastAsia" w:ascii="宋体" w:hAnsi="宋体"/>
                <w:color w:val="000000"/>
                <w:sz w:val="20"/>
                <w:szCs w:val="24"/>
              </w:rPr>
              <w:t>7、支持通过触摸屏分4组向学生实验桌输出安全的220V交流电源；</w:t>
            </w:r>
          </w:p>
          <w:p w14:paraId="352C5DA8">
            <w:pPr>
              <w:spacing w:beforeLines="0" w:afterLines="0"/>
              <w:jc w:val="left"/>
              <w:rPr>
                <w:rFonts w:hint="eastAsia" w:ascii="宋体" w:hAnsi="宋体"/>
                <w:color w:val="000000"/>
                <w:sz w:val="20"/>
                <w:szCs w:val="24"/>
              </w:rPr>
            </w:pPr>
            <w:r>
              <w:rPr>
                <w:rFonts w:hint="eastAsia" w:ascii="宋体" w:hAnsi="宋体"/>
                <w:color w:val="000000"/>
                <w:sz w:val="20"/>
                <w:szCs w:val="24"/>
              </w:rPr>
              <w:t>8、电源内置WiFi 2.4GHz模块，支持2.4GHz无线WiFi连接，支持802.11n协议；</w:t>
            </w:r>
          </w:p>
          <w:p w14:paraId="04EF7496">
            <w:pPr>
              <w:spacing w:beforeLines="0" w:afterLines="0"/>
              <w:jc w:val="left"/>
              <w:rPr>
                <w:rFonts w:hint="eastAsia" w:ascii="宋体" w:hAnsi="宋体"/>
                <w:color w:val="000000"/>
                <w:sz w:val="20"/>
                <w:szCs w:val="24"/>
              </w:rPr>
            </w:pPr>
            <w:r>
              <w:rPr>
                <w:rFonts w:hint="eastAsia" w:ascii="宋体" w:hAnsi="宋体"/>
                <w:color w:val="000000"/>
                <w:sz w:val="20"/>
                <w:szCs w:val="24"/>
              </w:rPr>
              <w:t>9、面板配备二维码，可通过扫描获取电源使用手册。</w:t>
            </w:r>
          </w:p>
          <w:p w14:paraId="41E3EF81">
            <w:pPr>
              <w:spacing w:beforeLines="0" w:afterLines="0"/>
              <w:jc w:val="left"/>
              <w:rPr>
                <w:rFonts w:hint="eastAsia" w:ascii="宋体" w:hAnsi="宋体"/>
                <w:color w:val="000000"/>
                <w:sz w:val="20"/>
                <w:szCs w:val="24"/>
              </w:rPr>
            </w:pPr>
            <w:r>
              <w:rPr>
                <w:rFonts w:hint="eastAsia" w:ascii="宋体" w:hAnsi="宋体"/>
                <w:color w:val="000000"/>
                <w:sz w:val="20"/>
                <w:szCs w:val="24"/>
              </w:rPr>
              <w:t>10、内置吊装控制系统，可实现教室吊装学生电源、照明、给排水、摇臂、排风系统等控制，可任意控制单组或集中控制220V的学生插座的开与关。可控制学生电源的交、直流电压切换以及电压值调节。当学生电源的被锁定，教师给与学生端指定电压值，学生端学生电源无法私自修改电压数值。</w:t>
            </w:r>
          </w:p>
          <w:p w14:paraId="211AFE91">
            <w:pPr>
              <w:spacing w:beforeLines="0" w:afterLines="0"/>
              <w:jc w:val="left"/>
              <w:rPr>
                <w:rFonts w:hint="eastAsia" w:ascii="宋体" w:hAnsi="宋体"/>
                <w:color w:val="000000"/>
                <w:sz w:val="20"/>
                <w:szCs w:val="24"/>
              </w:rPr>
            </w:pPr>
            <w:r>
              <w:rPr>
                <w:rFonts w:hint="eastAsia" w:ascii="宋体" w:hAnsi="宋体"/>
                <w:color w:val="000000"/>
                <w:sz w:val="20"/>
                <w:szCs w:val="24"/>
                <w:lang w:eastAsia="zh-CN"/>
              </w:rPr>
              <w:t>▲</w:t>
            </w:r>
            <w:r>
              <w:rPr>
                <w:rFonts w:hint="eastAsia" w:ascii="宋体" w:hAnsi="宋体"/>
                <w:color w:val="000000"/>
                <w:sz w:val="20"/>
                <w:szCs w:val="24"/>
              </w:rPr>
              <w:t>11、产品整机频率容限：≤20ppm、频率范围：2400-2483.5MHz、发射功率：≤20dBm(EIRP)～＞10dBm(EIRP)、占用带宽：≤40MHz、杂散发射限制：≤-30dBm；产品符合中华人民共和国无线电管理规定和技术标准要求（投标时提供《无线电发射设备型号核准证》，型号与核准证必须相符）。</w:t>
            </w:r>
          </w:p>
          <w:p w14:paraId="765E9459">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w:t>
            </w:r>
            <w:r>
              <w:rPr>
                <w:rFonts w:hint="eastAsia" w:ascii="宋体" w:hAnsi="宋体"/>
                <w:color w:val="000000"/>
                <w:sz w:val="20"/>
                <w:szCs w:val="24"/>
                <w:lang w:val="en-US" w:eastAsia="zh-CN"/>
              </w:rPr>
              <w:t>2</w:t>
            </w:r>
            <w:r>
              <w:rPr>
                <w:rFonts w:hint="eastAsia" w:ascii="宋体" w:hAnsi="宋体"/>
                <w:color w:val="000000"/>
                <w:sz w:val="20"/>
                <w:szCs w:val="24"/>
              </w:rPr>
              <w:t>、产品应符合GB/T26572-2011标准，通过限用物质检测：铅（Pb）≤5mg/kg、镉（Cd）≤5mg/kg、汞（Hg）≤5mg/kg、六价铬（CrVI）≤5mg/kg、多溴联苯（PBBs）≤50mg/kg、多溴二苯醚（PBDEs）≤50mg/kg；GB/T17626.2-2018标准，通过静电放电抗扰度；GB/T17626.4-2018标准，通过电快速瞬变脉冲群抗扰度；GB/T17626.5-2019标准，通过浪涌(冲击）抗扰度；GB/T17626.6-2017标准，通过射频场感应的传导骚扰抗扰度；GB/T17626.8-2006标准，通过工频磁场抗扰度；GB/T2423.1-2008标准，通过耐低温试验；GB/T2423.2-2008标准，通过耐高温试验；GB/T2423.3-2016标准，通过耐湿热工作性能试验；GB/T2423.7-2018标准，通过跌落试验，投标文件中提供具有CMA标识的第三方检测机构出具的该要求报告复印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214C">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BC5D">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套</w:t>
            </w:r>
          </w:p>
        </w:tc>
      </w:tr>
      <w:tr w14:paraId="556FB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9588">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227BD">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教师电源监测管理云平台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826F5">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浙绿睿、言行果、韵辰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top"/>
          </w:tcPr>
          <w:p w14:paraId="753E63FD">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电源配置教师电源监测管理云平台，用于教师端对教师电源进行设备管理，实验数据监测管理，异常信息监测管理；用户管理：应可以刷新、新增、修改、删除以及查询用户等相应的操作，并给指定的用户赋予不同的角色，也可以给用户直接赋予不同的系统功能授权；角色管理：应可以刷新、新增、修改、删除以及查询角色等相应的操作，并给不同的角色赋予不同的系统功能授权；空间管理：应可以刷新、新增学校区域、修改学校区域、删除学校区域以及搜索学校区域等相应的操作；主控电源管理：应可以刷新，新增、修改、删除以及查询主控电源数据；异常告警管理：应可以查看主控电源异常情况（短路或者过载），并支持Excel数据导出；操作日志管理：应可以查看教师在实验教学过程中的操作过程，便于数据异常的操作追溯，并支持Excel数据导出；教师电源数据管理：应可以查看实验教学过程中的教学电源数据（教师电流和电压），便于实验教学数据的整理，并支持Excel数据导出；统计分析模块：应可以统计分析设备使用率。</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top"/>
          </w:tcPr>
          <w:p w14:paraId="5A44A5ED">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20CBF576">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套</w:t>
            </w:r>
          </w:p>
        </w:tc>
      </w:tr>
      <w:tr w14:paraId="22FE0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5"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2425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5638">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智慧环境监测系统主机</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BD8B2">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浙绿睿、育本、韵辰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top"/>
          </w:tcPr>
          <w:p w14:paraId="1A716DE0">
            <w:pPr>
              <w:spacing w:beforeLines="0" w:afterLines="0"/>
              <w:jc w:val="left"/>
              <w:rPr>
                <w:rFonts w:hint="eastAsia" w:ascii="宋体" w:hAnsi="宋体"/>
                <w:color w:val="000000"/>
                <w:sz w:val="20"/>
                <w:szCs w:val="24"/>
              </w:rPr>
            </w:pPr>
            <w:r>
              <w:rPr>
                <w:rFonts w:hint="eastAsia" w:ascii="宋体" w:hAnsi="宋体"/>
                <w:color w:val="000000"/>
                <w:sz w:val="20"/>
                <w:szCs w:val="24"/>
              </w:rPr>
              <w:t>1、规格：≥220mm*220mm*60mm，机身一体化成型，采用≥7英寸LED显示屏，四边圆角设计，机身周围设条形孔散热，表面高亮白色喷漆处理；</w:t>
            </w:r>
          </w:p>
          <w:p w14:paraId="47343BE9">
            <w:pPr>
              <w:spacing w:beforeLines="0" w:afterLines="0"/>
              <w:jc w:val="left"/>
              <w:rPr>
                <w:rFonts w:hint="eastAsia" w:ascii="宋体" w:hAnsi="宋体"/>
                <w:color w:val="000000"/>
                <w:sz w:val="20"/>
                <w:szCs w:val="24"/>
              </w:rPr>
            </w:pPr>
            <w:r>
              <w:rPr>
                <w:rFonts w:hint="eastAsia" w:ascii="宋体" w:hAnsi="宋体"/>
                <w:color w:val="000000"/>
                <w:sz w:val="20"/>
                <w:szCs w:val="24"/>
              </w:rPr>
              <w:t>2、主机可通过传感器模块实现对空气温湿度、光照、甲醛、CO₂、TVOC、PM2.5和PM10的实时监测；配合环境监测云平台，可通过电脑、平板、手机小程序等终端实现室内环境实时监测，支持数据可视化平台呈现所有主机场景环境监测质量，具有一屏显示整体情况和异常数据功能；</w:t>
            </w:r>
          </w:p>
          <w:p w14:paraId="5568BE01">
            <w:pPr>
              <w:spacing w:beforeLines="0" w:afterLines="0"/>
              <w:jc w:val="left"/>
              <w:rPr>
                <w:rFonts w:hint="eastAsia" w:ascii="宋体" w:hAnsi="宋体"/>
                <w:color w:val="000000"/>
                <w:sz w:val="20"/>
                <w:szCs w:val="24"/>
              </w:rPr>
            </w:pPr>
            <w:r>
              <w:rPr>
                <w:rFonts w:hint="eastAsia" w:ascii="宋体" w:hAnsi="宋体"/>
                <w:color w:val="000000"/>
                <w:sz w:val="20"/>
                <w:szCs w:val="24"/>
              </w:rPr>
              <w:t>3、PM2.5/PM10监测模块：采用激光散射法监测，PM2.5测量粒径1-2.5μm，PM10测量粒径2.5-10μm；PM2.5测量范围0-999μg/m³，PM10测量范围0-999μg/m³；精度＜±10%，分辨率0.1μg/m³，重复性＜10%，输出信号为瞬时PM2.5、PM10浓度；</w:t>
            </w:r>
          </w:p>
          <w:p w14:paraId="7D015FFA">
            <w:pPr>
              <w:spacing w:beforeLines="0" w:afterLines="0"/>
              <w:jc w:val="left"/>
              <w:rPr>
                <w:rFonts w:hint="eastAsia" w:ascii="宋体" w:hAnsi="宋体"/>
                <w:color w:val="000000"/>
                <w:sz w:val="20"/>
                <w:szCs w:val="24"/>
              </w:rPr>
            </w:pPr>
            <w:r>
              <w:rPr>
                <w:rFonts w:hint="eastAsia" w:ascii="宋体" w:hAnsi="宋体"/>
                <w:color w:val="000000"/>
                <w:sz w:val="20"/>
                <w:szCs w:val="24"/>
              </w:rPr>
              <w:t>4、挥发性有机化合物（TVOC）监测模块：采用气敏半导体监测原理，测量范围0-220PPM，精度＜±20%，分辨率0.1PPM，灵敏度＞3，响应时间＜10秒；</w:t>
            </w:r>
          </w:p>
          <w:p w14:paraId="3D2C92E5">
            <w:pPr>
              <w:spacing w:beforeLines="0" w:afterLines="0"/>
              <w:jc w:val="left"/>
              <w:rPr>
                <w:rFonts w:hint="eastAsia" w:ascii="宋体" w:hAnsi="宋体"/>
                <w:color w:val="000000"/>
                <w:sz w:val="20"/>
                <w:szCs w:val="24"/>
              </w:rPr>
            </w:pPr>
            <w:r>
              <w:rPr>
                <w:rFonts w:hint="eastAsia" w:ascii="宋体" w:hAnsi="宋体"/>
                <w:color w:val="000000"/>
                <w:sz w:val="20"/>
                <w:szCs w:val="24"/>
              </w:rPr>
              <w:t>5、甲醛监测模块：在线监测，扩散式检测方法，测量范围0-2ppm，分辨率0.01ppm，精度＜±4%，稳定性＜±3%，测量重复性＜±2%，测量灵敏度1.1±0.5μA/ppm；</w:t>
            </w:r>
          </w:p>
          <w:p w14:paraId="71FFC698">
            <w:pPr>
              <w:spacing w:beforeLines="0" w:afterLines="0"/>
              <w:jc w:val="left"/>
              <w:rPr>
                <w:rFonts w:hint="eastAsia" w:ascii="宋体" w:hAnsi="宋体"/>
                <w:color w:val="000000"/>
                <w:sz w:val="20"/>
                <w:szCs w:val="24"/>
              </w:rPr>
            </w:pPr>
            <w:r>
              <w:rPr>
                <w:rFonts w:hint="eastAsia" w:ascii="宋体" w:hAnsi="宋体"/>
                <w:color w:val="000000"/>
                <w:sz w:val="20"/>
                <w:szCs w:val="24"/>
              </w:rPr>
              <w:t>6、CO₂浓度监测模块：采用红外测量原理，具备温度补偿功能，测量范围0-5000PPM，测量精度±4%，分辨率1PPM，测量重复性±1%，预热时间≤180秒，响应时间≤60秒；</w:t>
            </w:r>
          </w:p>
          <w:p w14:paraId="1EFD1EFF">
            <w:pPr>
              <w:spacing w:beforeLines="0" w:afterLines="0"/>
              <w:jc w:val="left"/>
              <w:rPr>
                <w:rFonts w:hint="eastAsia" w:ascii="宋体" w:hAnsi="宋体"/>
                <w:color w:val="000000"/>
                <w:sz w:val="20"/>
                <w:szCs w:val="24"/>
              </w:rPr>
            </w:pPr>
            <w:r>
              <w:rPr>
                <w:rFonts w:hint="eastAsia" w:ascii="宋体" w:hAnsi="宋体"/>
                <w:color w:val="000000"/>
                <w:sz w:val="20"/>
                <w:szCs w:val="24"/>
              </w:rPr>
              <w:t>7、光照监测模块：测量范围0-70KLux，测量精度±7%，分辨率1Lux（16位数字输出），测量重复性±5%，测量稳定时间0.5秒，响应时间＜1秒；</w:t>
            </w:r>
          </w:p>
          <w:p w14:paraId="18BCB7F4">
            <w:pPr>
              <w:spacing w:beforeLines="0" w:afterLines="0"/>
              <w:jc w:val="left"/>
              <w:rPr>
                <w:rFonts w:hint="eastAsia" w:ascii="宋体" w:hAnsi="宋体"/>
                <w:color w:val="000000"/>
                <w:sz w:val="20"/>
                <w:szCs w:val="24"/>
              </w:rPr>
            </w:pPr>
            <w:r>
              <w:rPr>
                <w:rFonts w:hint="eastAsia" w:ascii="宋体" w:hAnsi="宋体"/>
                <w:color w:val="000000"/>
                <w:sz w:val="20"/>
                <w:szCs w:val="24"/>
              </w:rPr>
              <w:t>8、湿度监测模块：测量范围0-100%RH，测量精度±3%RH，分辨率0.1%RH，重复性±1%RH；</w:t>
            </w:r>
          </w:p>
          <w:p w14:paraId="71AB3D1C">
            <w:pPr>
              <w:spacing w:beforeLines="0" w:afterLines="0"/>
              <w:jc w:val="left"/>
              <w:rPr>
                <w:rFonts w:hint="eastAsia" w:ascii="宋体" w:hAnsi="宋体"/>
                <w:color w:val="000000"/>
                <w:sz w:val="20"/>
                <w:szCs w:val="24"/>
              </w:rPr>
            </w:pPr>
            <w:r>
              <w:rPr>
                <w:rFonts w:hint="eastAsia" w:ascii="宋体" w:hAnsi="宋体"/>
                <w:color w:val="000000"/>
                <w:sz w:val="20"/>
                <w:szCs w:val="24"/>
              </w:rPr>
              <w:t>9、温度监测模块：测量范围-40℃-80℃，测量精度±0.5℃，分辨率0.1℃，重复性±0.2℃，空气温度漂移＜±0.1℃/年；</w:t>
            </w:r>
          </w:p>
          <w:p w14:paraId="23AF18BD">
            <w:pPr>
              <w:spacing w:beforeLines="0" w:afterLines="0"/>
              <w:jc w:val="left"/>
              <w:rPr>
                <w:rFonts w:hint="eastAsia" w:ascii="宋体" w:hAnsi="宋体"/>
                <w:color w:val="000000"/>
                <w:sz w:val="20"/>
                <w:szCs w:val="24"/>
              </w:rPr>
            </w:pPr>
            <w:r>
              <w:rPr>
                <w:rFonts w:hint="eastAsia" w:ascii="宋体" w:hAnsi="宋体"/>
                <w:color w:val="000000"/>
                <w:sz w:val="20"/>
                <w:szCs w:val="24"/>
              </w:rPr>
              <w:t>10、环境监测预警模块：可通过显示屏进行预警参数设置，当监测参数达到设定阈值时，系统通过内置扬声器进行预警提醒，并将预警记录实时推送至云平台；支持预警参数设置、预警间隔提醒时间设置及历史预警记录查询功能；</w:t>
            </w:r>
          </w:p>
          <w:p w14:paraId="2C13E38D">
            <w:pPr>
              <w:spacing w:beforeLines="0" w:afterLines="0"/>
              <w:jc w:val="left"/>
              <w:rPr>
                <w:rFonts w:hint="eastAsia" w:ascii="宋体" w:hAnsi="宋体"/>
                <w:color w:val="000000"/>
                <w:sz w:val="20"/>
                <w:szCs w:val="24"/>
              </w:rPr>
            </w:pPr>
            <w:r>
              <w:rPr>
                <w:rFonts w:hint="eastAsia" w:ascii="宋体" w:hAnsi="宋体"/>
                <w:color w:val="000000"/>
                <w:sz w:val="20"/>
                <w:szCs w:val="24"/>
              </w:rPr>
              <w:t>11、实时监测数据采样模块：实时采集室内空气质量、温湿度、光照、甲醛、CO₂、TVOC、PM2.5和PM10以及烟雾数据，并实时显示曲线；</w:t>
            </w:r>
          </w:p>
          <w:p w14:paraId="0649A55F">
            <w:pPr>
              <w:spacing w:beforeLines="0" w:afterLines="0"/>
              <w:jc w:val="left"/>
              <w:rPr>
                <w:rFonts w:hint="eastAsia" w:ascii="宋体" w:hAnsi="宋体"/>
                <w:color w:val="000000"/>
                <w:sz w:val="20"/>
                <w:szCs w:val="24"/>
              </w:rPr>
            </w:pPr>
            <w:r>
              <w:rPr>
                <w:rFonts w:hint="eastAsia" w:ascii="宋体" w:hAnsi="宋体"/>
                <w:color w:val="000000"/>
                <w:sz w:val="20"/>
                <w:szCs w:val="24"/>
              </w:rPr>
              <w:t>12、监测数据统计模块：主机内置存储卡，支持本地查看统计分析温湿度、光照、甲醛、CO₂、TVOC、PM2.5和PM10以及烟雾的1分钟、1小时监测数据；</w:t>
            </w:r>
          </w:p>
          <w:p w14:paraId="489C8C81">
            <w:pPr>
              <w:spacing w:beforeLines="0" w:afterLines="0"/>
              <w:jc w:val="left"/>
              <w:rPr>
                <w:rFonts w:hint="eastAsia" w:ascii="宋体" w:hAnsi="宋体"/>
                <w:color w:val="000000"/>
                <w:sz w:val="20"/>
                <w:szCs w:val="24"/>
              </w:rPr>
            </w:pPr>
            <w:r>
              <w:rPr>
                <w:rFonts w:hint="eastAsia" w:ascii="宋体" w:hAnsi="宋体"/>
                <w:color w:val="000000"/>
                <w:sz w:val="20"/>
                <w:szCs w:val="24"/>
              </w:rPr>
              <w:t>13、室外环境监测数据模块：可监测12种天气实况参数（天气现象、室外温度、体感温度、气压、相对湿度、能见度、风向、风向角度、风速、风力等级、云量、露点温度）及8种室外空气质量实况（室外空气质量、首要污染物、PM2.5、PM10、SO₂、NO₂、CO、O₃）。</w:t>
            </w:r>
          </w:p>
          <w:p w14:paraId="16E93A09">
            <w:pPr>
              <w:spacing w:beforeLines="0" w:afterLines="0"/>
              <w:jc w:val="left"/>
              <w:rPr>
                <w:rFonts w:hint="eastAsia" w:ascii="宋体" w:hAnsi="宋体"/>
                <w:color w:val="000000"/>
                <w:sz w:val="20"/>
                <w:szCs w:val="24"/>
              </w:rPr>
            </w:pPr>
            <w:r>
              <w:rPr>
                <w:rFonts w:hint="eastAsia" w:ascii="宋体" w:hAnsi="宋体"/>
                <w:color w:val="000000"/>
                <w:sz w:val="20"/>
                <w:szCs w:val="24"/>
              </w:rPr>
              <w:t>14、主机内置WIFI2.4GHz模块，支持2.4GHz无线WIFI连接，支持WIFI802.11n协议，可通过手机、平板等手持管理设备扫描二维码查询设备监测数据，并可对设备进行远程管理。</w:t>
            </w:r>
          </w:p>
          <w:p w14:paraId="2854AC16">
            <w:pPr>
              <w:spacing w:beforeLines="0" w:afterLines="0"/>
              <w:jc w:val="left"/>
              <w:rPr>
                <w:rFonts w:hint="eastAsia" w:ascii="宋体" w:hAnsi="宋体"/>
                <w:color w:val="000000"/>
                <w:sz w:val="20"/>
                <w:szCs w:val="24"/>
              </w:rPr>
            </w:pPr>
            <w:r>
              <w:rPr>
                <w:rFonts w:hint="eastAsia" w:ascii="宋体" w:hAnsi="宋体"/>
                <w:color w:val="000000"/>
                <w:sz w:val="20"/>
                <w:szCs w:val="24"/>
              </w:rPr>
              <w:t>▲15、产品整机频率容限：≤20ppm、频率范围：2400-2483.5MHz、发射功率：≤20dBm(EIRP)～＞10dBm(EIRP)、占用带宽：≤40MHz、杂散发射限制：≤-30dBm；主机通过中国国家无线电管理委员会(SRRC)强制认证，型号符合中华人民共和国无线电管理规定和技术标准（投标文件中提供《无线电发射设备型号核准证》，型号与核准证必须相符）。</w:t>
            </w:r>
          </w:p>
          <w:p w14:paraId="49A0AF1F">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16、主机通过下列检测：GB/T2423.1-2008《电工电子产品环境试验第2部分:试验方法试验A:低温试验》，耐低温性能；GB/T2423.2-2008《电工电子产品环境试验第2部分:试验方法试验B:高温》，耐高温性能；GB/T2423.3-2016《环境试验第2部分:试验方法试验Cab:恒定湿热试验》，耐湿热工作性能；GB/T2423.10-2019《环境试验第2部分:试验方法试验Fc:振动(正弦)》，振动试验；符合GB/T26572-2011《电子电气产品中限用物质的限量要求》标准，通过限用物质检测：铅（Pb）≤5mg/kg、镉（Cd）≤5mg/kg、汞（Hg）≤5mg/kg、六价铬（CrVI）≤5mg/kg、多溴联苯（PBBs）≤50mg/kg、多溴二苯醚（PBDEs）≤50mg/kg；投标文件中提供由具备相应检验检测能力的第三方检验检测机构出具有CMA标识的该要求报告复印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66EF">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13D2">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套</w:t>
            </w:r>
          </w:p>
        </w:tc>
      </w:tr>
      <w:tr w14:paraId="537AF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E875">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7C8E">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智慧环境监测系统主机软件</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6DC1D">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top"/>
          </w:tcPr>
          <w:p w14:paraId="12C8D7F5">
            <w:pPr>
              <w:spacing w:beforeLines="0" w:afterLines="0"/>
              <w:jc w:val="left"/>
              <w:rPr>
                <w:rFonts w:hint="eastAsia" w:ascii="宋体" w:hAnsi="宋体"/>
                <w:color w:val="000000"/>
                <w:sz w:val="20"/>
                <w:szCs w:val="24"/>
              </w:rPr>
            </w:pPr>
            <w:r>
              <w:rPr>
                <w:rFonts w:hint="eastAsia" w:ascii="宋体" w:hAnsi="宋体"/>
                <w:color w:val="000000"/>
                <w:sz w:val="20"/>
                <w:szCs w:val="24"/>
              </w:rPr>
              <w:t>1、室内实时监测数据：实时采集室内空气质量、温湿度、光照、甲醛、C02、TVOC、PM2.5 和 PM10 以及烟雾数据，并通过选择监测参数，可以实时显示曲线；室外环境监测数据：可监测 12 种天气实况参数（天气现象、室外温度、体感温度、气压、相对湿度、能见度、风向、风向角度、风速、风力等级、云量、露点温度）以及 8 种室外空气质量实况（室外空气质量、室外首要污染物、PM2.5、PM10、S02、N02、C0、03）；监测数据统计：主机内置存储卡，支持本地查看统计分析显示温湿度、光照、甲醛、C02、TVOC、PM2.5 和 PM10 以及烟雾的 1 分钟监测数据、1 小时监测数据，并通过列表的方式进行呈现；系统音量以及灵敏度设置：可以进行系统音量以及触摸灵敏度参数设置；环境监测预警：可通过显示屏进行预警参数设置，当监测参数达到设定的阈值，系统通过内置的喇叭进行预警提醒，并且将预警记录实时推送至云平台进行消息预警，系统主机可支持预警参数设置、预警间隔提醒时间设置以及历史预警记录查询功能；WIFI 连接参数设置：可以支持 WIFI 参数设置，无线连接、本机 IP、本机 MAC、DHCP 配置；上传平台参数设置：可以支持环境监测数据上传至平台参数设置，设置内容为设备编号、从机地址、服务器端 IP、服务器端端口号；采样设置：可以支持设置采样时间、HTTP 请求时间以及上传平台时间。</w:t>
            </w:r>
          </w:p>
          <w:p w14:paraId="6132FC2D">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智慧环境监测系统主机软件的技术参数应通过GB/T25000.51-2016《系统与软件工程系统与软件质量要求和评价(SQuaRE)第51部分：就绪可用软件产品(RUSP)的质量要求和测试细则》标准的功能性测试；投标文件中提供由具备相应检验检测能力的第三方检验检测机构出具的该要求报告复印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2BBA">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D52C5">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套</w:t>
            </w:r>
          </w:p>
        </w:tc>
      </w:tr>
      <w:tr w14:paraId="443B0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7BD1E">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A86D">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智慧环境监测云平台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9E7F">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top"/>
          </w:tcPr>
          <w:p w14:paraId="4167B9F5">
            <w:pPr>
              <w:spacing w:beforeLines="0" w:afterLines="0"/>
              <w:jc w:val="left"/>
              <w:rPr>
                <w:rFonts w:hint="eastAsia" w:ascii="宋体" w:hAnsi="宋体"/>
                <w:color w:val="000000"/>
                <w:sz w:val="20"/>
                <w:szCs w:val="24"/>
              </w:rPr>
            </w:pPr>
            <w:r>
              <w:rPr>
                <w:rFonts w:hint="eastAsia" w:ascii="宋体" w:hAnsi="宋体"/>
                <w:color w:val="000000"/>
                <w:sz w:val="20"/>
                <w:szCs w:val="24"/>
              </w:rPr>
              <w:t>1、可对监测设备总数统计，包括设备在线率、设备总数、在线设备、离线设备、报警设备、预警数量以及监测时长等数据展示；设备在线列表：可展示监测设备所在空间名称、设备编号、设备名称、设备在线/离线状态以及上一次在线时间等信息；平台系统可采用云服务器部署方式，支持广域网操作和管理，学校用户支持通过电脑端或手机端完成所有的管理操作，方便学校进行账户管理；学校基础数据管理：应可以对学校、组织机构、监测楼栋以及监测空间进行管理操作功能；用户权限管理：应可以刷新、新增、修改、删除以及查询用户等相应的操作，并给指定的用户赋予不同的角色，也可以给用户直接赋予不同的系统功能授权，平台系统支持自定义角色与权限，满足学校多样化的管理需求，学校可自行分配角色给校内教职工对设备进行管理；监测参数管理：应可以刷新，新增、修改、删除以及查询设备可监测的监测参数，监测参数内容包含参数编号、参数名称、单位、监测计算公式、排序码、监测展示图标以及四级预警参数值，其他联动预警的作用；监测设备管理：应可以刷新，新增、修改、删除以及查询监测设备数据，并可以配置每个监测设备的通道监测参数；监测历史数据：应可以按照空间字段、参数字段、时间字段分类查询，查询出来的数据以列表和曲线的方式进行呈现；24 小时监测分析：应可以按照空间进行统计分析所有的监测参数、温湿度 24 小时变化趋势、温湿度分布比例区间以及各个环境参数 24 小时趋势图；监测统计数据：应可以按照空间字段、参数字段、时间字段进行分类查询，可按照小时统计查询最大监测值、最小监测值、平均监测值以及按照日统计查询最大监测值、最小监测值、平均监测值，查询统计出来的数据以列表和曲线的方式进行呈现；监测预警数据查询：应可以按照空间字段、时间字段进行分类查询，可查询当前监测空间内的监测参数预警值；独立报警设置：可对环境监测设备独立报警进行管理，设置环境监测设备报警的报警推送次数、报警时间、推送的方式、推送人；联动报警配置：可联动应急突发事件系统联动报警配置进行设置，选择设置报警推送次数、报警时间、推送的方式、推送人；报警联系人：可对报警联系人进行管理，包含添加、编辑联系人邮箱/微信，实现报警推送功能；多报警输出：可实现电话、短信、小程序以及大屏联动报警输出。</w:t>
            </w:r>
          </w:p>
          <w:p w14:paraId="7CC540A4">
            <w:pPr>
              <w:spacing w:beforeLines="0" w:afterLines="0"/>
              <w:jc w:val="left"/>
              <w:rPr>
                <w:rFonts w:hint="eastAsia" w:ascii="宋体" w:hAnsi="宋体"/>
                <w:color w:val="000000"/>
                <w:sz w:val="20"/>
                <w:szCs w:val="24"/>
              </w:rPr>
            </w:pPr>
            <w:r>
              <w:rPr>
                <w:rFonts w:hint="eastAsia" w:ascii="宋体" w:hAnsi="宋体"/>
                <w:color w:val="000000"/>
                <w:sz w:val="20"/>
                <w:szCs w:val="24"/>
              </w:rPr>
              <w:t>▲2、智慧环境监测云平台的技术参数应通过GB/T25000.51-2016《系统与软件工程系统与软件质量要求和评价(SQuaRE)第51部分：就绪可用软件产品(RUSP)的质量要求和测试细则》标准的；投标文件中提供由具备相应检验检测能力的第三方检验检测机构出具的该要求报告复印件。</w:t>
            </w:r>
          </w:p>
          <w:p w14:paraId="4E06D688">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3、智慧环境监测云平台应符合国产化环境的信创要求，系统前后端在基于国产芯片及国产操作系统、国产数据库上能正常运行；投标文件中提供由具备相应检验检测能力的第三方检验检测机构出具的该要求报告或信创相关证书复印件及信创认证机构或政府官方网站证书查询截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004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4C3D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套</w:t>
            </w:r>
          </w:p>
        </w:tc>
      </w:tr>
      <w:tr w14:paraId="2B76E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0FFC">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77121">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顶装主体架外壳</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7719">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FE519">
            <w:pPr>
              <w:spacing w:beforeLines="0" w:afterLines="0"/>
              <w:jc w:val="left"/>
              <w:rPr>
                <w:rFonts w:hint="eastAsia" w:ascii="宋体" w:hAnsi="宋体"/>
                <w:color w:val="000000"/>
                <w:sz w:val="20"/>
                <w:szCs w:val="24"/>
              </w:rPr>
            </w:pPr>
            <w:r>
              <w:rPr>
                <w:rFonts w:hint="eastAsia" w:ascii="宋体" w:hAnsi="宋体"/>
                <w:color w:val="000000"/>
                <w:sz w:val="20"/>
                <w:szCs w:val="24"/>
              </w:rPr>
              <w:t>1、结构参数：采用多模块化舱体式结构；外壳左右采用铝合金模具挤压型材，舱体前、尾端采用阻燃ABS注塑模具一次成型堵头封盖，舱体外壳左右中腰部镶铝合金装饰条；舱体外壳下部边缘设有LED照明灯条，所有的金属件表面经环氧树脂粉末喷涂高温固化处理。</w:t>
            </w:r>
          </w:p>
          <w:p w14:paraId="640469E7">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技术要求：外壳左右为铝合金挤压型材，采用标准化模块组.模组规格：≥1200mm*730mm*265mm，型材厚度≥1.8mm。模块组合成连体吊装，外壳表面经环氧树脂粉末喷涂高温固化处理，具有阻燃性强和耐酸碱、耐腐蚀，光泽度好，美观大方。</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488E">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1D2F2">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组</w:t>
            </w:r>
          </w:p>
        </w:tc>
      </w:tr>
      <w:tr w14:paraId="50ED8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59AA1">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CAE2B">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顶装内胆主体架</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DCB9">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24DA">
            <w:pPr>
              <w:spacing w:beforeLines="0" w:afterLines="0"/>
              <w:jc w:val="left"/>
              <w:rPr>
                <w:rFonts w:hint="eastAsia" w:ascii="宋体" w:hAnsi="宋体"/>
                <w:color w:val="000000"/>
                <w:sz w:val="20"/>
                <w:szCs w:val="24"/>
              </w:rPr>
            </w:pPr>
            <w:r>
              <w:rPr>
                <w:rFonts w:hint="eastAsia" w:ascii="宋体" w:hAnsi="宋体"/>
                <w:color w:val="000000"/>
                <w:sz w:val="20"/>
                <w:szCs w:val="24"/>
              </w:rPr>
              <w:t>1、结构参数：隔层板、左右铝合金外壳、支撑架采用扣压式组装链接一体，具有质量轻、强度高、耐腐蚀、结构稳定等特点。</w:t>
            </w:r>
          </w:p>
          <w:p w14:paraId="63698A47">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技术参数：舱体底层隔层板采用厚度：≥1.0mm的冷轧钢板，规格：≥1200mm*550mm。支撑架采用厚度：≥3.0mm的冷轧钢板，规格：≥500mm*880mm。所有的金属件表面经环氧树脂粉末喷涂高温固化处理，具有阻燃性强和耐酸碱、耐腐蚀等特点。</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C50E3">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FD55">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组</w:t>
            </w:r>
          </w:p>
        </w:tc>
      </w:tr>
      <w:tr w14:paraId="332C2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C666B">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2CF5">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顶装摇臂动力装置</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1F0E">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496C9">
            <w:pPr>
              <w:spacing w:beforeLines="0" w:afterLines="0"/>
              <w:jc w:val="left"/>
              <w:rPr>
                <w:rFonts w:hint="eastAsia" w:ascii="宋体" w:hAnsi="宋体"/>
                <w:color w:val="000000"/>
                <w:sz w:val="20"/>
                <w:szCs w:val="24"/>
              </w:rPr>
            </w:pPr>
            <w:r>
              <w:rPr>
                <w:rFonts w:hint="eastAsia" w:ascii="宋体" w:hAnsi="宋体"/>
                <w:color w:val="000000"/>
                <w:sz w:val="20"/>
                <w:szCs w:val="24"/>
              </w:rPr>
              <w:t>1、结构参数：顶装摇臂动力装置底座采用锌合金材料，经压铸一次成型。底座连接推杆电机，推杆行程端配有鱼眼轴承，扣装在传动机构上，带动升降臂杆。动力机构在接收到控制系统信号后开始工作，升降驱动静音工作、运行稳定、牢固耐用。</w:t>
            </w:r>
          </w:p>
          <w:p w14:paraId="52B2EC45">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技术要求：推杆动力电源，24V直流低压稳定运作，行程为：≥25mm。升降臂杆采用铝合金型材，管内水、电隔离设计。臂杆规格：≥φ65mm，厚度：≥1.5mm。臂杆表面和管内经环氧树脂粉末静电喷涂，高效节能、环保耐用、防腐耐磨。摇臂联动学生多功能电源盒，实现二者同时升降，亦可收纳进吊装舱体内。摇臂具有防夹功能，在升降过程中，若受到外部持续性阻力，摇臂将自动结束当前升降动作，需等待教师二次检查。</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6DF33">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DEA7">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组</w:t>
            </w:r>
          </w:p>
        </w:tc>
      </w:tr>
      <w:tr w14:paraId="0B298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608F6">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A975">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学生多功能电源模块</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AC4D5">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浙绿睿、育本、韵辰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0384">
            <w:pPr>
              <w:spacing w:beforeLines="0" w:afterLines="0"/>
              <w:jc w:val="left"/>
              <w:rPr>
                <w:rFonts w:hint="eastAsia" w:ascii="宋体" w:hAnsi="宋体"/>
                <w:color w:val="000000"/>
                <w:sz w:val="20"/>
                <w:szCs w:val="24"/>
              </w:rPr>
            </w:pPr>
            <w:r>
              <w:rPr>
                <w:rFonts w:hint="eastAsia" w:ascii="宋体" w:hAnsi="宋体"/>
                <w:color w:val="000000"/>
                <w:sz w:val="20"/>
                <w:szCs w:val="24"/>
              </w:rPr>
              <w:t>1、结构参数：学生多功能电源外壳正面呈“三部分”布局，左右各集成交直流低压电源输出和功能性按钮，中间集成总电源保险装置、急停旋钮以及USB接口。外壳两侧各配有五孔高压插座，底部配有网络接口。</w:t>
            </w:r>
          </w:p>
          <w:p w14:paraId="592AE7C5">
            <w:pPr>
              <w:spacing w:beforeLines="0" w:afterLines="0"/>
              <w:jc w:val="left"/>
              <w:rPr>
                <w:rFonts w:hint="eastAsia" w:ascii="宋体" w:hAnsi="宋体"/>
                <w:color w:val="000000"/>
                <w:sz w:val="20"/>
                <w:szCs w:val="24"/>
              </w:rPr>
            </w:pPr>
            <w:r>
              <w:rPr>
                <w:rFonts w:hint="eastAsia" w:ascii="宋体" w:hAnsi="宋体"/>
                <w:color w:val="000000"/>
                <w:sz w:val="20"/>
                <w:szCs w:val="24"/>
              </w:rPr>
              <w:t>2、技术要求：电源模块外壳采用阻燃级材质，模具一体成型，规格：≥245mm*90mm*180mm。面板基材规格：≥217mm*137mm。面纸采用耐磨、耐腐蚀、耐高温的PC亮光薄膜面板，界面文字清晰美观。</w:t>
            </w:r>
          </w:p>
          <w:p w14:paraId="6659115D">
            <w:pPr>
              <w:spacing w:beforeLines="0" w:afterLines="0"/>
              <w:jc w:val="left"/>
              <w:rPr>
                <w:rFonts w:hint="eastAsia" w:ascii="宋体" w:hAnsi="宋体"/>
                <w:color w:val="000000"/>
                <w:sz w:val="20"/>
                <w:szCs w:val="24"/>
              </w:rPr>
            </w:pPr>
            <w:r>
              <w:rPr>
                <w:rFonts w:hint="eastAsia" w:ascii="宋体" w:hAnsi="宋体"/>
                <w:color w:val="000000"/>
                <w:sz w:val="20"/>
                <w:szCs w:val="24"/>
              </w:rPr>
              <w:t>3、学生电源信息显示屏，采用≥1.8寸彩色TFT，配合高速MCU可流畅显示GUI，四路多功能轻触开关为控制主体，在不同状态下实现不同功能，具体详细参数如下：交流电源：输出0-30V交流，分辨率为1V，电流实时显示，显示分辨率为0.01A，具备过流短路保护。直流电源：输出0-30V直流，分辨率为0.1V，电流实时显示，显示分辨率为0.01A，具备过流短路保护。过载保护：当低压电源有过流或短路时，电路实现过载保护功能，此时界面提示过载，且有声音提示，随后应检查实验电路或负载是否正确，排除问题后可按任意按键实现电源复位。锁定功能：电源可以由学生自行单独操作，也可由老师电源独立控制。当老师锁定学生电源后，界面提示锁定，此时学生按键设计电压功能都将失效，且有声音提示，表示电源已被锁定，只能由教师电源控制，解锁时按键功能恢复正常。电子举手：当老师有提问时，界面可显示老师提问状态，可选择性举手，老师可在主控端实时显示学生举手状态及位置。一个急停旋钮:蘑菇按键头≥φ31mm,材料铝氧化红色；外壳不低于为304不锈钢材质，耐腐蚀、耐温、阻燃、长寿命；高机械寿命，防止在操作实验过程中水、电系统出现故障时紧急制动及摇臂升降过程紧急制动，确保操作安全可靠性。操作端正面设有一组总电源保险装置、二组USB接口。外壳底部配有两组RJ45网络模块接口。二次保护：当摇臂升起时，电源盒上还有未断开的线路或水管时，将会有语音提示播报，等待线路或水管拔除后，摇臂将再次自动升起，教师端无需二次操作。外壳左右两侧各配有：两组新国标五孔多功能220V安全插座，插口带保护门，额定电流10A。自由编号:可自行按教室划分编号,编号可独立使用，也可统一，独立使用时教师端可进行每台的单独控制而不影响其它电源的使用。</w:t>
            </w:r>
          </w:p>
          <w:p w14:paraId="4F006819">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w:t>
            </w:r>
            <w:r>
              <w:rPr>
                <w:rFonts w:hint="eastAsia" w:ascii="宋体" w:hAnsi="宋体"/>
                <w:color w:val="000000"/>
                <w:sz w:val="20"/>
                <w:szCs w:val="24"/>
                <w:lang w:val="en-US" w:eastAsia="zh-CN"/>
              </w:rPr>
              <w:t>4</w:t>
            </w:r>
            <w:r>
              <w:rPr>
                <w:rFonts w:hint="eastAsia" w:ascii="宋体" w:hAnsi="宋体"/>
                <w:color w:val="000000"/>
                <w:sz w:val="20"/>
                <w:szCs w:val="24"/>
              </w:rPr>
              <w:t>、产品应符合GB/T26572-2011标准，通过限用物质检测：铅（Pb）≤5mg/kg、镉（Cd）≤5mg/kg、汞（Hg）≤5mg/kg、六价铬（CrVI）≤5mg/kg、多溴联苯（PBBs）≤50mg/kg、多溴二苯醚（PBDEs）≤50mg/kg；GB/T17626.2-2018标准，通过静电放电抗扰度；GB/T17626.4-2018标准，通过电快速瞬变脉冲群抗扰度；GB/T17626.5-2019标准，通过浪涌(冲击）抗扰度；GB/T17626.6-2017标准，通过射频场感应的传导骚扰抗扰度；GB/T17626.8-2006标准，通过工频磁场抗扰度；GB/T2423.1-2008标准，通过耐低温试验；GB/T2423.2-2008标准，通过耐高温试验；GB/T2423.3-2016标准，通过耐湿热工作性能试验；GB/T2423.7-2018标准，通过跌落试验，投标文件中提供具有CMA标识的第三方检测机构出具的该要求报告复印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D3DF">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85D29">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组</w:t>
            </w:r>
          </w:p>
        </w:tc>
      </w:tr>
      <w:tr w14:paraId="6022D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863D4">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4BEC">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学生电源交换机</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F6B84">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D244A">
            <w:pPr>
              <w:spacing w:beforeLines="0" w:afterLines="0"/>
              <w:jc w:val="left"/>
              <w:rPr>
                <w:rFonts w:hint="eastAsia" w:ascii="宋体" w:hAnsi="宋体"/>
                <w:color w:val="000000"/>
                <w:sz w:val="20"/>
                <w:szCs w:val="24"/>
              </w:rPr>
            </w:pPr>
            <w:r>
              <w:rPr>
                <w:rFonts w:hint="eastAsia" w:ascii="宋体" w:hAnsi="宋体"/>
                <w:color w:val="000000"/>
                <w:sz w:val="20"/>
                <w:szCs w:val="24"/>
              </w:rPr>
              <w:t>1、通讯控制单元：由通讯总线接收总控单元的各种命令，来执行各种动作。</w:t>
            </w:r>
          </w:p>
          <w:p w14:paraId="45095378">
            <w:pPr>
              <w:spacing w:beforeLines="0" w:afterLines="0"/>
              <w:jc w:val="left"/>
              <w:rPr>
                <w:rFonts w:hint="eastAsia" w:ascii="宋体" w:hAnsi="宋体"/>
                <w:color w:val="000000"/>
                <w:sz w:val="20"/>
                <w:szCs w:val="24"/>
              </w:rPr>
            </w:pPr>
            <w:r>
              <w:rPr>
                <w:rFonts w:hint="eastAsia" w:ascii="宋体" w:hAnsi="宋体"/>
                <w:color w:val="000000"/>
                <w:sz w:val="20"/>
                <w:szCs w:val="24"/>
              </w:rPr>
              <w:t>2、摇臂控制单元：采用闭环控制由上、下限检测开关控制。</w:t>
            </w:r>
          </w:p>
          <w:p w14:paraId="64E091BD">
            <w:pPr>
              <w:spacing w:beforeLines="0" w:afterLines="0"/>
              <w:jc w:val="left"/>
              <w:rPr>
                <w:rFonts w:hint="eastAsia" w:ascii="宋体" w:hAnsi="宋体"/>
                <w:color w:val="000000"/>
                <w:sz w:val="20"/>
                <w:szCs w:val="24"/>
              </w:rPr>
            </w:pPr>
            <w:r>
              <w:rPr>
                <w:rFonts w:hint="eastAsia" w:ascii="宋体" w:hAnsi="宋体"/>
                <w:color w:val="000000"/>
                <w:sz w:val="20"/>
                <w:szCs w:val="24"/>
              </w:rPr>
              <w:t>3、低压供电单元：直流电源采用硬件，软件双重保护。交流电源采用隔离检测保护电路，</w:t>
            </w:r>
          </w:p>
          <w:p w14:paraId="61BF528E">
            <w:pPr>
              <w:spacing w:beforeLines="0" w:afterLines="0"/>
              <w:jc w:val="left"/>
              <w:rPr>
                <w:rFonts w:hint="eastAsia" w:ascii="宋体" w:hAnsi="宋体"/>
                <w:color w:val="000000"/>
                <w:sz w:val="20"/>
                <w:szCs w:val="24"/>
              </w:rPr>
            </w:pPr>
            <w:r>
              <w:rPr>
                <w:rFonts w:hint="eastAsia" w:ascii="宋体" w:hAnsi="宋体"/>
                <w:color w:val="000000"/>
                <w:sz w:val="20"/>
                <w:szCs w:val="24"/>
              </w:rPr>
              <w:t>4、高压供电单元：漏电保护，急停停止电路。</w:t>
            </w:r>
          </w:p>
          <w:p w14:paraId="02C69B6C">
            <w:pPr>
              <w:spacing w:beforeLines="0" w:afterLines="0"/>
              <w:jc w:val="left"/>
              <w:rPr>
                <w:rFonts w:hint="eastAsia" w:ascii="宋体" w:hAnsi="宋体"/>
                <w:color w:val="000000"/>
                <w:sz w:val="20"/>
                <w:szCs w:val="24"/>
              </w:rPr>
            </w:pPr>
            <w:r>
              <w:rPr>
                <w:rFonts w:hint="eastAsia" w:ascii="宋体" w:hAnsi="宋体"/>
                <w:color w:val="000000"/>
                <w:sz w:val="20"/>
                <w:szCs w:val="24"/>
              </w:rPr>
              <w:t>5、供水控制单元：水位检测来控制电机启停，实时排水。</w:t>
            </w:r>
          </w:p>
          <w:p w14:paraId="755E23F7">
            <w:pPr>
              <w:spacing w:beforeLines="0" w:afterLines="0"/>
              <w:jc w:val="left"/>
              <w:rPr>
                <w:rFonts w:hint="eastAsia" w:ascii="宋体" w:hAnsi="宋体"/>
                <w:color w:val="000000"/>
                <w:sz w:val="20"/>
                <w:szCs w:val="24"/>
              </w:rPr>
            </w:pPr>
            <w:r>
              <w:rPr>
                <w:rFonts w:hint="eastAsia" w:ascii="宋体" w:hAnsi="宋体"/>
                <w:color w:val="000000"/>
                <w:sz w:val="20"/>
                <w:szCs w:val="24"/>
              </w:rPr>
              <w:t>6、照明控制单元：远程开启关闭。</w:t>
            </w:r>
          </w:p>
          <w:p w14:paraId="7941C8E2">
            <w:pPr>
              <w:spacing w:beforeLines="0" w:afterLines="0"/>
              <w:jc w:val="left"/>
              <w:rPr>
                <w:rFonts w:hint="eastAsia" w:ascii="宋体" w:hAnsi="宋体"/>
                <w:color w:val="000000"/>
                <w:sz w:val="20"/>
                <w:szCs w:val="24"/>
              </w:rPr>
            </w:pPr>
            <w:r>
              <w:rPr>
                <w:rFonts w:hint="eastAsia" w:ascii="宋体" w:hAnsi="宋体"/>
                <w:color w:val="000000"/>
                <w:sz w:val="20"/>
                <w:szCs w:val="24"/>
              </w:rPr>
              <w:t>7、内置独立140VA隔离电源变压器，分组控制学生端低压输出，带分组接线口。</w:t>
            </w:r>
          </w:p>
          <w:p w14:paraId="4D1B8A9D">
            <w:pPr>
              <w:spacing w:beforeLines="0" w:afterLines="0"/>
              <w:jc w:val="left"/>
              <w:rPr>
                <w:rFonts w:hint="eastAsia" w:ascii="宋体" w:hAnsi="宋体"/>
                <w:color w:val="000000"/>
                <w:sz w:val="20"/>
                <w:szCs w:val="24"/>
              </w:rPr>
            </w:pPr>
            <w:r>
              <w:rPr>
                <w:rFonts w:hint="eastAsia" w:ascii="宋体" w:hAnsi="宋体"/>
                <w:color w:val="000000"/>
                <w:sz w:val="20"/>
                <w:szCs w:val="24"/>
              </w:rPr>
              <w:t>8、状态指示单元：各种状态指示，便于安装调试，维修。</w:t>
            </w:r>
          </w:p>
          <w:p w14:paraId="653929E6">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9、语音提示:教师可自由设置是否有语音播报。播报内容包括但不限以下提示：电压设置、照明状态、风速信息、摇臂信息等提示信息。当即将到达定时关机时间时，会有语音提示。并预留给教师时间处理断电前的数据保存与整理工作，防止计算机或电脑断电导致数据丢失。</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478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8963">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台</w:t>
            </w:r>
          </w:p>
        </w:tc>
      </w:tr>
      <w:tr w14:paraId="7343F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A5AEA">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FC1E2">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智能灯光照明装置</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5519D">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4125F">
            <w:pPr>
              <w:spacing w:beforeLines="0" w:afterLines="0"/>
              <w:jc w:val="left"/>
              <w:rPr>
                <w:rFonts w:hint="eastAsia" w:ascii="宋体" w:hAnsi="宋体"/>
                <w:color w:val="000000"/>
                <w:sz w:val="20"/>
                <w:szCs w:val="24"/>
              </w:rPr>
            </w:pPr>
            <w:r>
              <w:rPr>
                <w:rFonts w:hint="eastAsia" w:ascii="宋体" w:hAnsi="宋体"/>
                <w:color w:val="000000"/>
                <w:sz w:val="20"/>
                <w:szCs w:val="24"/>
              </w:rPr>
              <w:t>1、智能照明灯光模块；规格：≥1200*72mm，2个LED吸顶，每组内置2条功率24V标准LED灯带，外罩由铝合金挤压型材，表面经环氧树脂粉末喷涂高温固化处理。</w:t>
            </w:r>
          </w:p>
          <w:p w14:paraId="73FD4859">
            <w:pPr>
              <w:spacing w:beforeLines="0" w:afterLines="0"/>
              <w:jc w:val="left"/>
              <w:rPr>
                <w:rFonts w:hint="eastAsia" w:ascii="宋体" w:hAnsi="宋体"/>
                <w:color w:val="000000"/>
                <w:sz w:val="20"/>
                <w:szCs w:val="24"/>
              </w:rPr>
            </w:pPr>
            <w:r>
              <w:rPr>
                <w:rFonts w:hint="eastAsia" w:ascii="宋体" w:hAnsi="宋体"/>
                <w:color w:val="000000"/>
                <w:sz w:val="20"/>
                <w:szCs w:val="24"/>
              </w:rPr>
              <w:t>2、灯板采用≥2.0mm厚PC光扩散板，扩大了发光面，使光线变的柔和，达到匀光而又透光，同时满足各种雾度值和透光率的需求。及在保证高透光率，降低光衰的情况下，有着良好的光源遮蔽性效果，符合视觉工效学原则及室内工作场所照明。模块化安装，维修便捷。所有灯光模组由独立控制软件系统控制，可以根据实际照明需求进行2个模组单个关闭及开启功能。</w:t>
            </w:r>
          </w:p>
          <w:p w14:paraId="6C895A88">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3、亮度调节：教师端可自由调节灯光亮度，调节范围0-100。</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633C2">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56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95A0F">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条</w:t>
            </w:r>
          </w:p>
        </w:tc>
      </w:tr>
      <w:tr w14:paraId="35983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DDB9">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FE89">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舱体末端封板</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7F07">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F1B1">
            <w:pPr>
              <w:spacing w:beforeLines="0" w:afterLines="0"/>
              <w:jc w:val="left"/>
              <w:rPr>
                <w:rFonts w:hint="eastAsia" w:ascii="宋体" w:hAnsi="宋体"/>
                <w:color w:val="000000"/>
                <w:sz w:val="20"/>
                <w:szCs w:val="24"/>
              </w:rPr>
            </w:pPr>
            <w:r>
              <w:rPr>
                <w:rFonts w:hint="eastAsia" w:ascii="宋体" w:hAnsi="宋体"/>
                <w:color w:val="000000"/>
                <w:sz w:val="20"/>
                <w:szCs w:val="24"/>
              </w:rPr>
              <w:t>1、结构参数：末端堵头与外壳用扣压式组装，具有质量轻、强度高、耐腐蚀、结构稳定后期检修便捷等特点。</w:t>
            </w:r>
          </w:p>
          <w:p w14:paraId="4091269D">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2、技术要求：采用ABS工程材料，必须由模具注塑一次成型，规格：≥730mm*250mm*280mm。</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C08F1">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68359">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个</w:t>
            </w:r>
          </w:p>
        </w:tc>
      </w:tr>
      <w:tr w14:paraId="146FD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3D037">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5F07">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吊架外壳功能板</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34717">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D65F">
            <w:pPr>
              <w:spacing w:beforeLines="0" w:afterLines="0"/>
              <w:jc w:val="left"/>
              <w:rPr>
                <w:rFonts w:hint="eastAsia" w:ascii="宋体" w:hAnsi="宋体"/>
                <w:color w:val="000000"/>
                <w:sz w:val="20"/>
                <w:szCs w:val="24"/>
              </w:rPr>
            </w:pPr>
            <w:r>
              <w:rPr>
                <w:rFonts w:hint="eastAsia" w:ascii="宋体" w:hAnsi="宋体"/>
                <w:color w:val="000000"/>
                <w:sz w:val="20"/>
                <w:szCs w:val="24"/>
              </w:rPr>
              <w:t>1、规格：≥600mm*450mm*115mm，厚度≥2mm；采用ABS注塑成型，经高温模压工艺一次成型，表面光滑，环保无毒，生产工业采取模块组合，便于安装，外观流线形设计，简洁美观，高温固化处理，耐腐蚀。</w:t>
            </w:r>
          </w:p>
          <w:p w14:paraId="045B6464">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2、结构特点：每个实验室高度不同，安装时可调整法兰圈紧贴到天花板，不留空隙。</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0D7B">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3D9C">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个</w:t>
            </w:r>
          </w:p>
        </w:tc>
      </w:tr>
      <w:tr w14:paraId="3DB81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EA93">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BB61">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吊装安装支架</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2554">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1A5E4">
            <w:pPr>
              <w:spacing w:beforeLines="0" w:afterLines="0"/>
              <w:jc w:val="left"/>
              <w:rPr>
                <w:rFonts w:hint="eastAsia" w:ascii="宋体" w:hAnsi="宋体"/>
                <w:color w:val="000000"/>
                <w:sz w:val="20"/>
                <w:szCs w:val="24"/>
              </w:rPr>
            </w:pPr>
            <w:r>
              <w:rPr>
                <w:rFonts w:hint="eastAsia" w:ascii="宋体" w:hAnsi="宋体"/>
                <w:color w:val="000000"/>
                <w:sz w:val="20"/>
                <w:szCs w:val="24"/>
              </w:rPr>
              <w:t>1、安装盘规格:≥225mm*225mm*180mm，采用厚度≥4mmSPCC冷轧钢板经激光切割、数控冲压、数控折弯成型，生产工业采取模块组合，便于安装，外观流线形设计，简洁美观，表面经环氧树脂粉末静电喷涂、高温固化处理，耐腐蚀。</w:t>
            </w:r>
          </w:p>
          <w:p w14:paraId="1F75F0A0">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2、升降支架规格：宽度≥230mm，长度500～820mm伸缩结构，采用厚度≥3mm，SPCC冷轧钢板经激光切割、数控冲压、数控折弯成型，表面经环氧树脂粉末静电喷涂、高温固化处理，耐腐蚀</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AF74">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ABC93">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套</w:t>
            </w:r>
          </w:p>
        </w:tc>
      </w:tr>
      <w:tr w14:paraId="4C86C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F034F">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E714F">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主架舱体防尘检修板</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2E298">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B813">
            <w:pPr>
              <w:spacing w:beforeLines="0" w:afterLines="0"/>
              <w:jc w:val="left"/>
              <w:rPr>
                <w:rFonts w:hint="eastAsia" w:ascii="宋体" w:hAnsi="宋体"/>
                <w:color w:val="000000"/>
                <w:sz w:val="20"/>
                <w:szCs w:val="24"/>
              </w:rPr>
            </w:pPr>
            <w:r>
              <w:rPr>
                <w:rFonts w:hint="eastAsia" w:ascii="宋体" w:hAnsi="宋体"/>
                <w:color w:val="000000"/>
                <w:sz w:val="20"/>
                <w:szCs w:val="24"/>
              </w:rPr>
              <w:t>1、采用≥1.2mm厚SPCC冷轧钢板，钣金折弯成型。CO2保护焊焊接，打磨处理，表面光滑，不易变形，强度高等特点，</w:t>
            </w:r>
          </w:p>
          <w:p w14:paraId="1DC619F2">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2、表面经酸洗磷化处理，静电喷涂环保粉末高温处理工艺，无有害物质，具有防腐性高，造型独特美观，检修方便。</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4F31">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EAB3D">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块</w:t>
            </w:r>
          </w:p>
        </w:tc>
      </w:tr>
      <w:tr w14:paraId="0362A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547A">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277D4">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学生端给排水接口</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096E">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24F7">
            <w:pPr>
              <w:spacing w:beforeLines="0" w:afterLines="0"/>
              <w:jc w:val="left"/>
              <w:rPr>
                <w:rFonts w:hint="eastAsia" w:ascii="宋体" w:hAnsi="宋体"/>
                <w:color w:val="000000"/>
                <w:sz w:val="20"/>
                <w:szCs w:val="24"/>
              </w:rPr>
            </w:pPr>
            <w:r>
              <w:rPr>
                <w:rFonts w:hint="eastAsia" w:ascii="宋体" w:hAnsi="宋体"/>
                <w:color w:val="000000"/>
                <w:sz w:val="20"/>
                <w:szCs w:val="24"/>
              </w:rPr>
              <w:t>1、给排水管接头采用,PVC材质，具有耐酸碱，拔插轻松，不生锈；即插即用，带自动锁紧插功能，带自动止水功能，即使在供水排水工作时，随时拔掉接口不会有任何滴漏现象。</w:t>
            </w:r>
          </w:p>
          <w:p w14:paraId="0BCE33A2">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给水是红色水管，排水是蓝色水管。水管和快速接头链接采用不锈钢螺纹接口连接，不漏水，维修方便。水管采用金属包塑编织风暴软管，管外部由PVC包塑，中层有≥8股不低于304不锈钢丝抱箍，内管加厚三元乙丙橡胶材料，抗老化、防爆裂、防生锈、经久耐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7276B">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9AFD">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套</w:t>
            </w:r>
          </w:p>
        </w:tc>
      </w:tr>
      <w:tr w14:paraId="48191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99C2B">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2401">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可伸缩万向吸风罩</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6D11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2B298">
            <w:pPr>
              <w:spacing w:beforeLines="0" w:afterLines="0"/>
              <w:jc w:val="left"/>
              <w:rPr>
                <w:rFonts w:hint="eastAsia" w:ascii="宋体" w:hAnsi="宋体"/>
                <w:color w:val="000000"/>
                <w:sz w:val="20"/>
                <w:szCs w:val="24"/>
              </w:rPr>
            </w:pPr>
            <w:r>
              <w:rPr>
                <w:rFonts w:hint="eastAsia" w:ascii="宋体" w:hAnsi="宋体"/>
                <w:color w:val="000000"/>
                <w:sz w:val="20"/>
                <w:szCs w:val="24"/>
              </w:rPr>
              <w:t>1、风管材质：铝合金，管径≥63mm，表面喷砂氧化处理。</w:t>
            </w:r>
          </w:p>
          <w:p w14:paraId="79F83286">
            <w:pPr>
              <w:spacing w:beforeLines="0" w:afterLines="0"/>
              <w:jc w:val="left"/>
              <w:rPr>
                <w:rFonts w:hint="eastAsia" w:ascii="宋体" w:hAnsi="宋体"/>
                <w:color w:val="000000"/>
                <w:sz w:val="20"/>
                <w:szCs w:val="24"/>
              </w:rPr>
            </w:pPr>
            <w:r>
              <w:rPr>
                <w:rFonts w:hint="eastAsia" w:ascii="宋体" w:hAnsi="宋体"/>
                <w:color w:val="000000"/>
                <w:sz w:val="20"/>
                <w:szCs w:val="24"/>
              </w:rPr>
              <w:t>2、关节连接杆：高强度钢。</w:t>
            </w:r>
          </w:p>
          <w:p w14:paraId="29DFB67C">
            <w:pPr>
              <w:spacing w:beforeLines="0" w:afterLines="0"/>
              <w:jc w:val="left"/>
              <w:rPr>
                <w:rFonts w:hint="eastAsia" w:ascii="宋体" w:hAnsi="宋体"/>
                <w:color w:val="000000"/>
                <w:sz w:val="20"/>
                <w:szCs w:val="24"/>
              </w:rPr>
            </w:pPr>
            <w:r>
              <w:rPr>
                <w:rFonts w:hint="eastAsia" w:ascii="宋体" w:hAnsi="宋体"/>
                <w:color w:val="000000"/>
                <w:sz w:val="20"/>
                <w:szCs w:val="24"/>
              </w:rPr>
              <w:t>3、松紧旋钮：高强度合金材质，表面喷塑处理，内嵌不锈钢轴承，与关节连接杆锁合。</w:t>
            </w:r>
          </w:p>
          <w:p w14:paraId="4E37194E">
            <w:pPr>
              <w:spacing w:beforeLines="0" w:afterLines="0"/>
              <w:jc w:val="left"/>
              <w:rPr>
                <w:rFonts w:hint="eastAsia" w:ascii="宋体" w:hAnsi="宋体"/>
                <w:color w:val="000000"/>
                <w:sz w:val="20"/>
                <w:szCs w:val="24"/>
              </w:rPr>
            </w:pPr>
            <w:r>
              <w:rPr>
                <w:rFonts w:hint="eastAsia" w:ascii="宋体" w:hAnsi="宋体"/>
                <w:color w:val="000000"/>
                <w:sz w:val="20"/>
                <w:szCs w:val="24"/>
              </w:rPr>
              <w:t>4、固定底座：高密度PVC材质，备为通风系统的学非粘接而成，模具注塑一体成型。</w:t>
            </w:r>
          </w:p>
          <w:p w14:paraId="5A7B90D0">
            <w:pPr>
              <w:spacing w:beforeLines="0" w:afterLines="0"/>
              <w:jc w:val="left"/>
              <w:rPr>
                <w:rFonts w:hint="eastAsia" w:ascii="宋体" w:hAnsi="宋体"/>
                <w:color w:val="000000"/>
                <w:sz w:val="20"/>
                <w:szCs w:val="24"/>
              </w:rPr>
            </w:pPr>
            <w:r>
              <w:rPr>
                <w:rFonts w:hint="eastAsia" w:ascii="宋体" w:hAnsi="宋体"/>
                <w:color w:val="000000"/>
                <w:sz w:val="20"/>
                <w:szCs w:val="24"/>
              </w:rPr>
              <w:t>5、拱形集气罩：形状如喇叭口，合金材质，具有阻燃、耐腐蚀等功效。</w:t>
            </w:r>
          </w:p>
          <w:p w14:paraId="666CED78">
            <w:pPr>
              <w:spacing w:beforeLines="0" w:afterLines="0"/>
              <w:jc w:val="left"/>
              <w:rPr>
                <w:rFonts w:hint="eastAsia" w:ascii="宋体" w:hAnsi="宋体"/>
                <w:color w:val="000000"/>
                <w:sz w:val="20"/>
                <w:szCs w:val="24"/>
              </w:rPr>
            </w:pPr>
            <w:r>
              <w:rPr>
                <w:rFonts w:hint="eastAsia" w:ascii="宋体" w:hAnsi="宋体"/>
                <w:color w:val="000000"/>
                <w:sz w:val="20"/>
                <w:szCs w:val="24"/>
              </w:rPr>
              <w:t>6、集气罩连接帽：连接帽连接紧固，螺纹无滑牙、烂牙等现象。</w:t>
            </w:r>
          </w:p>
          <w:p w14:paraId="25126F64">
            <w:pPr>
              <w:spacing w:beforeLines="0" w:afterLines="0"/>
              <w:jc w:val="left"/>
              <w:rPr>
                <w:rFonts w:hint="eastAsia" w:ascii="宋体" w:hAnsi="宋体"/>
                <w:color w:val="000000"/>
                <w:sz w:val="20"/>
                <w:szCs w:val="24"/>
              </w:rPr>
            </w:pPr>
            <w:r>
              <w:rPr>
                <w:rFonts w:hint="eastAsia" w:ascii="宋体" w:hAnsi="宋体"/>
                <w:color w:val="000000"/>
                <w:sz w:val="20"/>
                <w:szCs w:val="24"/>
              </w:rPr>
              <w:t>7、扭簧：扭簧材质弹簧钢表面抗氧化处理、扭簧线径≥4mm、外径≥30mm、角度90度、扭簧引脚右旋，脚长≥85mm。</w:t>
            </w:r>
          </w:p>
          <w:p w14:paraId="52AC7DC2">
            <w:pPr>
              <w:spacing w:beforeLines="0" w:afterLines="0"/>
              <w:jc w:val="left"/>
              <w:rPr>
                <w:rFonts w:hint="eastAsia" w:ascii="宋体" w:hAnsi="宋体"/>
                <w:color w:val="000000"/>
                <w:sz w:val="20"/>
                <w:szCs w:val="24"/>
              </w:rPr>
            </w:pPr>
            <w:r>
              <w:rPr>
                <w:rFonts w:hint="eastAsia" w:ascii="宋体" w:hAnsi="宋体"/>
                <w:color w:val="000000"/>
                <w:sz w:val="20"/>
                <w:szCs w:val="24"/>
              </w:rPr>
              <w:t>8、关节：高密度pp材质，表面磨砂处理，可360°旋转调节方向。</w:t>
            </w:r>
          </w:p>
          <w:p w14:paraId="34ADF91A">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9、旋转角度：安装后可调节到三维360度任意转停，集气罩吸气角度360度任意转停。</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ACE82">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56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9957C">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套</w:t>
            </w:r>
          </w:p>
        </w:tc>
      </w:tr>
      <w:tr w14:paraId="3E24B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7B33">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E57A">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学生实验桌</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F3B2A">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浙绿睿、育本、韵辰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8157">
            <w:pPr>
              <w:spacing w:beforeLines="0" w:afterLines="0"/>
              <w:jc w:val="left"/>
              <w:rPr>
                <w:rFonts w:hint="eastAsia" w:ascii="宋体" w:hAnsi="宋体"/>
                <w:color w:val="000000"/>
                <w:sz w:val="20"/>
                <w:szCs w:val="24"/>
              </w:rPr>
            </w:pPr>
            <w:r>
              <w:rPr>
                <w:rFonts w:hint="eastAsia" w:ascii="宋体" w:hAnsi="宋体"/>
                <w:color w:val="000000"/>
                <w:sz w:val="20"/>
                <w:szCs w:val="24"/>
              </w:rPr>
              <w:t>1、规格：1200mm*600mm*780mm±5mm。</w:t>
            </w:r>
          </w:p>
          <w:p w14:paraId="55A59D28">
            <w:pPr>
              <w:spacing w:beforeLines="0" w:afterLines="0"/>
              <w:jc w:val="left"/>
              <w:rPr>
                <w:rFonts w:hint="eastAsia" w:ascii="宋体" w:hAnsi="宋体"/>
                <w:color w:val="000000"/>
                <w:sz w:val="20"/>
                <w:szCs w:val="24"/>
              </w:rPr>
            </w:pPr>
            <w:r>
              <w:rPr>
                <w:rFonts w:hint="eastAsia" w:ascii="宋体" w:hAnsi="宋体"/>
                <w:color w:val="000000"/>
                <w:sz w:val="20"/>
                <w:szCs w:val="24"/>
              </w:rPr>
              <w:t>2、台面：采用≥20mm厚无甲醛新型环保陶瓷台面，表面为实验室专业耐腐蚀、耐污染、抗冲击釉面。坯体一体实芯，釉面和坯体经高温一体烧结而成。</w:t>
            </w:r>
          </w:p>
          <w:p w14:paraId="36FDC31F">
            <w:pPr>
              <w:spacing w:beforeLines="0" w:afterLines="0"/>
              <w:jc w:val="left"/>
              <w:rPr>
                <w:rFonts w:hint="eastAsia" w:ascii="宋体" w:hAnsi="宋体"/>
                <w:color w:val="000000"/>
                <w:sz w:val="20"/>
                <w:szCs w:val="24"/>
              </w:rPr>
            </w:pPr>
            <w:r>
              <w:rPr>
                <w:rFonts w:hint="eastAsia" w:ascii="宋体" w:hAnsi="宋体"/>
                <w:color w:val="000000"/>
                <w:sz w:val="20"/>
                <w:szCs w:val="24"/>
              </w:rPr>
              <w:t>▲3、台面参照GB/T17657-2022检测标准，表面耐污染性能：检测内容≥60种试剂，污染物接触时长≥48h，检测结果≥5级且无明显变化；表面耐冷热循环性能：检测结果为台面表面无裂纹、无鼓包现象；颜色稳定性：耐光色牢度≥4级，投标文件中提供具有CMA标识的第三方检测机构出具的检测报告复印件；</w:t>
            </w:r>
          </w:p>
          <w:p w14:paraId="1BB6F7D9">
            <w:pPr>
              <w:spacing w:beforeLines="0" w:afterLines="0"/>
              <w:jc w:val="left"/>
              <w:rPr>
                <w:rFonts w:hint="eastAsia" w:ascii="宋体" w:hAnsi="宋体"/>
                <w:color w:val="000000"/>
                <w:sz w:val="20"/>
                <w:szCs w:val="24"/>
              </w:rPr>
            </w:pPr>
            <w:r>
              <w:rPr>
                <w:rFonts w:hint="eastAsia" w:ascii="宋体" w:hAnsi="宋体"/>
                <w:color w:val="000000"/>
                <w:sz w:val="20"/>
                <w:szCs w:val="24"/>
              </w:rPr>
              <w:t>4、书包斗：整体尺寸≥400*250*100mm,采用环保型ABS塑料工程一次性注塑成型，底、面部加设经纬加强筋，防止变形弯曲。在书包斗的前端中心位置注塑出螺孔，通过螺钉将书包斗与中间横梁固定相接，可拆卸易于组装。中间设置内凹圆槽挂凳卡槽，便于收纳、放置实验凳。</w:t>
            </w:r>
          </w:p>
          <w:p w14:paraId="44DCF4A5">
            <w:pPr>
              <w:spacing w:beforeLines="0" w:afterLines="0"/>
              <w:jc w:val="left"/>
              <w:rPr>
                <w:rFonts w:hint="eastAsia" w:ascii="宋体" w:hAnsi="宋体"/>
                <w:color w:val="000000"/>
                <w:sz w:val="20"/>
                <w:szCs w:val="24"/>
              </w:rPr>
            </w:pPr>
            <w:r>
              <w:rPr>
                <w:rFonts w:hint="eastAsia" w:ascii="宋体" w:hAnsi="宋体"/>
                <w:color w:val="000000"/>
                <w:sz w:val="20"/>
                <w:szCs w:val="24"/>
              </w:rPr>
              <w:t>5、侧面采用三段式高强度铝合金结构，整体规格：≥586*809mm，其中上支架尺寸：≥586*122*46mm,下支架尺寸：≥545*83*55mm。立柱采用倾斜式设计，内嵌入上下铸铝支架≥30mm，后端配备加固支撑梁。侧面上下支架采用≥3mm厚的铝压铸一次成型，各部分连接设置专用定位件，并用高强度内六角自攻螺丝≥6mm*25mm上下各两支连接固定。可另外在选装专用搭配国标五孔插座。上支架设计电源插芯孔，在上支架中央处一次性压铸出专用金属固定槽，插座芯塑料外壳自带的四个卡槽可直接拍入上支架中固定，不得另打螺丝或胶水，由上支架带一个直径≥16mm的接线孔，下支架带一个≥18mm*35mm的接线孔。</w:t>
            </w:r>
          </w:p>
          <w:p w14:paraId="3296432F">
            <w:pPr>
              <w:spacing w:beforeLines="0" w:afterLines="0"/>
              <w:jc w:val="left"/>
              <w:rPr>
                <w:rFonts w:hint="eastAsia" w:ascii="宋体" w:hAnsi="宋体"/>
                <w:color w:val="000000"/>
                <w:sz w:val="20"/>
                <w:szCs w:val="24"/>
              </w:rPr>
            </w:pPr>
            <w:r>
              <w:rPr>
                <w:rFonts w:hint="eastAsia" w:ascii="宋体" w:hAnsi="宋体"/>
                <w:color w:val="000000"/>
                <w:sz w:val="20"/>
                <w:szCs w:val="24"/>
              </w:rPr>
              <w:t>6、立柱采用菱形八边型结构设计，规格：≥95mm*41mm，厚度≥1.5mm。垂直面与斜面各有四面，正面垂直面与斜面夹角≥10度，侧面垂直面与斜面夹角≥80度。立柱外立面中间无凹槽。前横梁、后横梁和中下横梁全部采用高强度挤出铝合金模具型材，铝材表面经环氧树脂户外粉末静电喷涂处理。前后横梁尺寸：≥40*30mm，采用前端半圆弧人体工程学设计，圆弧角度≥R18，安装螺丝处的厚度≥2mm，其它厚度为≥1.1mm。中下横梁尺寸：≥50mm*25mm。</w:t>
            </w:r>
          </w:p>
          <w:p w14:paraId="2E8B6591">
            <w:pPr>
              <w:spacing w:beforeLines="0" w:afterLines="0"/>
              <w:jc w:val="left"/>
              <w:rPr>
                <w:rFonts w:hint="eastAsia" w:ascii="宋体" w:hAnsi="宋体"/>
                <w:color w:val="000000"/>
                <w:sz w:val="20"/>
                <w:szCs w:val="24"/>
              </w:rPr>
            </w:pPr>
            <w:r>
              <w:rPr>
                <w:rFonts w:hint="eastAsia" w:ascii="宋体" w:hAnsi="宋体"/>
                <w:color w:val="000000"/>
                <w:sz w:val="20"/>
                <w:szCs w:val="24"/>
              </w:rPr>
              <w:t>7、下支架脚：下支架脚两端各设置一个直径：≥8.7mm的圆形孔位，可通过拉爆螺丝与地面固定或搭配直径：≥30mm的调节脚使用。调节脚：≥10mm*30mm国标螺杆与塑料一体注塑成型，承重性强。前后桌脚配有不同装饰颜色的PP脚套装饰盖。</w:t>
            </w:r>
          </w:p>
          <w:p w14:paraId="3FD57E4B">
            <w:pPr>
              <w:spacing w:beforeLines="0" w:afterLines="0"/>
              <w:jc w:val="left"/>
              <w:rPr>
                <w:rFonts w:hint="eastAsia" w:ascii="宋体" w:hAnsi="宋体"/>
                <w:color w:val="000000"/>
                <w:sz w:val="20"/>
                <w:szCs w:val="24"/>
              </w:rPr>
            </w:pPr>
            <w:r>
              <w:rPr>
                <w:rFonts w:hint="eastAsia" w:ascii="宋体" w:hAnsi="宋体"/>
                <w:color w:val="000000"/>
                <w:sz w:val="20"/>
                <w:szCs w:val="24"/>
              </w:rPr>
              <w:t>8、背部挡水条经模具一体挤压成型，根据不同厚度的台面板配不同高度的镶入卡口挡水条。</w:t>
            </w:r>
          </w:p>
          <w:p w14:paraId="6864AD48">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9、学生实验桌应符合应符合GB/T13667.1-2015中6.3.1.5标准，金属喷塑涂层理化性能，耐腐蚀：（100h内，溶液中样板上划道两侧3mm以外，应无鼓泡产生；100h后，划道两侧3mm外，应无锈迹、剥落、起皱、变色和失光等现象）；应符合QB/T4371-2012标准，满足抗菌性能:金黄色葡萄球菌，大肠杆菌，抑菌率，≥99.9%，抗菌效果，具有较好的抗菌效果。GB/T1741-2020标准，漆膜耐霉菌性试验：黑曲霉，黄曲霉，宛氏拟青霉，绳状青霉，出芽短梗霉，土曲霉，球毛壳霉，耐霉菌性等级≥0级；投标文件中提供具有CMA标识的第三方检测机构出具的该要求报告复印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D372C">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56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1F63">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张</w:t>
            </w:r>
          </w:p>
        </w:tc>
      </w:tr>
      <w:tr w14:paraId="79114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1CF9D">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DCE58">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学生凳</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B467">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浙绿睿、育本、韵辰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232C1">
            <w:pPr>
              <w:spacing w:beforeLines="0" w:afterLines="0"/>
              <w:jc w:val="left"/>
              <w:rPr>
                <w:rFonts w:hint="eastAsia" w:ascii="宋体" w:hAnsi="宋体"/>
                <w:color w:val="000000"/>
                <w:sz w:val="20"/>
                <w:szCs w:val="24"/>
              </w:rPr>
            </w:pPr>
            <w:r>
              <w:rPr>
                <w:rFonts w:hint="eastAsia" w:ascii="宋体" w:hAnsi="宋体"/>
                <w:color w:val="000000"/>
                <w:sz w:val="20"/>
                <w:szCs w:val="24"/>
              </w:rPr>
              <w:t>1、学生凳面：采用双色双质圆形面板，注塑包胶成型，面板采用ABS新料一体注塑成型，面板直径295mm±5mm，中间有内弧造型，深度为10mm±2mm，表面防滑不发光，凳面中间镶嵌有≥4mm厚，直径225mm±5mm的TPR灰色圆形软性材料，并采用包胶工艺与凳面组合，且表面平整、无凹凸。</w:t>
            </w:r>
          </w:p>
          <w:p w14:paraId="4C8C9FA9">
            <w:pPr>
              <w:spacing w:beforeLines="0" w:afterLines="0"/>
              <w:jc w:val="left"/>
              <w:rPr>
                <w:rFonts w:hint="eastAsia" w:ascii="宋体" w:hAnsi="宋体"/>
                <w:color w:val="000000"/>
                <w:sz w:val="20"/>
                <w:szCs w:val="24"/>
              </w:rPr>
            </w:pPr>
            <w:r>
              <w:rPr>
                <w:rFonts w:hint="eastAsia" w:ascii="宋体" w:hAnsi="宋体"/>
                <w:color w:val="000000"/>
                <w:sz w:val="20"/>
                <w:szCs w:val="24"/>
              </w:rPr>
              <w:t>2、脚钢架：椭圆形无缝钢管，脚钢架尺寸:≥16mm*32mm*1.2mm，焊接完成，结构牢固，经高温粉体烤漆处理，长时间使用也不会产生表面烤漆剥落现象。</w:t>
            </w:r>
          </w:p>
          <w:p w14:paraId="666B6485">
            <w:pPr>
              <w:spacing w:beforeLines="0" w:afterLines="0"/>
              <w:jc w:val="left"/>
              <w:rPr>
                <w:rFonts w:hint="eastAsia" w:ascii="宋体" w:hAnsi="宋体"/>
                <w:color w:val="000000"/>
                <w:sz w:val="20"/>
                <w:szCs w:val="24"/>
              </w:rPr>
            </w:pPr>
            <w:r>
              <w:rPr>
                <w:rFonts w:hint="eastAsia" w:ascii="宋体" w:hAnsi="宋体"/>
                <w:color w:val="000000"/>
                <w:sz w:val="20"/>
                <w:szCs w:val="24"/>
              </w:rPr>
              <w:t>3、脚垫：材质：采用PP加耐磨纤维质塑料，实心倒勾式一体射出成型。</w:t>
            </w:r>
          </w:p>
          <w:p w14:paraId="741233D8">
            <w:pPr>
              <w:spacing w:beforeLines="0" w:afterLines="0"/>
              <w:jc w:val="left"/>
              <w:rPr>
                <w:rFonts w:hint="eastAsia" w:ascii="宋体" w:hAnsi="宋体"/>
                <w:color w:val="000000"/>
                <w:sz w:val="20"/>
                <w:szCs w:val="24"/>
              </w:rPr>
            </w:pPr>
            <w:r>
              <w:rPr>
                <w:rFonts w:hint="eastAsia" w:ascii="宋体" w:hAnsi="宋体"/>
                <w:color w:val="000000"/>
                <w:sz w:val="20"/>
                <w:szCs w:val="24"/>
              </w:rPr>
              <w:t>4、凳子可通过旋转螺杆来升降凳子高度。</w:t>
            </w:r>
          </w:p>
          <w:p w14:paraId="6BA3B2A7">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▲5、学生凳应符合GB/T1732-2020标准，耐冲击，24h，冲击 40cm，应无皱纹、裂纹、剥落。GB/T16422.2-2022标准，耐老化，240h，试验后，样品无明显变化，无变色、无起泡、无开裂等现象。GB/T2411-2008标准，塑料件硬度，24h，≥63HD。GB/T9286-2021标准，涂层-附着力，24h，应不低于2级。GB/T10125-2021标准，中性盐雾，试验后，样品无明显变化，无起泡、无开裂、无锈蚀等现象；应符合GB/T13667.1-2015中6.3.1.5标准，金属喷塑涂层理化性能，耐腐蚀：（100h内，溶液中样板上划道两侧3mm以外，应无鼓泡产生；100h后，划道两侧3mm外，应无锈迹、剥落、起皱、变色和失光等现象）。GB/T10357.2-2013标准，力学性能-椅凳类稳定性，向前倾翻试验、力学性能-椅凳类稳定性，向后倾翻试验；应符合QB/T 4371-2012标准，满足抗菌性能:金黄色葡萄球菌，大肠杆菌，抑菌率，≥99.9%，抗菌效果，具有较好的抗菌效果。GB/T1741-2020标准，漆膜耐霉菌性试验：黑曲霉，黄曲霉，宛氏拟青霉，绳状青霉，出芽短梗霉，土曲霉，球毛壳霉，耐霉菌性等级不低于0级；投标文件中提供具有CMA标识的第三方检测机构出具的该要求报告复印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187A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112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9E1A">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条</w:t>
            </w:r>
          </w:p>
        </w:tc>
      </w:tr>
      <w:tr w14:paraId="66F35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2E43">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9804">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水槽柜</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8387">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88EC">
            <w:pPr>
              <w:spacing w:beforeLines="0" w:afterLines="0"/>
              <w:jc w:val="left"/>
              <w:rPr>
                <w:rFonts w:hint="eastAsia" w:ascii="宋体" w:hAnsi="宋体"/>
                <w:color w:val="000000"/>
                <w:sz w:val="20"/>
                <w:szCs w:val="24"/>
              </w:rPr>
            </w:pPr>
            <w:r>
              <w:rPr>
                <w:rFonts w:hint="eastAsia" w:ascii="宋体" w:hAnsi="宋体"/>
                <w:color w:val="000000"/>
                <w:sz w:val="20"/>
                <w:szCs w:val="24"/>
              </w:rPr>
              <w:t>1、规格：≥440mm*600mm*850mm；水槽采用环保型PP材料一次性注塑成型，耐强酸碱≤80度有机溶剂并耐≥150度高温，壁厚≥4mm，具有防溢出功能。水槽后端高出水槽两侧≥50mm防止后排学生使用时水溅到前排学生身上。水槽柜为榫卯连接结构并合理布局加强筋，安装时不用胶水粘结，使用产品自身力量相互连接，产品不变形，不扭曲。柜子整体采用环保型ABS工程塑料一次性注塑成型，表面木纹与光面相结合处理。同时水槽柜底部为模具一体成型，加固水槽柜的强度。</w:t>
            </w:r>
          </w:p>
          <w:p w14:paraId="48B80458">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水槽柜带独立储物抽屉，抽屉隐藏于水槽柜检修门内，使用时打开，不用时不影响整体外观造型。同时水槽柜自带抽屉封板防止抽屉内物品外漏于水槽柜内，抽屉封板与水槽柜前端模具一体成型非二次组装。储物抽屉采用环保型ABS材料一次性注塑成型与水槽柜整体连接，尺寸：≥85mm*120mm*345mm，储物抽屉分为三格，每格尺寸：≥110mm*115mm*65mm；便于学生使用时存放不同洗涤辅助用品。</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326D8">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4B67">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套</w:t>
            </w:r>
          </w:p>
        </w:tc>
      </w:tr>
      <w:tr w14:paraId="044BC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BF27C">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74EE">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三联水嘴</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B98B4">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武洁、TOF、chunshui</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5DEA7">
            <w:pPr>
              <w:spacing w:beforeLines="0" w:afterLines="0"/>
              <w:jc w:val="left"/>
              <w:rPr>
                <w:rFonts w:hint="eastAsia" w:ascii="宋体" w:hAnsi="宋体"/>
                <w:color w:val="000000"/>
                <w:sz w:val="20"/>
                <w:szCs w:val="24"/>
              </w:rPr>
            </w:pPr>
            <w:r>
              <w:rPr>
                <w:rFonts w:hint="eastAsia" w:ascii="宋体" w:hAnsi="宋体"/>
                <w:color w:val="000000"/>
                <w:sz w:val="20"/>
                <w:szCs w:val="24"/>
              </w:rPr>
              <w:t>1、主体材料、尺寸：水龙头总整高度≥570mm。主体：采用≥ø20.5*4mm管径的不低于黄铜制造。直管：采用≥ø20*2mm管径的不锈钢制造。臂管：采用≥ø18*1mm管径的不锈钢制造。鹅颈弯管：采用≥ø13*1.0 mm管径的不锈钢制造，可360°旋转。</w:t>
            </w:r>
          </w:p>
          <w:p w14:paraId="4D9CF8FE">
            <w:pPr>
              <w:spacing w:beforeLines="0" w:afterLines="0"/>
              <w:jc w:val="left"/>
              <w:rPr>
                <w:rFonts w:hint="eastAsia" w:ascii="宋体" w:hAnsi="宋体"/>
                <w:color w:val="000000"/>
                <w:sz w:val="20"/>
                <w:szCs w:val="24"/>
              </w:rPr>
            </w:pPr>
            <w:r>
              <w:rPr>
                <w:rFonts w:hint="eastAsia" w:ascii="宋体" w:hAnsi="宋体"/>
                <w:color w:val="000000"/>
                <w:sz w:val="20"/>
                <w:szCs w:val="24"/>
              </w:rPr>
              <w:t>2、涂层: 涂层经亚光环氧树脂耐酸碱粉末涂料热固处理，耐腐蚀、耐热，防紫外线辐射。</w:t>
            </w:r>
          </w:p>
          <w:p w14:paraId="3879CAC0">
            <w:pPr>
              <w:spacing w:beforeLines="0" w:afterLines="0"/>
              <w:jc w:val="left"/>
              <w:rPr>
                <w:rFonts w:hint="eastAsia" w:ascii="宋体" w:hAnsi="宋体"/>
                <w:color w:val="000000"/>
                <w:sz w:val="20"/>
                <w:szCs w:val="24"/>
              </w:rPr>
            </w:pPr>
            <w:r>
              <w:rPr>
                <w:rFonts w:hint="eastAsia" w:ascii="宋体" w:hAnsi="宋体"/>
                <w:color w:val="000000"/>
                <w:sz w:val="20"/>
                <w:szCs w:val="24"/>
              </w:rPr>
              <w:t>3、陶瓷阀芯：≥90°旋转，使用寿命开关要求达到≥20万次，静态最大耐压≥10 bar。</w:t>
            </w:r>
          </w:p>
          <w:p w14:paraId="4D576AB4">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4、开关旋钮: 高密度PP，人体工学设计，手感舒适。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74BD1">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1EF04">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付</w:t>
            </w:r>
          </w:p>
        </w:tc>
      </w:tr>
      <w:tr w14:paraId="155AF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7AE5">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8D0D">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废水自动排水系统</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380C">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035E7">
            <w:pPr>
              <w:spacing w:beforeLines="0" w:afterLines="0"/>
              <w:jc w:val="left"/>
              <w:rPr>
                <w:rFonts w:hint="eastAsia" w:ascii="宋体" w:hAnsi="宋体"/>
                <w:color w:val="000000"/>
                <w:sz w:val="20"/>
                <w:szCs w:val="24"/>
              </w:rPr>
            </w:pPr>
            <w:r>
              <w:rPr>
                <w:rFonts w:hint="eastAsia" w:ascii="宋体" w:hAnsi="宋体"/>
                <w:color w:val="000000"/>
                <w:sz w:val="20"/>
                <w:szCs w:val="24"/>
              </w:rPr>
              <w:t>1、废水储水箱：规格≥450*280*165mm，采用材料PE聚乙烯，注塑模具一次成型，无臭无毒、耐强酸碱、抗老化。废水储存箱配有内置防臭芯，防止废气与废水倒灌。</w:t>
            </w:r>
          </w:p>
          <w:p w14:paraId="48BAD4D9">
            <w:pPr>
              <w:spacing w:beforeLines="0" w:afterLines="0"/>
              <w:jc w:val="left"/>
              <w:rPr>
                <w:rFonts w:hint="eastAsia" w:ascii="宋体" w:hAnsi="宋体"/>
                <w:color w:val="000000"/>
                <w:sz w:val="20"/>
                <w:szCs w:val="24"/>
              </w:rPr>
            </w:pPr>
            <w:r>
              <w:rPr>
                <w:rFonts w:hint="eastAsia" w:ascii="宋体" w:hAnsi="宋体"/>
                <w:color w:val="000000"/>
                <w:sz w:val="20"/>
                <w:szCs w:val="24"/>
              </w:rPr>
              <w:t>2、废水箱内装防腐水位控制器液位开关，传感器检测到放水水位是会自动开启排水功能。</w:t>
            </w:r>
          </w:p>
          <w:p w14:paraId="6D9BE501">
            <w:pPr>
              <w:spacing w:beforeLines="0" w:afterLines="0"/>
              <w:jc w:val="left"/>
              <w:rPr>
                <w:rFonts w:hint="eastAsia" w:ascii="宋体" w:hAnsi="宋体"/>
                <w:color w:val="000000"/>
                <w:sz w:val="20"/>
                <w:szCs w:val="24"/>
              </w:rPr>
            </w:pPr>
            <w:r>
              <w:rPr>
                <w:rFonts w:hint="eastAsia" w:ascii="宋体" w:hAnsi="宋体"/>
                <w:color w:val="000000"/>
                <w:sz w:val="20"/>
                <w:szCs w:val="24"/>
              </w:rPr>
              <w:t>3、耐酸碱环保增压水泵：外壳材料：PPS+PA66，功率≥40W，工作电压24V，流量≥10L/MIN，最大静态扬程≥8M；噪音≤40dB；无毒、无味、无重金属，符合饮用水标准，具有缺水保护、空转保护、堵转保护、卡死保护、防漏电、防腐蚀、防空转，自带止回阀等功能。</w:t>
            </w:r>
          </w:p>
          <w:p w14:paraId="1595AF12">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4、自动冲洗：为防止污水桶在长期使用后，内部产生沉淀和污垢附中，可由教师自行设置是否开启自动冲洗模式，开启后可延长设备的使用寿命。</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12DD">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02A9">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套</w:t>
            </w:r>
          </w:p>
        </w:tc>
      </w:tr>
      <w:tr w14:paraId="3F053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26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8B3770">
            <w:pPr>
              <w:spacing w:beforeLines="0" w:afterLines="0"/>
              <w:jc w:val="left"/>
              <w:rPr>
                <w:rFonts w:hint="eastAsia" w:ascii="宋体" w:hAnsi="宋体"/>
                <w:color w:val="000000"/>
                <w:sz w:val="20"/>
                <w:szCs w:val="24"/>
              </w:rPr>
            </w:pPr>
            <w:r>
              <w:rPr>
                <w:rFonts w:hint="eastAsia" w:ascii="宋体" w:hAnsi="宋体"/>
                <w:color w:val="000000"/>
                <w:sz w:val="20"/>
                <w:szCs w:val="24"/>
              </w:rPr>
              <w:t>化学准备室</w:t>
            </w:r>
          </w:p>
        </w:tc>
      </w:tr>
      <w:tr w14:paraId="21D9A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4809">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F8174">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准备台</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E4224">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542E">
            <w:pPr>
              <w:spacing w:beforeLines="0" w:afterLines="0"/>
              <w:jc w:val="left"/>
              <w:rPr>
                <w:rFonts w:hint="eastAsia" w:ascii="宋体" w:hAnsi="宋体"/>
                <w:color w:val="000000"/>
                <w:sz w:val="20"/>
                <w:szCs w:val="24"/>
              </w:rPr>
            </w:pPr>
            <w:r>
              <w:rPr>
                <w:rFonts w:hint="eastAsia" w:ascii="宋体" w:hAnsi="宋体"/>
                <w:color w:val="000000"/>
                <w:sz w:val="20"/>
                <w:szCs w:val="24"/>
              </w:rPr>
              <w:t>1、规格：3000mm×1200mm×760mm±5mm；</w:t>
            </w:r>
          </w:p>
          <w:p w14:paraId="5E611529">
            <w:pPr>
              <w:spacing w:beforeLines="0" w:afterLines="0"/>
              <w:jc w:val="left"/>
              <w:rPr>
                <w:rFonts w:hint="eastAsia" w:ascii="宋体" w:hAnsi="宋体"/>
                <w:color w:val="000000"/>
                <w:sz w:val="20"/>
                <w:szCs w:val="24"/>
              </w:rPr>
            </w:pPr>
            <w:r>
              <w:rPr>
                <w:rFonts w:hint="eastAsia" w:ascii="宋体" w:hAnsi="宋体"/>
                <w:color w:val="000000"/>
                <w:sz w:val="20"/>
                <w:szCs w:val="24"/>
              </w:rPr>
              <w:t>2、台面采用一体化12mm±1mm实芯理化板台面，耐强酸碱、耐腐蚀、耐有机溶剂，抗菌、抗污染、防水、防火，经精密加工、倒角、打磨，呈光滑半圆形；</w:t>
            </w:r>
          </w:p>
          <w:p w14:paraId="0D47235B">
            <w:pPr>
              <w:spacing w:beforeLines="0" w:afterLines="0"/>
              <w:jc w:val="left"/>
              <w:rPr>
                <w:rFonts w:hint="eastAsia" w:ascii="宋体" w:hAnsi="宋体"/>
                <w:color w:val="000000"/>
                <w:sz w:val="20"/>
                <w:szCs w:val="24"/>
              </w:rPr>
            </w:pPr>
            <w:r>
              <w:rPr>
                <w:rFonts w:hint="eastAsia" w:ascii="宋体" w:hAnsi="宋体"/>
                <w:color w:val="000000"/>
                <w:sz w:val="20"/>
                <w:szCs w:val="24"/>
              </w:rPr>
              <w:t>3、台身结构为新型塑铝结构，整体尺寸≥1200mm×600mm×760mm，四张桌架拼接而成；</w:t>
            </w:r>
          </w:p>
          <w:p w14:paraId="32DB776E">
            <w:pPr>
              <w:spacing w:beforeLines="0" w:afterLines="0"/>
              <w:jc w:val="left"/>
              <w:rPr>
                <w:rFonts w:hint="eastAsia" w:ascii="宋体" w:hAnsi="宋体"/>
                <w:color w:val="000000"/>
                <w:sz w:val="20"/>
                <w:szCs w:val="24"/>
              </w:rPr>
            </w:pPr>
            <w:r>
              <w:rPr>
                <w:rFonts w:hint="eastAsia" w:ascii="宋体" w:hAnsi="宋体"/>
                <w:color w:val="000000"/>
                <w:sz w:val="20"/>
                <w:szCs w:val="24"/>
              </w:rPr>
              <w:t>4、书包斗整体尺寸≥400mm×250mm×100mm，采用环保型ABS塑料工程一次性注塑成型，底面部加设经纬加强筋防变形弯曲；书包斗前端中心位置注塑出螺孔，通过螺钉将书包斗与中间横梁固定相接，可拆卸易于组装；中间设置内凹圆槽挂凳卡槽；</w:t>
            </w:r>
          </w:p>
          <w:p w14:paraId="7A1D9041">
            <w:pPr>
              <w:spacing w:beforeLines="0" w:afterLines="0"/>
              <w:jc w:val="left"/>
              <w:rPr>
                <w:rFonts w:hint="eastAsia" w:ascii="宋体" w:hAnsi="宋体"/>
                <w:color w:val="000000"/>
                <w:sz w:val="20"/>
                <w:szCs w:val="24"/>
              </w:rPr>
            </w:pPr>
            <w:r>
              <w:rPr>
                <w:rFonts w:hint="eastAsia" w:ascii="宋体" w:hAnsi="宋体"/>
                <w:color w:val="000000"/>
                <w:sz w:val="20"/>
                <w:szCs w:val="24"/>
              </w:rPr>
              <w:t>5、侧面采用三段式高强度铝合金结构，整体规格≥586mm×809mm，其中上支架尺寸≥586mm×122mm×46mm，下支架尺寸≥545mm×83mm×55mm；立柱采用倾斜式设计，内嵌入上下铸铝支架≥30mm，后端配备加固支撑梁；侧面上下支架采用厚度≥3mm铝压铸一次成型，各部分连接设置专用定位件，并用高强度内六角自攻螺丝≥6mm×25mm上下各两支连接固定；可选装专用搭配国标五孔插座；上支架设计电源插芯孔，上支架中央处一次性压铸出专用金属固定槽，插座芯塑料外壳自带的四个卡槽可直接拍入上支架中固定，不得另打螺钉或胶水；上支架带直径约16mm接线孔，下支架带≥18mm×35mm接线孔，电源芯可在立柱中连通电线接电使用，接线走线便利，避免电线外露；</w:t>
            </w:r>
          </w:p>
          <w:p w14:paraId="49AD30BA">
            <w:pPr>
              <w:spacing w:beforeLines="0" w:afterLines="0"/>
              <w:jc w:val="left"/>
              <w:rPr>
                <w:rFonts w:hint="eastAsia" w:ascii="宋体" w:hAnsi="宋体"/>
                <w:color w:val="000000"/>
                <w:sz w:val="20"/>
                <w:szCs w:val="24"/>
              </w:rPr>
            </w:pPr>
            <w:r>
              <w:rPr>
                <w:rFonts w:hint="eastAsia" w:ascii="宋体" w:hAnsi="宋体"/>
                <w:color w:val="000000"/>
                <w:sz w:val="20"/>
                <w:szCs w:val="24"/>
              </w:rPr>
              <w:t>6、立柱采用菱形八边型结构设计，规格≥95mm×41mm，厚度≥1.5mm；垂直面与斜面各有四面，正面垂直面与斜面夹角约10度，侧面垂直面与斜面夹角约80度；立柱外立面中间无凹槽；前横梁、后横梁和中下横梁全部采用高强度挤出铝合金模具型材，铝材表面经环氧树脂户外粉末静电喷涂处理；前后横梁尺寸≥40mm×30mm，采用前端半圆弧人体工程学设计，圆弧角度约R18，安装螺丝处厚度≥2mm，其他厚度≥1.1mm；中下横梁尺寸≥50mm×25mm；</w:t>
            </w:r>
          </w:p>
          <w:p w14:paraId="3EE6519B">
            <w:pPr>
              <w:spacing w:beforeLines="0" w:afterLines="0"/>
              <w:jc w:val="left"/>
              <w:rPr>
                <w:rFonts w:hint="eastAsia" w:ascii="宋体" w:hAnsi="宋体"/>
                <w:color w:val="000000"/>
                <w:sz w:val="20"/>
                <w:szCs w:val="24"/>
              </w:rPr>
            </w:pPr>
            <w:r>
              <w:rPr>
                <w:rFonts w:hint="eastAsia" w:ascii="宋体" w:hAnsi="宋体"/>
                <w:color w:val="000000"/>
                <w:sz w:val="20"/>
                <w:szCs w:val="24"/>
              </w:rPr>
              <w:t>7、下支架脚两端各设置一个直径≥8.7mm圆形孔位，可通过拉爆螺丝与地面固定或搭配直径≥30mm调节脚使用；调节脚采用≥10mm×30mm国标螺杆与优质塑料一体注塑成型，承重性强；前后桌脚配有不同装饰颜色的PP脚套装饰盖；</w:t>
            </w:r>
          </w:p>
          <w:p w14:paraId="5BAE85AB">
            <w:pPr>
              <w:spacing w:beforeLines="0" w:afterLines="0"/>
              <w:jc w:val="left"/>
              <w:rPr>
                <w:rFonts w:hint="eastAsia" w:ascii="宋体" w:hAnsi="宋体"/>
                <w:color w:val="000000"/>
                <w:sz w:val="20"/>
                <w:szCs w:val="24"/>
              </w:rPr>
            </w:pPr>
            <w:r>
              <w:rPr>
                <w:rFonts w:hint="eastAsia" w:ascii="宋体" w:hAnsi="宋体"/>
                <w:color w:val="000000"/>
                <w:sz w:val="20"/>
                <w:szCs w:val="24"/>
              </w:rPr>
              <w:t>8、水槽柜规格≥440mm×600mm×850mm；水槽采用环保型PP材料一次性注塑成型，耐强酸碱≤80度，耐有机溶剂，耐高温≥150℃，壁厚≥4mm，具有防溢出功能；水槽后端高出水槽两侧≥50mm，防止后排学生使用时水溅到前排学生身上；水槽柜为榫卯连接结构并合理布局加强筋，安装时不用胶水粘结，使用产品自身力量相互连接，产品不变形、不扭曲；柜子整体采用环保型ABS工程塑料一次性注塑成型，表面木纹与光面相结合处理；水槽柜底部为模具一体成型，加固水槽柜强度；</w:t>
            </w:r>
          </w:p>
          <w:p w14:paraId="0F8456C8">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9、水槽柜带独立储物抽屉，抽屉隐藏于水槽柜检修门内；水槽柜自带抽屉封板防止抽屉内物品外漏于水槽柜内，抽屉封板与水槽柜前端模具一体成型非二次组装；储物抽屉采用环保型ABS材料一次性注塑成型与水槽柜整体连接，尺寸≥85mm×120mm×345mm，储物抽屉分为三格，每格尺寸≥110mm×115mm×65mm，便于学生使用时存放不同洗涤辅助用品。</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7C09">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1BC0B">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张</w:t>
            </w:r>
          </w:p>
        </w:tc>
      </w:tr>
      <w:tr w14:paraId="19DBE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115C">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D8B1F">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中央台试剂架</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0AC1A">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EC54">
            <w:pPr>
              <w:spacing w:beforeLines="0" w:afterLines="0"/>
              <w:jc w:val="left"/>
              <w:rPr>
                <w:rFonts w:hint="eastAsia" w:ascii="宋体" w:hAnsi="宋体"/>
                <w:color w:val="000000"/>
                <w:sz w:val="20"/>
                <w:szCs w:val="24"/>
              </w:rPr>
            </w:pPr>
            <w:r>
              <w:rPr>
                <w:rFonts w:hint="eastAsia" w:ascii="宋体" w:hAnsi="宋体"/>
                <w:color w:val="000000"/>
                <w:sz w:val="20"/>
                <w:szCs w:val="24"/>
              </w:rPr>
              <w:t>1、规格：≥2200*300*750mm；</w:t>
            </w:r>
          </w:p>
          <w:p w14:paraId="1F978283">
            <w:pPr>
              <w:spacing w:beforeLines="0" w:afterLines="0"/>
              <w:jc w:val="left"/>
              <w:rPr>
                <w:rFonts w:hint="eastAsia" w:ascii="宋体" w:hAnsi="宋体"/>
                <w:color w:val="000000"/>
                <w:sz w:val="20"/>
                <w:szCs w:val="24"/>
              </w:rPr>
            </w:pPr>
            <w:r>
              <w:rPr>
                <w:rFonts w:hint="eastAsia" w:ascii="宋体" w:hAnsi="宋体"/>
                <w:color w:val="000000"/>
                <w:sz w:val="20"/>
                <w:szCs w:val="24"/>
              </w:rPr>
              <w:t>2、双层，分两段，立柱采用≥80mm*42mm*1.2mm的铝镁合金专用型材，挡条采用≥40mm*15mm*1mm的铝镁合金专用型材，支撑件采用≥1.2mm厚的冷轧钢板冲压成型；</w:t>
            </w:r>
          </w:p>
          <w:p w14:paraId="2986BC8A">
            <w:pPr>
              <w:spacing w:beforeLines="0" w:afterLines="0"/>
              <w:jc w:val="left"/>
              <w:rPr>
                <w:rFonts w:hint="eastAsia" w:ascii="宋体" w:hAnsi="宋体"/>
                <w:color w:val="000000"/>
                <w:sz w:val="20"/>
                <w:szCs w:val="24"/>
              </w:rPr>
            </w:pPr>
            <w:r>
              <w:rPr>
                <w:rFonts w:hint="eastAsia" w:ascii="宋体" w:hAnsi="宋体"/>
                <w:color w:val="000000"/>
                <w:sz w:val="20"/>
                <w:szCs w:val="24"/>
              </w:rPr>
              <w:t>3、支撑件用不锈钢内六角螺丝及小铁条固定在立柱上，可以上下自由调节；</w:t>
            </w:r>
          </w:p>
          <w:p w14:paraId="10181AEF">
            <w:pPr>
              <w:spacing w:beforeLines="0" w:afterLines="0"/>
              <w:jc w:val="left"/>
              <w:rPr>
                <w:rFonts w:hint="eastAsia" w:ascii="宋体" w:hAnsi="宋体"/>
                <w:color w:val="000000"/>
                <w:sz w:val="20"/>
                <w:szCs w:val="24"/>
              </w:rPr>
            </w:pPr>
            <w:r>
              <w:rPr>
                <w:rFonts w:hint="eastAsia" w:ascii="宋体" w:hAnsi="宋体"/>
                <w:color w:val="000000"/>
                <w:sz w:val="20"/>
                <w:szCs w:val="24"/>
              </w:rPr>
              <w:t>4、金属件外喷纯环氧树脂，高温固化；</w:t>
            </w:r>
          </w:p>
          <w:p w14:paraId="3A38AC0C">
            <w:pPr>
              <w:spacing w:beforeLines="0" w:afterLines="0"/>
              <w:jc w:val="left"/>
              <w:rPr>
                <w:rFonts w:hint="eastAsia" w:ascii="宋体" w:hAnsi="宋体"/>
                <w:color w:val="000000"/>
                <w:sz w:val="20"/>
                <w:szCs w:val="24"/>
              </w:rPr>
            </w:pPr>
            <w:r>
              <w:rPr>
                <w:rFonts w:hint="eastAsia" w:ascii="宋体" w:hAnsi="宋体"/>
                <w:color w:val="000000"/>
                <w:sz w:val="20"/>
                <w:szCs w:val="24"/>
              </w:rPr>
              <w:t>5、固定件采用≥4mm厚的专用合金件 ，充分保证试剂架安装后的稳定性；</w:t>
            </w:r>
          </w:p>
          <w:p w14:paraId="12854F0E">
            <w:pPr>
              <w:spacing w:beforeLines="0" w:afterLines="0"/>
              <w:jc w:val="left"/>
              <w:rPr>
                <w:rFonts w:hint="eastAsia" w:ascii="宋体" w:hAnsi="宋体"/>
                <w:color w:val="000000"/>
                <w:sz w:val="20"/>
                <w:szCs w:val="24"/>
              </w:rPr>
            </w:pPr>
            <w:r>
              <w:rPr>
                <w:rFonts w:hint="eastAsia" w:ascii="宋体" w:hAnsi="宋体"/>
                <w:color w:val="000000"/>
                <w:sz w:val="20"/>
                <w:szCs w:val="24"/>
              </w:rPr>
              <w:t>6、电源插座：≥6只5孔10A防溅插座，电源盒采用防溅结构；</w:t>
            </w:r>
          </w:p>
          <w:p w14:paraId="1A02B085">
            <w:pPr>
              <w:spacing w:beforeLines="0" w:afterLines="0"/>
              <w:jc w:val="left"/>
              <w:rPr>
                <w:rFonts w:hint="eastAsia" w:ascii="宋体" w:hAnsi="宋体"/>
                <w:color w:val="000000"/>
                <w:sz w:val="20"/>
                <w:szCs w:val="24"/>
              </w:rPr>
            </w:pPr>
            <w:r>
              <w:rPr>
                <w:rFonts w:hint="eastAsia" w:ascii="宋体" w:hAnsi="宋体"/>
                <w:color w:val="000000"/>
                <w:sz w:val="20"/>
                <w:szCs w:val="24"/>
              </w:rPr>
              <w:t>7、试剂架的上端和下端与台面连接的地方，分别采用工程塑料成型的立柱盖和立柱套；</w:t>
            </w:r>
          </w:p>
          <w:p w14:paraId="57885CAA">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8、试剂架的螺丝均采用不锈钢螺丝 ，层板采用≥8mm钢化玻璃。</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ED0B4">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9812">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套</w:t>
            </w:r>
          </w:p>
        </w:tc>
      </w:tr>
      <w:tr w14:paraId="02E54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CC703">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8271">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滴水架</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FEB6">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7589">
            <w:pPr>
              <w:spacing w:beforeLines="0" w:afterLines="0"/>
              <w:jc w:val="left"/>
              <w:rPr>
                <w:rFonts w:hint="eastAsia" w:ascii="宋体" w:hAnsi="宋体"/>
                <w:color w:val="000000"/>
                <w:sz w:val="20"/>
                <w:szCs w:val="24"/>
              </w:rPr>
            </w:pPr>
            <w:r>
              <w:rPr>
                <w:rFonts w:hint="eastAsia" w:ascii="宋体" w:hAnsi="宋体"/>
                <w:color w:val="000000"/>
                <w:sz w:val="20"/>
                <w:szCs w:val="24"/>
              </w:rPr>
              <w:t>1、材质:高密度PP。</w:t>
            </w:r>
          </w:p>
          <w:p w14:paraId="2DC4AF65">
            <w:pPr>
              <w:spacing w:beforeLines="0" w:afterLines="0"/>
              <w:jc w:val="left"/>
              <w:rPr>
                <w:rFonts w:hint="eastAsia" w:ascii="宋体" w:hAnsi="宋体"/>
                <w:color w:val="000000"/>
                <w:sz w:val="20"/>
                <w:szCs w:val="24"/>
              </w:rPr>
            </w:pPr>
            <w:r>
              <w:rPr>
                <w:rFonts w:hint="eastAsia" w:ascii="宋体" w:hAnsi="宋体"/>
                <w:color w:val="000000"/>
                <w:sz w:val="20"/>
                <w:szCs w:val="24"/>
              </w:rPr>
              <w:t>2、尺寸：≥550*400*120mm，≥27支滴水棒。</w:t>
            </w:r>
          </w:p>
          <w:p w14:paraId="63F753D6">
            <w:pPr>
              <w:spacing w:beforeLines="0" w:afterLines="0"/>
              <w:jc w:val="left"/>
              <w:rPr>
                <w:rFonts w:hint="eastAsia" w:ascii="宋体" w:hAnsi="宋体"/>
                <w:color w:val="000000"/>
                <w:sz w:val="20"/>
                <w:szCs w:val="24"/>
              </w:rPr>
            </w:pPr>
            <w:r>
              <w:rPr>
                <w:rFonts w:hint="eastAsia" w:ascii="宋体" w:hAnsi="宋体"/>
                <w:color w:val="000000"/>
                <w:sz w:val="20"/>
                <w:szCs w:val="24"/>
              </w:rPr>
              <w:t>3、底部托盘中间设有排水孔。</w:t>
            </w:r>
          </w:p>
          <w:p w14:paraId="0C4C7691">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4、可拆卸式滴水棒，方便使用。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C666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A602">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组</w:t>
            </w:r>
          </w:p>
        </w:tc>
      </w:tr>
      <w:tr w14:paraId="3CC2D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F871C">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30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8CB8">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上水装置</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8E0C">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4F0B4">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1、用于连接地面水管及水龙头，上水管两端接头采用不低于201不锈钢螺帽铜芯，外管是304钢丝+尼龙丝混编的、内管采用三元内管、角阀是钻石轮（塑料包铁）、阀芯和阀体均为铜制；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FAC52">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FEEB">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套</w:t>
            </w:r>
          </w:p>
        </w:tc>
      </w:tr>
      <w:tr w14:paraId="1AC35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843C7">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31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E8762">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下水装置</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5576">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F682">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1、规格:直径≥35mm*长度≥500mm水槽专配型排水管，不锈钢卡扣连接，安装方便不渗漏；</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E5EF">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BDD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套</w:t>
            </w:r>
          </w:p>
        </w:tc>
      </w:tr>
      <w:tr w14:paraId="73FB3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D31C7">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32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6851D">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三联水嘴</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5A14">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武洁、TOF、chunshui</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15570">
            <w:pPr>
              <w:spacing w:beforeLines="0" w:afterLines="0"/>
              <w:jc w:val="left"/>
              <w:rPr>
                <w:rFonts w:hint="eastAsia" w:ascii="宋体" w:hAnsi="宋体"/>
                <w:color w:val="000000"/>
                <w:sz w:val="20"/>
                <w:szCs w:val="24"/>
              </w:rPr>
            </w:pPr>
            <w:r>
              <w:rPr>
                <w:rFonts w:hint="eastAsia" w:ascii="宋体" w:hAnsi="宋体"/>
                <w:color w:val="000000"/>
                <w:sz w:val="20"/>
                <w:szCs w:val="24"/>
              </w:rPr>
              <w:t>1、主体材料、尺寸：水龙头总整高度≥570mm。主体：采用≥ø20.5*4mm管径的不低于黄铜制造。直管：采用≥ø20*2mm管径的不锈钢制造。臂管：采用≥ø18*1mm管径的不锈钢制造。鹅颈弯管：采用≥ø13*1.0 mm管径的不锈钢制造，可360°旋转。</w:t>
            </w:r>
          </w:p>
          <w:p w14:paraId="28E45325">
            <w:pPr>
              <w:spacing w:beforeLines="0" w:afterLines="0"/>
              <w:jc w:val="left"/>
              <w:rPr>
                <w:rFonts w:hint="eastAsia" w:ascii="宋体" w:hAnsi="宋体"/>
                <w:color w:val="000000"/>
                <w:sz w:val="20"/>
                <w:szCs w:val="24"/>
              </w:rPr>
            </w:pPr>
            <w:r>
              <w:rPr>
                <w:rFonts w:hint="eastAsia" w:ascii="宋体" w:hAnsi="宋体"/>
                <w:color w:val="000000"/>
                <w:sz w:val="20"/>
                <w:szCs w:val="24"/>
              </w:rPr>
              <w:t>2、涂层: 涂层经亚光环氧树脂耐酸碱粉末涂料热固处理，耐腐蚀、耐热，防紫外线辐射。</w:t>
            </w:r>
          </w:p>
          <w:p w14:paraId="30A33DDC">
            <w:pPr>
              <w:spacing w:beforeLines="0" w:afterLines="0"/>
              <w:jc w:val="left"/>
              <w:rPr>
                <w:rFonts w:hint="eastAsia" w:ascii="宋体" w:hAnsi="宋体"/>
                <w:color w:val="000000"/>
                <w:sz w:val="20"/>
                <w:szCs w:val="24"/>
              </w:rPr>
            </w:pPr>
            <w:r>
              <w:rPr>
                <w:rFonts w:hint="eastAsia" w:ascii="宋体" w:hAnsi="宋体"/>
                <w:color w:val="000000"/>
                <w:sz w:val="20"/>
                <w:szCs w:val="24"/>
              </w:rPr>
              <w:t>3、陶瓷阀芯：90°旋转，使用寿命开关要求达到≥20万次，静态最大耐压≥10 bar。</w:t>
            </w:r>
          </w:p>
          <w:p w14:paraId="0314C77D">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4、开关旋钮: 高密度PP，人体工学设计，手感舒适。</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5657">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A17A">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套</w:t>
            </w:r>
          </w:p>
        </w:tc>
      </w:tr>
      <w:tr w14:paraId="4ED40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0F81">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33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26CB6">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洗眼器</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6FFA">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润旺达、育本、韵辰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A9C33">
            <w:pPr>
              <w:spacing w:beforeLines="0" w:afterLines="0"/>
              <w:jc w:val="left"/>
              <w:rPr>
                <w:rFonts w:hint="eastAsia" w:ascii="宋体" w:hAnsi="宋体"/>
                <w:color w:val="000000"/>
                <w:sz w:val="20"/>
                <w:szCs w:val="24"/>
              </w:rPr>
            </w:pPr>
            <w:r>
              <w:rPr>
                <w:rFonts w:hint="eastAsia" w:ascii="宋体" w:hAnsi="宋体"/>
                <w:color w:val="000000"/>
                <w:sz w:val="20"/>
                <w:szCs w:val="24"/>
              </w:rPr>
              <w:t>1、主体：高度≥320mm，不低于加厚H59铜质,符合YS/T910-2013黄铜中铜量的测定碘量法,铜含量；铜含量≥59.3%。</w:t>
            </w:r>
          </w:p>
          <w:p w14:paraId="3BAF9C31">
            <w:pPr>
              <w:spacing w:beforeLines="0" w:afterLines="0"/>
              <w:jc w:val="left"/>
              <w:rPr>
                <w:rFonts w:hint="eastAsia" w:ascii="宋体" w:hAnsi="宋体"/>
                <w:color w:val="000000"/>
                <w:sz w:val="20"/>
                <w:szCs w:val="24"/>
              </w:rPr>
            </w:pPr>
            <w:r>
              <w:rPr>
                <w:rFonts w:hint="eastAsia" w:ascii="宋体" w:hAnsi="宋体"/>
                <w:color w:val="000000"/>
                <w:sz w:val="20"/>
                <w:szCs w:val="24"/>
              </w:rPr>
              <w:t>2、涂层：高亮度超厚电镀层，耐腐蚀、耐热，防紫外线辐射；</w:t>
            </w:r>
          </w:p>
          <w:p w14:paraId="565DA6C4">
            <w:pPr>
              <w:spacing w:beforeLines="0" w:afterLines="0"/>
              <w:jc w:val="left"/>
              <w:rPr>
                <w:rFonts w:hint="eastAsia" w:ascii="宋体" w:hAnsi="宋体"/>
                <w:color w:val="000000"/>
                <w:sz w:val="20"/>
                <w:szCs w:val="24"/>
              </w:rPr>
            </w:pPr>
            <w:r>
              <w:rPr>
                <w:rFonts w:hint="eastAsia" w:ascii="宋体" w:hAnsi="宋体"/>
                <w:color w:val="000000"/>
                <w:sz w:val="20"/>
                <w:szCs w:val="24"/>
              </w:rPr>
              <w:t>3、洗眼头：模注一体成型，软性橡胶并带有缓冲滤网，出水经缓压处理呈泡沫柱状，可持续均匀柔和,去除水中杂质，避免水束冲伤眼睛流量≥11.4升/分钟并维持冲洗至少15分钟</w:t>
            </w:r>
          </w:p>
          <w:p w14:paraId="1B8E0426">
            <w:pPr>
              <w:spacing w:beforeLines="0" w:afterLines="0"/>
              <w:jc w:val="left"/>
              <w:rPr>
                <w:rFonts w:hint="eastAsia" w:ascii="宋体" w:hAnsi="宋体"/>
                <w:color w:val="000000"/>
                <w:sz w:val="20"/>
                <w:szCs w:val="24"/>
              </w:rPr>
            </w:pPr>
            <w:r>
              <w:rPr>
                <w:rFonts w:hint="eastAsia" w:ascii="宋体" w:hAnsi="宋体"/>
                <w:color w:val="000000"/>
                <w:sz w:val="20"/>
                <w:szCs w:val="24"/>
              </w:rPr>
              <w:t>4、防尘盖：PP材质，设置防尘盖,使用时自动被水冲开；</w:t>
            </w:r>
          </w:p>
          <w:p w14:paraId="23F4D78C">
            <w:pPr>
              <w:spacing w:beforeLines="0" w:afterLines="0"/>
              <w:jc w:val="left"/>
              <w:rPr>
                <w:rFonts w:hint="eastAsia" w:ascii="宋体" w:hAnsi="宋体"/>
                <w:color w:val="000000"/>
                <w:sz w:val="20"/>
                <w:szCs w:val="24"/>
              </w:rPr>
            </w:pPr>
            <w:r>
              <w:rPr>
                <w:rFonts w:hint="eastAsia" w:ascii="宋体" w:hAnsi="宋体"/>
                <w:color w:val="000000"/>
                <w:sz w:val="20"/>
                <w:szCs w:val="24"/>
              </w:rPr>
              <w:t>5、开关：采用杠杆结构，铜质按压阀通过塑料手柄操作，水流在1秒钟内快速启动，启闭方便；</w:t>
            </w:r>
          </w:p>
          <w:p w14:paraId="1BCB661A">
            <w:pPr>
              <w:spacing w:beforeLines="0" w:afterLines="0"/>
              <w:jc w:val="left"/>
              <w:rPr>
                <w:rFonts w:hint="eastAsia" w:ascii="宋体" w:hAnsi="宋体"/>
                <w:color w:val="000000"/>
                <w:sz w:val="20"/>
                <w:szCs w:val="24"/>
              </w:rPr>
            </w:pPr>
            <w:r>
              <w:rPr>
                <w:rFonts w:hint="eastAsia" w:ascii="宋体" w:hAnsi="宋体"/>
                <w:color w:val="000000"/>
                <w:sz w:val="20"/>
                <w:szCs w:val="24"/>
              </w:rPr>
              <w:t>6、控水阀：止逆阀，其阀门可自动关闭；</w:t>
            </w:r>
          </w:p>
          <w:p w14:paraId="27A57660">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7、软管：供水软管长度≥1.4米，软性PVC管外覆不锈钢网,外层包裹PE管，有效防止生锈、磨损、划手；</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464E4">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143EF">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套</w:t>
            </w:r>
          </w:p>
        </w:tc>
      </w:tr>
      <w:tr w14:paraId="059C5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4EA6">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34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AE008">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器材架</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9733">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7A573">
            <w:pPr>
              <w:spacing w:beforeLines="0" w:afterLines="0"/>
              <w:jc w:val="left"/>
              <w:rPr>
                <w:rFonts w:hint="eastAsia" w:ascii="宋体" w:hAnsi="宋体"/>
                <w:color w:val="000000"/>
                <w:sz w:val="20"/>
                <w:szCs w:val="24"/>
              </w:rPr>
            </w:pPr>
            <w:r>
              <w:rPr>
                <w:rFonts w:hint="eastAsia" w:ascii="宋体" w:hAnsi="宋体"/>
                <w:color w:val="000000"/>
                <w:sz w:val="20"/>
                <w:szCs w:val="24"/>
              </w:rPr>
              <w:t>1、整体规格：L2000mm*D600mm*H2000mm±5mm（节/组的尺寸），≥4层双面存取。每层架间距离可均匀调整。</w:t>
            </w:r>
          </w:p>
          <w:p w14:paraId="161F5482">
            <w:pPr>
              <w:spacing w:beforeLines="0" w:afterLines="0"/>
              <w:jc w:val="left"/>
              <w:rPr>
                <w:rFonts w:hint="eastAsia" w:ascii="宋体" w:hAnsi="宋体"/>
                <w:color w:val="000000"/>
                <w:sz w:val="20"/>
                <w:szCs w:val="24"/>
              </w:rPr>
            </w:pPr>
            <w:r>
              <w:rPr>
                <w:rFonts w:hint="eastAsia" w:ascii="宋体" w:hAnsi="宋体"/>
                <w:color w:val="000000"/>
                <w:sz w:val="20"/>
                <w:szCs w:val="24"/>
              </w:rPr>
              <w:t>2、材料：层板由优质钢板折弯冲压制成，立柱为货架专用C型钢材，尺寸：≥40mm*60mm</w:t>
            </w:r>
          </w:p>
          <w:p w14:paraId="1DFFAB42">
            <w:pPr>
              <w:spacing w:beforeLines="0" w:afterLines="0"/>
              <w:jc w:val="left"/>
              <w:rPr>
                <w:rFonts w:hint="eastAsia" w:ascii="宋体" w:hAnsi="宋体"/>
                <w:color w:val="000000"/>
                <w:sz w:val="20"/>
                <w:szCs w:val="24"/>
              </w:rPr>
            </w:pPr>
            <w:r>
              <w:rPr>
                <w:rFonts w:hint="eastAsia" w:ascii="宋体" w:hAnsi="宋体"/>
                <w:color w:val="000000"/>
                <w:sz w:val="20"/>
                <w:szCs w:val="24"/>
              </w:rPr>
              <w:t>3、生产工艺：喷塑前经脱脂、酸洗、磷化。表面喷涂环保塑粉。喷塑冲击力≥4N/m，附着力不低于2级要求。载荷；搁板每层承重≥200Kg，每架≥800Kg，层距可调。</w:t>
            </w:r>
          </w:p>
          <w:p w14:paraId="30E932E8">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4、整体要求：组件连接紧密牢固，无松动摇晃，边缘光滑，无毛刺，书架底脚无尖锐棱角，表面喷涂均匀。</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428BD">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475F5">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组</w:t>
            </w:r>
          </w:p>
        </w:tc>
      </w:tr>
      <w:tr w14:paraId="0F8E4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EDDA1">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35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04B0F">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仪器车</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BF3E8">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9FBEA">
            <w:pPr>
              <w:spacing w:beforeLines="0" w:afterLines="0"/>
              <w:jc w:val="left"/>
              <w:rPr>
                <w:rFonts w:hint="eastAsia" w:ascii="宋体" w:hAnsi="宋体"/>
                <w:color w:val="000000"/>
                <w:sz w:val="20"/>
                <w:szCs w:val="24"/>
              </w:rPr>
            </w:pPr>
            <w:r>
              <w:rPr>
                <w:rFonts w:hint="eastAsia" w:ascii="宋体" w:hAnsi="宋体"/>
                <w:color w:val="000000"/>
                <w:sz w:val="20"/>
                <w:szCs w:val="24"/>
              </w:rPr>
              <w:t>1、规格：650mm*400mm*900mm±5mm。</w:t>
            </w:r>
          </w:p>
          <w:p w14:paraId="296BB9E8">
            <w:pPr>
              <w:spacing w:beforeLines="0" w:afterLines="0"/>
              <w:jc w:val="left"/>
              <w:rPr>
                <w:rFonts w:hint="eastAsia" w:ascii="宋体" w:hAnsi="宋体"/>
                <w:color w:val="000000"/>
                <w:sz w:val="20"/>
                <w:szCs w:val="24"/>
              </w:rPr>
            </w:pPr>
            <w:r>
              <w:rPr>
                <w:rFonts w:hint="eastAsia" w:ascii="宋体" w:hAnsi="宋体"/>
                <w:color w:val="000000"/>
                <w:sz w:val="20"/>
                <w:szCs w:val="24"/>
              </w:rPr>
              <w:t>2、仪器车应分为2层，层间距不小于300mm。</w:t>
            </w:r>
          </w:p>
          <w:p w14:paraId="09A251B9">
            <w:pPr>
              <w:spacing w:beforeLines="0" w:afterLines="0"/>
              <w:jc w:val="left"/>
              <w:rPr>
                <w:rFonts w:hint="eastAsia" w:ascii="宋体" w:hAnsi="宋体"/>
                <w:color w:val="000000"/>
                <w:sz w:val="20"/>
                <w:szCs w:val="24"/>
              </w:rPr>
            </w:pPr>
            <w:r>
              <w:rPr>
                <w:rFonts w:hint="eastAsia" w:ascii="宋体" w:hAnsi="宋体"/>
                <w:color w:val="000000"/>
                <w:sz w:val="20"/>
                <w:szCs w:val="24"/>
              </w:rPr>
              <w:t>3、车架用直径不小于20*20mm方管制成、壁厚不小于0.5mm的不锈钢管制成，架高不低于800mm。</w:t>
            </w:r>
          </w:p>
          <w:p w14:paraId="31D46FD4">
            <w:pPr>
              <w:spacing w:beforeLines="0" w:afterLines="0"/>
              <w:jc w:val="left"/>
              <w:rPr>
                <w:rFonts w:hint="eastAsia" w:ascii="宋体" w:hAnsi="宋体"/>
                <w:color w:val="000000"/>
                <w:sz w:val="20"/>
                <w:szCs w:val="24"/>
              </w:rPr>
            </w:pPr>
            <w:r>
              <w:rPr>
                <w:rFonts w:hint="eastAsia" w:ascii="宋体" w:hAnsi="宋体"/>
                <w:color w:val="000000"/>
                <w:sz w:val="20"/>
                <w:szCs w:val="24"/>
              </w:rPr>
              <w:t>4、车架脚安装有不小于φ50mm、厚≥15mm转动灵活的万向轮。</w:t>
            </w:r>
          </w:p>
          <w:p w14:paraId="7E1ACBEE">
            <w:pPr>
              <w:spacing w:beforeLines="0" w:afterLines="0"/>
              <w:jc w:val="left"/>
              <w:rPr>
                <w:rFonts w:hint="eastAsia" w:ascii="宋体" w:hAnsi="宋体"/>
                <w:color w:val="000000"/>
                <w:sz w:val="20"/>
                <w:szCs w:val="24"/>
              </w:rPr>
            </w:pPr>
            <w:r>
              <w:rPr>
                <w:rFonts w:hint="eastAsia" w:ascii="宋体" w:hAnsi="宋体"/>
                <w:color w:val="000000"/>
                <w:sz w:val="20"/>
                <w:szCs w:val="24"/>
              </w:rPr>
              <w:t>5、车隔板为不薄于0.5mm的不锈钢制成。</w:t>
            </w:r>
          </w:p>
          <w:p w14:paraId="6CCC5DCD">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6、整车安装好后应载重≥50Kg，应运行平稳，不得变形、摇晃、松动。</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9DD0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2203">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辆</w:t>
            </w:r>
          </w:p>
        </w:tc>
      </w:tr>
      <w:tr w14:paraId="6AB0D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E9A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36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99A44">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大（铝木）仪器柜</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FAF57">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2AB19">
            <w:pPr>
              <w:spacing w:beforeLines="0" w:afterLines="0"/>
              <w:jc w:val="left"/>
              <w:rPr>
                <w:rFonts w:hint="eastAsia" w:ascii="宋体" w:hAnsi="宋体"/>
                <w:color w:val="000000"/>
                <w:sz w:val="20"/>
                <w:szCs w:val="24"/>
              </w:rPr>
            </w:pPr>
            <w:r>
              <w:rPr>
                <w:rFonts w:hint="eastAsia" w:ascii="宋体" w:hAnsi="宋体"/>
                <w:color w:val="000000"/>
                <w:sz w:val="20"/>
                <w:szCs w:val="24"/>
              </w:rPr>
              <w:t>1、规格：长1200mm×宽500mm×高2000mm（±5mm）；</w:t>
            </w:r>
          </w:p>
          <w:p w14:paraId="78A32DB8">
            <w:pPr>
              <w:spacing w:beforeLines="0" w:afterLines="0"/>
              <w:jc w:val="left"/>
              <w:rPr>
                <w:rFonts w:hint="eastAsia" w:ascii="宋体" w:hAnsi="宋体"/>
                <w:color w:val="000000"/>
                <w:sz w:val="20"/>
                <w:szCs w:val="24"/>
              </w:rPr>
            </w:pPr>
            <w:r>
              <w:rPr>
                <w:rFonts w:hint="eastAsia" w:ascii="宋体" w:hAnsi="宋体"/>
                <w:color w:val="000000"/>
                <w:sz w:val="20"/>
                <w:szCs w:val="24"/>
              </w:rPr>
              <w:t>2、框架采用铝合金冷挤压技术，铝合金力学性能韦氏硬度≥11HW，型材壁厚≥1.0mm；铝合金型材带凹槽，凹槽宽度与柜体衬板相匹配，凹槽深度满足安装要求，保证柜体衬板与铝型材之间接缝严密、无晃动、不脱落；铝合金型材表面经静电粉末喷涂处理，板件间全部采用三合一螺杆内置连接；</w:t>
            </w:r>
          </w:p>
          <w:p w14:paraId="1A33E131">
            <w:pPr>
              <w:spacing w:beforeLines="0" w:afterLines="0"/>
              <w:jc w:val="left"/>
              <w:rPr>
                <w:rFonts w:hint="eastAsia" w:ascii="宋体" w:hAnsi="宋体"/>
                <w:color w:val="000000"/>
                <w:sz w:val="20"/>
                <w:szCs w:val="24"/>
              </w:rPr>
            </w:pPr>
            <w:r>
              <w:rPr>
                <w:rFonts w:hint="eastAsia" w:ascii="宋体" w:hAnsi="宋体"/>
                <w:color w:val="000000"/>
                <w:sz w:val="20"/>
                <w:szCs w:val="24"/>
              </w:rPr>
              <w:t>3、柜体主体板材采用不低于E0级、厚度≥16mm的环保板材；所有板材外露面采用不可逆封边工艺，封边耐热、耐寒、耐水蒸气、耐化学品和溶剂，稳定性强；封边后封边条不可自然剥离，密封性高，不吸水、不膨胀；</w:t>
            </w:r>
          </w:p>
          <w:p w14:paraId="0F658586">
            <w:pPr>
              <w:spacing w:beforeLines="0" w:afterLines="0"/>
              <w:jc w:val="left"/>
              <w:rPr>
                <w:rFonts w:hint="eastAsia" w:ascii="宋体" w:hAnsi="宋体"/>
                <w:color w:val="000000"/>
                <w:sz w:val="20"/>
                <w:szCs w:val="24"/>
              </w:rPr>
            </w:pPr>
            <w:r>
              <w:rPr>
                <w:rFonts w:hint="eastAsia" w:ascii="宋体" w:hAnsi="宋体"/>
                <w:color w:val="000000"/>
                <w:sz w:val="20"/>
                <w:szCs w:val="24"/>
              </w:rPr>
              <w:t>4、柜门上下均为15mm中纤板木框对开玻璃门；</w:t>
            </w:r>
          </w:p>
          <w:p w14:paraId="4E4BE689">
            <w:pPr>
              <w:spacing w:beforeLines="0" w:afterLines="0"/>
              <w:jc w:val="left"/>
              <w:rPr>
                <w:rFonts w:hint="eastAsia" w:ascii="宋体" w:hAnsi="宋体"/>
                <w:color w:val="000000"/>
                <w:sz w:val="20"/>
                <w:szCs w:val="24"/>
              </w:rPr>
            </w:pPr>
            <w:r>
              <w:rPr>
                <w:rFonts w:hint="eastAsia" w:ascii="宋体" w:hAnsi="宋体"/>
                <w:color w:val="000000"/>
                <w:sz w:val="20"/>
                <w:szCs w:val="24"/>
              </w:rPr>
              <w:t>5、上柜空间由2块固定隔板分为3层储物空间，下柜采用1块厚度≥18mm环保板材进行纵向隔断；</w:t>
            </w:r>
          </w:p>
          <w:p w14:paraId="1A466527">
            <w:pPr>
              <w:spacing w:beforeLines="0" w:afterLines="0"/>
              <w:jc w:val="left"/>
              <w:rPr>
                <w:rFonts w:hint="eastAsia" w:ascii="宋体" w:hAnsi="宋体"/>
                <w:color w:val="000000"/>
                <w:sz w:val="20"/>
                <w:szCs w:val="24"/>
              </w:rPr>
            </w:pPr>
            <w:r>
              <w:rPr>
                <w:rFonts w:hint="eastAsia" w:ascii="宋体" w:hAnsi="宋体"/>
                <w:color w:val="000000"/>
                <w:sz w:val="20"/>
                <w:szCs w:val="24"/>
              </w:rPr>
              <w:t>6、三合一紧固螺母采用锌合金偏心轮，连杆为碳钢表面镀锌防锈处理，预埋件为聚丙烯；铰链采用厚度≥1.0mm的不锈钢液压阻尼铰链；拉手采用铝合金压铸一体成型拉手；</w:t>
            </w:r>
          </w:p>
          <w:p w14:paraId="3FA0F1E7">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7、底座由4个规格≥110mm×110mm×110mm、壁厚≥2.5mm的铸铝脚，以及规格≥36.5mm×27mm、壁厚≥1.0mm的铝合金梁铆接组成；铸铝脚与铝合金梁镶嵌尺寸≥40mm，后由≥4颗直径≥6mm的螺杆通过铸铝脚内部导引柱与柜体底部预设预埋件进行紧固连接；铝合金梁设有安装槽，对所有紧固件进行隐藏保护，避免误触；铸件与铝合金横梁表面均经静电粉末喷涂处理；调节脚垫采用直径≥8mm的螺杆与工程塑料一次注塑成型，可有效减噪防潮。（投标文件中提供底座的实物照片）</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3A69">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35DB">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组</w:t>
            </w:r>
          </w:p>
        </w:tc>
      </w:tr>
      <w:tr w14:paraId="7489E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26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70D2F82">
            <w:pPr>
              <w:spacing w:beforeLines="0" w:afterLines="0"/>
              <w:jc w:val="left"/>
              <w:rPr>
                <w:rFonts w:hint="eastAsia" w:ascii="宋体" w:hAnsi="宋体"/>
                <w:color w:val="000000"/>
                <w:sz w:val="20"/>
                <w:szCs w:val="24"/>
              </w:rPr>
            </w:pPr>
            <w:r>
              <w:rPr>
                <w:rFonts w:hint="eastAsia" w:ascii="宋体" w:hAnsi="宋体"/>
                <w:color w:val="000000"/>
                <w:sz w:val="20"/>
                <w:szCs w:val="24"/>
              </w:rPr>
              <w:t>化学仪器室</w:t>
            </w:r>
          </w:p>
        </w:tc>
      </w:tr>
      <w:tr w14:paraId="3662D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8C7CB">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37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C370">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大（铝木）仪器柜</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03E3">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D0143">
            <w:pPr>
              <w:spacing w:beforeLines="0" w:afterLines="0"/>
              <w:jc w:val="left"/>
              <w:rPr>
                <w:rFonts w:hint="eastAsia" w:ascii="宋体" w:hAnsi="宋体"/>
                <w:color w:val="000000"/>
                <w:sz w:val="20"/>
                <w:szCs w:val="24"/>
              </w:rPr>
            </w:pPr>
            <w:r>
              <w:rPr>
                <w:rFonts w:hint="eastAsia" w:ascii="宋体" w:hAnsi="宋体"/>
                <w:color w:val="000000"/>
                <w:sz w:val="20"/>
                <w:szCs w:val="24"/>
              </w:rPr>
              <w:t>1、规格：长1200mm×宽500mm×高2000mm（±5mm）；</w:t>
            </w:r>
          </w:p>
          <w:p w14:paraId="7FF34D27">
            <w:pPr>
              <w:spacing w:beforeLines="0" w:afterLines="0"/>
              <w:jc w:val="left"/>
              <w:rPr>
                <w:rFonts w:hint="eastAsia" w:ascii="宋体" w:hAnsi="宋体"/>
                <w:color w:val="000000"/>
                <w:sz w:val="20"/>
                <w:szCs w:val="24"/>
              </w:rPr>
            </w:pPr>
            <w:r>
              <w:rPr>
                <w:rFonts w:hint="eastAsia" w:ascii="宋体" w:hAnsi="宋体"/>
                <w:color w:val="000000"/>
                <w:sz w:val="20"/>
                <w:szCs w:val="24"/>
              </w:rPr>
              <w:t>2、框架采用铝合金冷挤压技术，铝合金力学性能韦氏硬度≥11HW，型材壁厚≥1.0mm；铝合金型材带凹槽，凹槽宽度与柜体衬板相匹配，凹槽深度满足安装要求，保证柜体衬板与铝型材之间接缝严密、无晃动、不脱落；铝合金型材表面经静电粉末喷涂处理，板件间全部采用三合一螺杆内置连接；</w:t>
            </w:r>
          </w:p>
          <w:p w14:paraId="55BEB08D">
            <w:pPr>
              <w:spacing w:beforeLines="0" w:afterLines="0"/>
              <w:jc w:val="left"/>
              <w:rPr>
                <w:rFonts w:hint="eastAsia" w:ascii="宋体" w:hAnsi="宋体"/>
                <w:color w:val="000000"/>
                <w:sz w:val="20"/>
                <w:szCs w:val="24"/>
              </w:rPr>
            </w:pPr>
            <w:r>
              <w:rPr>
                <w:rFonts w:hint="eastAsia" w:ascii="宋体" w:hAnsi="宋体"/>
                <w:color w:val="000000"/>
                <w:sz w:val="20"/>
                <w:szCs w:val="24"/>
              </w:rPr>
              <w:t>3、柜体主体板材采用不低于E0级、厚度≥16mm的环保板材；所有板材外露面采用不可逆封边工艺，封边耐热、耐寒、耐水蒸气、耐化学品和溶剂，稳定性强；封边后封边条不可自然剥离，密封性高，不吸水、不膨胀；</w:t>
            </w:r>
          </w:p>
          <w:p w14:paraId="5C3427D9">
            <w:pPr>
              <w:spacing w:beforeLines="0" w:afterLines="0"/>
              <w:jc w:val="left"/>
              <w:rPr>
                <w:rFonts w:hint="eastAsia" w:ascii="宋体" w:hAnsi="宋体"/>
                <w:color w:val="000000"/>
                <w:sz w:val="20"/>
                <w:szCs w:val="24"/>
              </w:rPr>
            </w:pPr>
            <w:r>
              <w:rPr>
                <w:rFonts w:hint="eastAsia" w:ascii="宋体" w:hAnsi="宋体"/>
                <w:color w:val="000000"/>
                <w:sz w:val="20"/>
                <w:szCs w:val="24"/>
              </w:rPr>
              <w:t>4、柜门上下均为15mm中纤板木框对开玻璃门；</w:t>
            </w:r>
          </w:p>
          <w:p w14:paraId="63FFF92B">
            <w:pPr>
              <w:spacing w:beforeLines="0" w:afterLines="0"/>
              <w:jc w:val="left"/>
              <w:rPr>
                <w:rFonts w:hint="eastAsia" w:ascii="宋体" w:hAnsi="宋体"/>
                <w:color w:val="000000"/>
                <w:sz w:val="20"/>
                <w:szCs w:val="24"/>
              </w:rPr>
            </w:pPr>
            <w:r>
              <w:rPr>
                <w:rFonts w:hint="eastAsia" w:ascii="宋体" w:hAnsi="宋体"/>
                <w:color w:val="000000"/>
                <w:sz w:val="20"/>
                <w:szCs w:val="24"/>
              </w:rPr>
              <w:t>5、上柜空间由2块固定隔板分为3层储物空间，下柜采用1块厚度≥18mm环保板材进行纵向隔断；</w:t>
            </w:r>
          </w:p>
          <w:p w14:paraId="10C4E7F0">
            <w:pPr>
              <w:spacing w:beforeLines="0" w:afterLines="0"/>
              <w:jc w:val="left"/>
              <w:rPr>
                <w:rFonts w:hint="eastAsia" w:ascii="宋体" w:hAnsi="宋体"/>
                <w:color w:val="000000"/>
                <w:sz w:val="20"/>
                <w:szCs w:val="24"/>
              </w:rPr>
            </w:pPr>
            <w:r>
              <w:rPr>
                <w:rFonts w:hint="eastAsia" w:ascii="宋体" w:hAnsi="宋体"/>
                <w:color w:val="000000"/>
                <w:sz w:val="20"/>
                <w:szCs w:val="24"/>
              </w:rPr>
              <w:t>6、三合一紧固螺母采用锌合金偏心轮，连杆为碳钢表面镀锌防锈处理，预埋件为聚丙烯；铰链采用厚度≥1.0mm的不锈钢液压阻尼铰链；拉手采用铝合金压铸一体成型拉手；</w:t>
            </w:r>
          </w:p>
          <w:p w14:paraId="7EAA442B">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7、底座由4个规格≥110mm×110mm×110mm、壁厚≥2.5mm的铸铝脚，以及规格≥36.5mm×27mm、壁厚≥1.0mm的铝合金梁铆接组成；铸铝脚与铝合金梁镶嵌尺寸≥40mm，后由≥4颗直径≥6mm的螺杆通过铸铝脚内部导引柱与柜体底部预设预埋件进行紧固连接；铝合金梁设有安装槽，对所有紧固件进行隐藏保护，避免误触；铸件与铝合金横梁表面均经静电粉末喷涂处理；调节脚垫采用直径≥8mm的螺杆与工程塑料一次注塑成型，可有效减噪防潮。</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1A543">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3016">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组</w:t>
            </w:r>
          </w:p>
        </w:tc>
      </w:tr>
      <w:tr w14:paraId="17BF8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6D1D">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38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919F">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大（铝木）仪器柜</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FB0F2">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F5160">
            <w:pPr>
              <w:spacing w:beforeLines="0" w:afterLines="0"/>
              <w:jc w:val="left"/>
              <w:rPr>
                <w:rFonts w:hint="eastAsia" w:ascii="宋体" w:hAnsi="宋体"/>
                <w:color w:val="000000"/>
                <w:sz w:val="20"/>
                <w:szCs w:val="24"/>
              </w:rPr>
            </w:pPr>
            <w:r>
              <w:rPr>
                <w:rFonts w:hint="eastAsia" w:ascii="宋体" w:hAnsi="宋体"/>
                <w:color w:val="000000"/>
                <w:sz w:val="20"/>
                <w:szCs w:val="24"/>
              </w:rPr>
              <w:t>1、规格：长1200mm×宽500mm×高2000mm（±5mm）；</w:t>
            </w:r>
          </w:p>
          <w:p w14:paraId="0E3B90F4">
            <w:pPr>
              <w:spacing w:beforeLines="0" w:afterLines="0"/>
              <w:jc w:val="left"/>
              <w:rPr>
                <w:rFonts w:hint="eastAsia" w:ascii="宋体" w:hAnsi="宋体"/>
                <w:color w:val="000000"/>
                <w:sz w:val="20"/>
                <w:szCs w:val="24"/>
              </w:rPr>
            </w:pPr>
            <w:r>
              <w:rPr>
                <w:rFonts w:hint="eastAsia" w:ascii="宋体" w:hAnsi="宋体"/>
                <w:color w:val="000000"/>
                <w:sz w:val="20"/>
                <w:szCs w:val="24"/>
              </w:rPr>
              <w:t>2、框架采用铝合金冷挤压技术，铝合金力学性能韦氏硬度≥11HW，型材壁厚≥1.0mm；铝合金型材带凹槽，凹槽宽度与柜体衬板相匹配，凹槽深度满足安装要求，保证柜体衬板与铝型材之间接缝严密、无晃动、不脱落；铝合金型材表面经静电粉末喷涂处理，板件间全部采用三合一螺杆内置连接；</w:t>
            </w:r>
          </w:p>
          <w:p w14:paraId="0E8AA53E">
            <w:pPr>
              <w:spacing w:beforeLines="0" w:afterLines="0"/>
              <w:jc w:val="left"/>
              <w:rPr>
                <w:rFonts w:hint="eastAsia" w:ascii="宋体" w:hAnsi="宋体"/>
                <w:color w:val="000000"/>
                <w:sz w:val="20"/>
                <w:szCs w:val="24"/>
              </w:rPr>
            </w:pPr>
            <w:r>
              <w:rPr>
                <w:rFonts w:hint="eastAsia" w:ascii="宋体" w:hAnsi="宋体"/>
                <w:color w:val="000000"/>
                <w:sz w:val="20"/>
                <w:szCs w:val="24"/>
              </w:rPr>
              <w:t>3、柜体主体板材采用不低于E0级、厚度≥16mm的环保板材；所有板材外露面采用不可逆封边工艺，封边耐热、耐寒、耐水蒸气、耐化学品和溶剂，稳定性强；封边后封边条不可自然剥离，密封性高，不吸水、不膨胀；</w:t>
            </w:r>
          </w:p>
          <w:p w14:paraId="7A453774">
            <w:pPr>
              <w:spacing w:beforeLines="0" w:afterLines="0"/>
              <w:jc w:val="left"/>
              <w:rPr>
                <w:rFonts w:hint="eastAsia" w:ascii="宋体" w:hAnsi="宋体"/>
                <w:color w:val="000000"/>
                <w:sz w:val="20"/>
                <w:szCs w:val="24"/>
              </w:rPr>
            </w:pPr>
            <w:r>
              <w:rPr>
                <w:rFonts w:hint="eastAsia" w:ascii="宋体" w:hAnsi="宋体"/>
                <w:color w:val="000000"/>
                <w:sz w:val="20"/>
                <w:szCs w:val="24"/>
              </w:rPr>
              <w:t>4、柜门上下均为15mm中纤板木框对开玻璃门；</w:t>
            </w:r>
          </w:p>
          <w:p w14:paraId="79F042F0">
            <w:pPr>
              <w:spacing w:beforeLines="0" w:afterLines="0"/>
              <w:jc w:val="left"/>
              <w:rPr>
                <w:rFonts w:hint="eastAsia" w:ascii="宋体" w:hAnsi="宋体"/>
                <w:color w:val="000000"/>
                <w:sz w:val="20"/>
                <w:szCs w:val="24"/>
              </w:rPr>
            </w:pPr>
            <w:r>
              <w:rPr>
                <w:rFonts w:hint="eastAsia" w:ascii="宋体" w:hAnsi="宋体"/>
                <w:color w:val="000000"/>
                <w:sz w:val="20"/>
                <w:szCs w:val="24"/>
              </w:rPr>
              <w:t>5、上柜空间由2块固定隔板分为3层储物空间，下柜采用1块厚度≥18mm环保板材进行纵向隔断；</w:t>
            </w:r>
          </w:p>
          <w:p w14:paraId="734C8DA9">
            <w:pPr>
              <w:spacing w:beforeLines="0" w:afterLines="0"/>
              <w:jc w:val="left"/>
              <w:rPr>
                <w:rFonts w:hint="eastAsia" w:ascii="宋体" w:hAnsi="宋体"/>
                <w:color w:val="000000"/>
                <w:sz w:val="20"/>
                <w:szCs w:val="24"/>
              </w:rPr>
            </w:pPr>
            <w:r>
              <w:rPr>
                <w:rFonts w:hint="eastAsia" w:ascii="宋体" w:hAnsi="宋体"/>
                <w:color w:val="000000"/>
                <w:sz w:val="20"/>
                <w:szCs w:val="24"/>
              </w:rPr>
              <w:t>6、三合一紧固螺母采用锌合金偏心轮，连杆为碳钢表面镀锌防锈处理，预埋件为聚丙烯；铰链采用厚度≥1.0mm的不锈钢液压阻尼铰链；拉手采用铝合金压铸一体成型拉手；</w:t>
            </w:r>
          </w:p>
          <w:p w14:paraId="29DD9E0E">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7、底座由4个规格≥110mm×110mm×110mm、壁厚≥2.5mm的铸铝脚，以及规格≥36.5mm×27mm、壁厚≥1.0mm的铝合金梁铆接组成；铸铝脚与铝合金梁镶嵌尺寸≥40mm，后由≥4颗直径≥6mm的螺杆通过铸铝脚内部导引柱与柜体底部预设预埋件进行紧固连接；铝合金梁设有安装槽，对所有紧固件进行隐藏保护，避免误触；铸件与铝合金横梁表面均经静电粉末喷涂处理；调节脚垫采用直径≥8mm的螺杆与工程塑料一次注塑成型，可有效减噪防潮。</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36CE">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CC71">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组</w:t>
            </w:r>
          </w:p>
        </w:tc>
      </w:tr>
      <w:tr w14:paraId="1E336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C857C">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39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7BBED">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器材架</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29A25">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灵犀一点、育本、韵辰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130C4">
            <w:pPr>
              <w:spacing w:beforeLines="0" w:afterLines="0"/>
              <w:jc w:val="left"/>
              <w:rPr>
                <w:rFonts w:hint="eastAsia" w:ascii="宋体" w:hAnsi="宋体"/>
                <w:color w:val="000000"/>
                <w:sz w:val="20"/>
                <w:szCs w:val="24"/>
              </w:rPr>
            </w:pPr>
            <w:r>
              <w:rPr>
                <w:rFonts w:hint="eastAsia" w:ascii="宋体" w:hAnsi="宋体"/>
                <w:color w:val="000000"/>
                <w:sz w:val="20"/>
                <w:szCs w:val="24"/>
              </w:rPr>
              <w:t>1、整体规格：L2000mm*D600mm*H2000mm±5mm（节/组的尺寸），≥4层双面存取。每层架间距离可均匀调整。</w:t>
            </w:r>
          </w:p>
          <w:p w14:paraId="617A4E13">
            <w:pPr>
              <w:spacing w:beforeLines="0" w:afterLines="0"/>
              <w:jc w:val="left"/>
              <w:rPr>
                <w:rFonts w:hint="eastAsia" w:ascii="宋体" w:hAnsi="宋体"/>
                <w:color w:val="000000"/>
                <w:sz w:val="20"/>
                <w:szCs w:val="24"/>
              </w:rPr>
            </w:pPr>
            <w:r>
              <w:rPr>
                <w:rFonts w:hint="eastAsia" w:ascii="宋体" w:hAnsi="宋体"/>
                <w:color w:val="000000"/>
                <w:sz w:val="20"/>
                <w:szCs w:val="24"/>
              </w:rPr>
              <w:t>2、材料：层板由优质钢板折弯冲压制成，立柱为货架专用C型钢材，尺寸：≥40mm*60mm</w:t>
            </w:r>
          </w:p>
          <w:p w14:paraId="3E33B297">
            <w:pPr>
              <w:spacing w:beforeLines="0" w:afterLines="0"/>
              <w:jc w:val="left"/>
              <w:rPr>
                <w:rFonts w:hint="eastAsia" w:ascii="宋体" w:hAnsi="宋体"/>
                <w:color w:val="000000"/>
                <w:sz w:val="20"/>
                <w:szCs w:val="24"/>
              </w:rPr>
            </w:pPr>
            <w:r>
              <w:rPr>
                <w:rFonts w:hint="eastAsia" w:ascii="宋体" w:hAnsi="宋体"/>
                <w:color w:val="000000"/>
                <w:sz w:val="20"/>
                <w:szCs w:val="24"/>
              </w:rPr>
              <w:t>3、生产工艺：喷塑前经脱脂、酸洗、磷化。表面喷涂环保塑粉。喷塑冲击力≥4N/m，附着力不低于2级要求。载荷；搁板每层承重≥200Kg，每架≥800Kg，层距可调。</w:t>
            </w:r>
          </w:p>
          <w:p w14:paraId="5F826CA7">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4、整体要求：组件连接紧密牢固，无松动摇晃，边缘光滑，无毛刺，书架底脚无尖锐棱角，表面喷涂均匀。</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F2EF">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8C3E">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组</w:t>
            </w:r>
          </w:p>
        </w:tc>
      </w:tr>
      <w:tr w14:paraId="0E711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0" w:hRule="atLeast"/>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C548">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40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D079">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耐腐蚀品储存柜</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8C3C">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铭安、育本、韵辰</w:t>
            </w:r>
          </w:p>
        </w:tc>
        <w:tc>
          <w:tcPr>
            <w:tcW w:w="5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D73C">
            <w:pPr>
              <w:spacing w:beforeLines="0" w:afterLines="0"/>
              <w:jc w:val="left"/>
              <w:rPr>
                <w:rFonts w:hint="eastAsia" w:ascii="宋体" w:hAnsi="宋体"/>
                <w:color w:val="000000"/>
                <w:sz w:val="20"/>
                <w:szCs w:val="24"/>
              </w:rPr>
            </w:pPr>
            <w:r>
              <w:rPr>
                <w:rFonts w:hint="eastAsia" w:ascii="宋体" w:hAnsi="宋体"/>
                <w:color w:val="000000"/>
                <w:sz w:val="20"/>
                <w:szCs w:val="24"/>
              </w:rPr>
              <w:t>1、尺寸：≥1840mm×900mm×510mm；门类型：双开门；</w:t>
            </w:r>
          </w:p>
          <w:p w14:paraId="44A7B9D5">
            <w:pPr>
              <w:spacing w:beforeLines="0" w:afterLines="0"/>
              <w:jc w:val="left"/>
              <w:rPr>
                <w:rFonts w:hint="eastAsia" w:ascii="宋体" w:hAnsi="宋体"/>
                <w:color w:val="000000"/>
                <w:sz w:val="20"/>
                <w:szCs w:val="24"/>
              </w:rPr>
            </w:pPr>
            <w:r>
              <w:rPr>
                <w:rFonts w:hint="eastAsia" w:ascii="宋体" w:hAnsi="宋体"/>
                <w:color w:val="000000"/>
                <w:sz w:val="20"/>
                <w:szCs w:val="24"/>
              </w:rPr>
              <w:t>2、柜体外壳全部采用≥1.2mm冷轧钢板，底座采用≥2.0mm冷轧钢板，内外表面经酸洗磷化处理、环氧树脂粉末喷涂、烘烤固化处理；</w:t>
            </w:r>
          </w:p>
          <w:p w14:paraId="476472D0">
            <w:pPr>
              <w:spacing w:beforeLines="0" w:afterLines="0"/>
              <w:jc w:val="left"/>
              <w:rPr>
                <w:rFonts w:hint="eastAsia" w:ascii="宋体" w:hAnsi="宋体"/>
                <w:color w:val="000000"/>
                <w:sz w:val="20"/>
                <w:szCs w:val="24"/>
              </w:rPr>
            </w:pPr>
            <w:r>
              <w:rPr>
                <w:rFonts w:hint="eastAsia" w:ascii="宋体" w:hAnsi="宋体"/>
                <w:color w:val="000000"/>
                <w:sz w:val="20"/>
                <w:szCs w:val="24"/>
              </w:rPr>
              <w:t>3、柜体内胆（上、下、左、右内衬板）均采用PP（聚丙烯）板，厚度≥4mm；柜底部设置≥90mm×50mm×145mm进风口，进风口底部配有PP可调风阀；底板中部设有≥φ10mm漏液孔，漏液孔上方覆盖≥60目304不锈钢网；柜体底部设≥160mm黄沙防倒挡板，柜体内部最下层设有可存放≥120mm厚黄沙的填埋腔，用于存放金属钠、黄磷（白磷）等易燃物品；</w:t>
            </w:r>
          </w:p>
          <w:p w14:paraId="1FAB8770">
            <w:pPr>
              <w:spacing w:beforeLines="0" w:afterLines="0"/>
              <w:jc w:val="left"/>
              <w:rPr>
                <w:rFonts w:hint="eastAsia" w:ascii="宋体" w:hAnsi="宋体"/>
                <w:color w:val="000000"/>
                <w:sz w:val="20"/>
                <w:szCs w:val="24"/>
              </w:rPr>
            </w:pPr>
            <w:r>
              <w:rPr>
                <w:rFonts w:hint="eastAsia" w:ascii="宋体" w:hAnsi="宋体"/>
                <w:color w:val="000000"/>
                <w:sz w:val="20"/>
                <w:szCs w:val="24"/>
              </w:rPr>
              <w:t>4、柜底装有4个移动尼龙轮，便于柜体移动；前轮后配有≥2个手动调节螺杆；</w:t>
            </w:r>
          </w:p>
          <w:p w14:paraId="74B803DD">
            <w:pPr>
              <w:spacing w:beforeLines="0" w:afterLines="0"/>
              <w:jc w:val="left"/>
              <w:rPr>
                <w:rFonts w:hint="eastAsia" w:ascii="宋体" w:hAnsi="宋体"/>
                <w:color w:val="000000"/>
                <w:sz w:val="20"/>
                <w:szCs w:val="24"/>
              </w:rPr>
            </w:pPr>
            <w:r>
              <w:rPr>
                <w:rFonts w:hint="eastAsia" w:ascii="宋体" w:hAnsi="宋体"/>
                <w:color w:val="000000"/>
                <w:sz w:val="20"/>
                <w:szCs w:val="24"/>
              </w:rPr>
              <w:t>5、柜中部配置≥3块一次成型PP（聚丙烯）活动层板，层板四周边缘厚度平均值≥4.0mm；每层阶梯板外延边设有积液槽，积液槽高度平均值≥3.0mm；每块搁板靠背板处设有一排导风口，阶梯高度≥50mm（包括积液槽高度）；</w:t>
            </w:r>
          </w:p>
          <w:p w14:paraId="4BB402EB">
            <w:pPr>
              <w:spacing w:beforeLines="0" w:afterLines="0"/>
              <w:jc w:val="left"/>
              <w:rPr>
                <w:rFonts w:hint="eastAsia" w:ascii="宋体" w:hAnsi="宋体"/>
                <w:color w:val="000000"/>
                <w:sz w:val="20"/>
                <w:szCs w:val="24"/>
              </w:rPr>
            </w:pPr>
            <w:r>
              <w:rPr>
                <w:rFonts w:hint="eastAsia" w:ascii="宋体" w:hAnsi="宋体"/>
                <w:color w:val="000000"/>
                <w:sz w:val="20"/>
                <w:szCs w:val="24"/>
              </w:rPr>
              <w:t>6、柜顶部中间设有≥φ160mm出风口，风口内置AC220V/50Hz/0.18A轴流风机，最大风量≥326m³/h，转速≥2550r/min，工作环境温度-10℃～+70℃，防静电无火花；控制开关设置于柜体顶部右上角，风机开机前须将柜门下方中间的进风口推至开启状态；</w:t>
            </w:r>
          </w:p>
          <w:p w14:paraId="6934E130">
            <w:pPr>
              <w:spacing w:beforeLines="0" w:afterLines="0"/>
              <w:jc w:val="left"/>
              <w:rPr>
                <w:rFonts w:hint="eastAsia" w:ascii="宋体" w:hAnsi="宋体"/>
                <w:color w:val="000000"/>
                <w:sz w:val="20"/>
                <w:szCs w:val="24"/>
              </w:rPr>
            </w:pPr>
            <w:r>
              <w:rPr>
                <w:rFonts w:hint="eastAsia" w:ascii="宋体" w:hAnsi="宋体"/>
                <w:color w:val="000000"/>
                <w:sz w:val="20"/>
                <w:szCs w:val="24"/>
              </w:rPr>
              <w:t>7、密封件：柜门与柜体之间安装膨胀型密封条，当温度为150℃～180℃时密封条局部膨胀，温度达到200℃时全部膨胀，膨胀比例为1:5；</w:t>
            </w:r>
          </w:p>
          <w:p w14:paraId="2223E43D">
            <w:pPr>
              <w:spacing w:beforeLines="0" w:afterLines="0"/>
              <w:jc w:val="left"/>
              <w:rPr>
                <w:rFonts w:hint="eastAsia" w:ascii="宋体" w:hAnsi="宋体"/>
                <w:color w:val="000000"/>
                <w:sz w:val="20"/>
                <w:szCs w:val="24"/>
              </w:rPr>
            </w:pPr>
            <w:r>
              <w:rPr>
                <w:rFonts w:hint="eastAsia" w:ascii="宋体" w:hAnsi="宋体"/>
                <w:color w:val="000000"/>
                <w:sz w:val="20"/>
                <w:szCs w:val="24"/>
              </w:rPr>
              <w:t>8、陶瓷纤维棉：柜体填充陶瓷纤维棉保温隔热层，应符合GB/T 21114-2019要求（密度≥130kg/m³，厚度≥40mm）；</w:t>
            </w:r>
          </w:p>
          <w:p w14:paraId="38EBC9B0">
            <w:pPr>
              <w:spacing w:beforeLines="0" w:afterLines="0"/>
              <w:jc w:val="left"/>
              <w:rPr>
                <w:rFonts w:hint="eastAsia" w:ascii="宋体" w:hAnsi="宋体"/>
                <w:color w:val="000000"/>
                <w:sz w:val="20"/>
                <w:szCs w:val="24"/>
              </w:rPr>
            </w:pPr>
            <w:r>
              <w:rPr>
                <w:rFonts w:hint="eastAsia" w:ascii="宋体" w:hAnsi="宋体"/>
                <w:color w:val="000000"/>
                <w:sz w:val="20"/>
                <w:szCs w:val="24"/>
              </w:rPr>
              <w:t>9、铰链：采用钢琴铰链，门开启角度≥180°；</w:t>
            </w:r>
          </w:p>
          <w:p w14:paraId="34A914ED">
            <w:pPr>
              <w:spacing w:beforeLines="0" w:afterLines="0"/>
              <w:jc w:val="left"/>
              <w:rPr>
                <w:rFonts w:hint="eastAsia" w:ascii="宋体" w:hAnsi="宋体"/>
                <w:color w:val="000000"/>
                <w:sz w:val="20"/>
                <w:szCs w:val="24"/>
              </w:rPr>
            </w:pPr>
            <w:r>
              <w:rPr>
                <w:rFonts w:hint="eastAsia" w:ascii="宋体" w:hAnsi="宋体"/>
                <w:color w:val="000000"/>
                <w:sz w:val="20"/>
                <w:szCs w:val="24"/>
              </w:rPr>
              <w:t>10、电子密码锁：柜体配备电子密码锁和机械锁，实现双人双锁管理，锁具具有开锁记录查询功能及隐码功能；天地锁锁舌采用高分子合成塑料制成，耐磨、抗腐蚀；</w:t>
            </w:r>
          </w:p>
          <w:p w14:paraId="0CC21729">
            <w:pPr>
              <w:spacing w:beforeLines="0" w:afterLines="0"/>
              <w:jc w:val="left"/>
              <w:rPr>
                <w:rFonts w:hint="eastAsia" w:ascii="宋体" w:hAnsi="宋体"/>
                <w:color w:val="000000"/>
                <w:sz w:val="20"/>
                <w:szCs w:val="24"/>
              </w:rPr>
            </w:pPr>
            <w:r>
              <w:rPr>
                <w:rFonts w:hint="eastAsia" w:ascii="宋体" w:hAnsi="宋体"/>
                <w:color w:val="000000"/>
                <w:sz w:val="20"/>
                <w:szCs w:val="24"/>
              </w:rPr>
              <w:t>11、通风控制装置：柜体底部设置进风口及可调风阀，风阀旋转灵活，可控制风量大小；通风管道口径宜采用≥φ160mm，通风管应耐高温、阻燃、耐腐蚀，符合JGJ/T 141-2017要求；</w:t>
            </w:r>
          </w:p>
          <w:p w14:paraId="46EB7B58">
            <w:pPr>
              <w:spacing w:beforeLines="0" w:afterLines="0"/>
              <w:jc w:val="left"/>
              <w:rPr>
                <w:rFonts w:hint="eastAsia" w:ascii="宋体" w:hAnsi="宋体"/>
                <w:color w:val="000000"/>
                <w:sz w:val="20"/>
                <w:szCs w:val="24"/>
              </w:rPr>
            </w:pPr>
            <w:r>
              <w:rPr>
                <w:rFonts w:hint="eastAsia" w:ascii="宋体" w:hAnsi="宋体"/>
                <w:color w:val="000000"/>
                <w:sz w:val="20"/>
                <w:szCs w:val="24"/>
              </w:rPr>
              <w:t>12、配备接地装置；</w:t>
            </w:r>
          </w:p>
          <w:p w14:paraId="3B9CC293">
            <w:pPr>
              <w:spacing w:beforeLines="0" w:afterLines="0"/>
              <w:jc w:val="left"/>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13、随柜配备：《耐腐蚀品储存柜使用说明书》、《合格证》、《安全储存说明书》；柜门贴有反光警示标签。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2F27">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08D5">
            <w:pPr>
              <w:spacing w:beforeLines="0" w:afterLines="0"/>
              <w:jc w:val="center"/>
              <w:rPr>
                <w:rFonts w:hint="eastAsia" w:ascii="宋体" w:hAnsi="宋体" w:eastAsia="宋体" w:cs="Times New Roman"/>
                <w:color w:val="000000"/>
                <w:kern w:val="2"/>
                <w:sz w:val="20"/>
                <w:szCs w:val="24"/>
                <w:lang w:val="en-US" w:eastAsia="zh-CN" w:bidi="ar-SA"/>
              </w:rPr>
            </w:pPr>
            <w:r>
              <w:rPr>
                <w:rFonts w:hint="eastAsia" w:ascii="宋体" w:hAnsi="宋体"/>
                <w:color w:val="000000"/>
                <w:sz w:val="20"/>
                <w:szCs w:val="24"/>
              </w:rPr>
              <w:t>个</w:t>
            </w:r>
          </w:p>
        </w:tc>
      </w:tr>
      <w:tr w14:paraId="692FD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926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435E28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kern w:val="0"/>
                <w:sz w:val="21"/>
                <w:szCs w:val="21"/>
                <w:highlight w:val="none"/>
              </w:rPr>
              <w:t>一、商务服务要求</w:t>
            </w:r>
          </w:p>
        </w:tc>
      </w:tr>
      <w:tr w14:paraId="1C6F4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DDE58">
            <w:pPr>
              <w:widowControl/>
              <w:snapToGrid w:val="0"/>
              <w:spacing w:line="400" w:lineRule="exact"/>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交货时间及地点</w:t>
            </w:r>
          </w:p>
        </w:tc>
        <w:tc>
          <w:tcPr>
            <w:tcW w:w="76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79C412">
            <w:pPr>
              <w:widowControl/>
              <w:snapToGrid w:val="0"/>
              <w:spacing w:line="400" w:lineRule="exact"/>
              <w:jc w:val="left"/>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1.交货期：合同签订之日起7个日历日内交货并安装调试完毕。</w:t>
            </w:r>
          </w:p>
          <w:p w14:paraId="46CFF106">
            <w:pPr>
              <w:widowControl/>
              <w:snapToGrid w:val="0"/>
              <w:spacing w:line="400" w:lineRule="exact"/>
              <w:jc w:val="left"/>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2.交货地点：广西钦州市采购人指定地点。</w:t>
            </w:r>
          </w:p>
        </w:tc>
      </w:tr>
      <w:tr w14:paraId="07809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AF1DE">
            <w:pPr>
              <w:widowControl/>
              <w:snapToGrid w:val="0"/>
              <w:spacing w:line="400" w:lineRule="exact"/>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质保期</w:t>
            </w:r>
          </w:p>
        </w:tc>
        <w:tc>
          <w:tcPr>
            <w:tcW w:w="76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D7C647">
            <w:pPr>
              <w:widowControl/>
              <w:snapToGrid w:val="0"/>
              <w:spacing w:line="400" w:lineRule="exact"/>
              <w:jc w:val="left"/>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按国家有关规定或厂家承诺实行“三包”，质保期从验收合格之日起整机不少于</w:t>
            </w:r>
            <w:r>
              <w:rPr>
                <w:rFonts w:hint="eastAsia" w:ascii="宋体" w:hAnsi="宋体" w:cs="宋体"/>
                <w:kern w:val="0"/>
                <w:sz w:val="21"/>
                <w:szCs w:val="21"/>
                <w:highlight w:val="none"/>
                <w:lang w:val="en-US" w:eastAsia="zh-CN"/>
              </w:rPr>
              <w:t>3</w:t>
            </w:r>
            <w:r>
              <w:rPr>
                <w:rFonts w:hint="eastAsia" w:ascii="宋体" w:hAnsi="宋体" w:eastAsia="宋体" w:cs="宋体"/>
                <w:kern w:val="0"/>
                <w:sz w:val="21"/>
                <w:szCs w:val="21"/>
                <w:highlight w:val="none"/>
              </w:rPr>
              <w:t>年（技术参数中有特别指明质保期的按参数要求，厂家质保期高于采购要求的按厂家质保），质保期内全免费上门维修、免费更换零部件，质保期过后提供终身技术支持和维护。</w:t>
            </w:r>
          </w:p>
        </w:tc>
      </w:tr>
      <w:tr w14:paraId="5D315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E793B">
            <w:pPr>
              <w:widowControl/>
              <w:snapToGrid w:val="0"/>
              <w:spacing w:line="400" w:lineRule="exact"/>
              <w:jc w:val="center"/>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b/>
                <w:sz w:val="21"/>
                <w:szCs w:val="21"/>
                <w:highlight w:val="none"/>
              </w:rPr>
              <w:t>商务要求</w:t>
            </w:r>
          </w:p>
        </w:tc>
        <w:tc>
          <w:tcPr>
            <w:tcW w:w="76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FDDE37">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1.打“</w:t>
            </w:r>
            <w:r>
              <w:rPr>
                <w:rFonts w:hint="eastAsia" w:ascii="宋体" w:hAnsi="宋体" w:eastAsia="宋体" w:cs="宋体"/>
                <w:b/>
                <w:bCs/>
                <w:kern w:val="0"/>
                <w:sz w:val="21"/>
                <w:szCs w:val="21"/>
                <w:highlight w:val="none"/>
              </w:rPr>
              <w:t>▲</w:t>
            </w:r>
            <w:r>
              <w:rPr>
                <w:rFonts w:hint="eastAsia" w:ascii="宋体" w:hAnsi="宋体" w:eastAsia="宋体" w:cs="宋体"/>
                <w:sz w:val="21"/>
                <w:szCs w:val="21"/>
                <w:highlight w:val="none"/>
              </w:rPr>
              <w:t>”号条款为重要技术参数，投标人必须满足否则报价无效。</w:t>
            </w:r>
          </w:p>
          <w:p w14:paraId="20519F50">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2.为确保所供产品为全新产品并且具备原厂质保，</w:t>
            </w:r>
            <w:r>
              <w:rPr>
                <w:rFonts w:hint="eastAsia" w:ascii="宋体" w:hAnsi="宋体" w:eastAsia="宋体" w:cs="宋体"/>
                <w:color w:val="000000"/>
                <w:kern w:val="0"/>
                <w:sz w:val="21"/>
                <w:szCs w:val="21"/>
                <w:highlight w:val="none"/>
              </w:rPr>
              <w:t>中标供应商必须在签订合同后二个工作日内提供中标产品生产厂家的技术参数证明和售后服务承诺函原件并加盖生产厂家公章，并确保所有技术参数、功能均符合合同承诺，如有任何一条参数测试不满足的，作无效合同处理否。</w:t>
            </w:r>
            <w:r>
              <w:rPr>
                <w:rFonts w:hint="eastAsia" w:ascii="宋体" w:hAnsi="宋体" w:eastAsia="宋体" w:cs="宋体"/>
                <w:sz w:val="21"/>
                <w:szCs w:val="21"/>
                <w:highlight w:val="none"/>
              </w:rPr>
              <w:t>”</w:t>
            </w:r>
          </w:p>
          <w:p w14:paraId="627734A0">
            <w:pPr>
              <w:spacing w:line="276" w:lineRule="auto"/>
              <w:rPr>
                <w:rFonts w:hint="eastAsia" w:ascii="宋体" w:hAnsi="宋体" w:eastAsia="宋体" w:cs="宋体"/>
                <w:kern w:val="0"/>
                <w:sz w:val="21"/>
                <w:szCs w:val="21"/>
                <w:highlight w:val="none"/>
                <w:lang w:val="en-US" w:eastAsia="zh-CN" w:bidi="ar-SA"/>
              </w:rPr>
            </w:pPr>
            <w:r>
              <w:rPr>
                <w:rFonts w:hint="eastAsia" w:ascii="宋体" w:hAnsi="宋体" w:eastAsia="宋体" w:cs="宋体"/>
                <w:sz w:val="21"/>
                <w:szCs w:val="21"/>
                <w:highlight w:val="none"/>
              </w:rPr>
              <w:t xml:space="preserve">    3</w:t>
            </w:r>
            <w:r>
              <w:rPr>
                <w:rFonts w:hint="eastAsia" w:ascii="宋体" w:hAnsi="宋体" w:eastAsia="宋体" w:cs="宋体"/>
                <w:color w:val="000000"/>
                <w:kern w:val="0"/>
                <w:sz w:val="21"/>
                <w:szCs w:val="21"/>
                <w:highlight w:val="none"/>
              </w:rPr>
              <w:t>.在中标供应商公告2天内签订合同，签订合同后当天中标供应商提供中标产品进行测试，确保所有技术参数、功能均符合合同承诺。如有任何一条参数测试不满足的，作无效合同处理。</w:t>
            </w:r>
          </w:p>
        </w:tc>
      </w:tr>
      <w:tr w14:paraId="34699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86326">
            <w:pPr>
              <w:widowControl/>
              <w:snapToGrid w:val="0"/>
              <w:spacing w:line="400" w:lineRule="exact"/>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0"/>
                <w:sz w:val="21"/>
                <w:szCs w:val="21"/>
                <w:highlight w:val="none"/>
              </w:rPr>
              <w:t>产品质量与售后服务要求</w:t>
            </w:r>
          </w:p>
        </w:tc>
        <w:tc>
          <w:tcPr>
            <w:tcW w:w="76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4DC2B7">
            <w:pPr>
              <w:widowControl/>
              <w:snapToGrid w:val="0"/>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b/>
                <w:bCs/>
                <w:sz w:val="21"/>
                <w:szCs w:val="21"/>
                <w:highlight w:val="none"/>
              </w:rPr>
              <w:t>供应商所投产品必须为采购需求中所列出的品牌型号之一。</w:t>
            </w:r>
            <w:r>
              <w:rPr>
                <w:rFonts w:hint="eastAsia" w:ascii="宋体" w:hAnsi="宋体" w:eastAsia="宋体" w:cs="宋体"/>
                <w:sz w:val="21"/>
                <w:szCs w:val="21"/>
                <w:highlight w:val="none"/>
              </w:rPr>
              <w:t>所投产品必须能实质性响应采购要求（所投产品应完全满足或优于采购参数要求），供货时能按照采购需求的要求提供厂家的供货证明和售后服务承诺书原件，避免假冒伪劣产品。对不能满足参数要求虚假响应，采购人可作废标处理，并依法向供应商追究违约责任。</w:t>
            </w:r>
          </w:p>
          <w:p w14:paraId="72580FCE">
            <w:pPr>
              <w:widowControl/>
              <w:snapToGrid w:val="0"/>
              <w:spacing w:line="40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2、故障响应时间：成交供应商收到采购人的故障维修通知后30分钟内电话服务应答，2小时内到达现场进行维修，4小时内排除故障，如24小时内无法修复的，质保期内成交供应商应无条件更换新设备或提供代用设备，或采取使设备可正常运转的措施。</w:t>
            </w:r>
          </w:p>
          <w:p w14:paraId="1B4520E0">
            <w:pPr>
              <w:spacing w:line="276"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w:t>
            </w:r>
            <w:r>
              <w:rPr>
                <w:rFonts w:hint="eastAsia" w:ascii="宋体" w:hAnsi="宋体" w:eastAsia="宋体" w:cs="宋体"/>
                <w:color w:val="000000"/>
                <w:kern w:val="0"/>
                <w:sz w:val="21"/>
                <w:szCs w:val="21"/>
                <w:highlight w:val="none"/>
              </w:rPr>
              <w:t>.在中标供应商公告2天内签订合同，签订合同后当天中标供应商提供中标产品进行测试，确保所有技术参数、功能均符合合同承诺，如有任何一条参数测试不满足的，作无效合同处理。</w:t>
            </w:r>
          </w:p>
        </w:tc>
      </w:tr>
      <w:tr w14:paraId="0EDD3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D323C6">
            <w:pPr>
              <w:spacing w:line="40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实施和安装要求</w:t>
            </w:r>
          </w:p>
        </w:tc>
        <w:tc>
          <w:tcPr>
            <w:tcW w:w="76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3713BF">
            <w:pPr>
              <w:spacing w:line="4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本项目为交钥匙工程，成交后，供应商需应严格按竞标产品的安装规范要求进行安装调试，保证设备正常运行，质量合格。</w:t>
            </w:r>
          </w:p>
          <w:p w14:paraId="1D878292">
            <w:pPr>
              <w:spacing w:line="4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（1）根据采购要求的工期提供项目实施方案及进度安排计划表；</w:t>
            </w:r>
          </w:p>
          <w:p w14:paraId="223EA0C8">
            <w:pPr>
              <w:spacing w:line="400" w:lineRule="exact"/>
              <w:jc w:val="left"/>
              <w:rPr>
                <w:rFonts w:hint="eastAsia" w:ascii="宋体" w:hAnsi="宋体" w:eastAsia="宋体" w:cs="宋体"/>
                <w:sz w:val="21"/>
                <w:szCs w:val="21"/>
                <w:highlight w:val="none"/>
              </w:rPr>
            </w:pPr>
            <w:r>
              <w:rPr>
                <w:rFonts w:hint="eastAsia" w:ascii="宋体" w:hAnsi="宋体" w:eastAsia="宋体" w:cs="宋体"/>
                <w:bCs/>
                <w:sz w:val="21"/>
                <w:szCs w:val="21"/>
                <w:highlight w:val="none"/>
              </w:rPr>
              <w:t>（2）</w:t>
            </w:r>
            <w:r>
              <w:rPr>
                <w:rFonts w:hint="eastAsia" w:ascii="宋体" w:hAnsi="宋体" w:eastAsia="宋体" w:cs="宋体"/>
                <w:sz w:val="21"/>
                <w:szCs w:val="21"/>
                <w:highlight w:val="none"/>
              </w:rPr>
              <w:t>供应商必须服从采购单位现场负责人的指挥，按指定地点进行设备安装、调试，确保设备安装符合国家现行技术规范标准；</w:t>
            </w:r>
          </w:p>
          <w:p w14:paraId="7EB2AC14">
            <w:pPr>
              <w:spacing w:line="4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（3）安装过程中的所有安全保障由供应商自行负责；</w:t>
            </w:r>
          </w:p>
          <w:p w14:paraId="6714C944">
            <w:pPr>
              <w:spacing w:line="400" w:lineRule="exac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rPr>
              <w:t>（4）项目实施过程中产生的垃圾废料由供应商负责清理至校外。</w:t>
            </w:r>
          </w:p>
        </w:tc>
      </w:tr>
      <w:tr w14:paraId="45096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FA1ED">
            <w:pPr>
              <w:spacing w:line="40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付款方式</w:t>
            </w:r>
          </w:p>
        </w:tc>
        <w:tc>
          <w:tcPr>
            <w:tcW w:w="76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E106FD">
            <w:pPr>
              <w:spacing w:line="400" w:lineRule="exact"/>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color w:val="auto"/>
                <w:sz w:val="21"/>
                <w:szCs w:val="21"/>
                <w:highlight w:val="none"/>
                <w:lang w:eastAsia="zh-CN"/>
              </w:rPr>
              <w:t>本</w:t>
            </w:r>
            <w:r>
              <w:rPr>
                <w:rFonts w:hint="eastAsia" w:ascii="宋体" w:hAnsi="宋体" w:eastAsia="宋体" w:cs="宋体"/>
                <w:color w:val="auto"/>
                <w:sz w:val="21"/>
                <w:szCs w:val="21"/>
                <w:highlight w:val="none"/>
              </w:rPr>
              <w:t>本项目无预付款</w:t>
            </w:r>
            <w:r>
              <w:rPr>
                <w:rFonts w:hint="eastAsia" w:ascii="宋体" w:hAnsi="宋体" w:eastAsia="宋体" w:cs="宋体"/>
                <w:color w:val="auto"/>
                <w:sz w:val="21"/>
                <w:szCs w:val="21"/>
                <w:highlight w:val="none"/>
                <w:lang w:eastAsia="zh-CN"/>
              </w:rPr>
              <w:t>。供应商所有货物交货完毕验收合格后，采购人凭供应商开具全额发票付款方式期限及项目资金的到账情况执行，采购人不承担延期付款的责任。项目验收合格后，成交供应商开具全额普通发票给采购人，采购人收到发票后执行支付程序，具体资金拨付以当地财政拨付情况为准。(特殊情况时间会延长,延迟付款责任采购方不承担)</w:t>
            </w:r>
            <w:r>
              <w:rPr>
                <w:rFonts w:hint="eastAsia" w:ascii="宋体" w:hAnsi="宋体" w:eastAsia="宋体" w:cs="宋体"/>
                <w:sz w:val="21"/>
                <w:szCs w:val="21"/>
                <w:highlight w:val="none"/>
              </w:rPr>
              <w:t>。</w:t>
            </w:r>
          </w:p>
        </w:tc>
      </w:tr>
      <w:tr w14:paraId="1A93E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299618">
            <w:pPr>
              <w:spacing w:line="40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验收要求</w:t>
            </w:r>
          </w:p>
        </w:tc>
        <w:tc>
          <w:tcPr>
            <w:tcW w:w="76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DD85D4">
            <w:pPr>
              <w:spacing w:line="4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验收标准：按合同要求及国家标准进行验收。验收时，采购人将严格按照合同要求及国家标准进行验收，对照采购文件的功能目标及技术指标全面核对检验，对所有要求出具的证明文件的原件进行核查（如有）。如交付产品不能满足采购要求和合同约定质量标准的视为验收不合格，按相关规定做退货处理及违约处理，成交供应商承担所有责任和费用，采购人保留进一步追究责任的权利。 </w:t>
            </w:r>
          </w:p>
          <w:p w14:paraId="44296CCA">
            <w:pPr>
              <w:spacing w:line="4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供应商完成设备安装与调试后，需对拟交付的合同成果及其组件进行自检并提出书面验收申请，经采购人同意后共同组织验收，签写相应验收意见并签名确认。如对验收存在异议的，可聘请第三方按合同约定组织验收，所有费用由成交供应商负责。</w:t>
            </w:r>
          </w:p>
          <w:p w14:paraId="26EEDAF3">
            <w:pPr>
              <w:spacing w:line="4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3、货物（设备）验收合格，项目约定产品或服务方可正式交接，双方对相关货物清单、随机附件及验收结论意见书等书面材料进行清点签字后，作为项目的最终验收。</w:t>
            </w:r>
          </w:p>
          <w:p w14:paraId="2F3948D4">
            <w:pPr>
              <w:spacing w:line="400" w:lineRule="exact"/>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4、验收费用：验收所产生的劳务费、检验费及相关发生的全部费用均由成交人承担。</w:t>
            </w:r>
          </w:p>
        </w:tc>
      </w:tr>
      <w:tr w14:paraId="1EC1D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1C648">
            <w:pPr>
              <w:widowControl/>
              <w:snapToGrid w:val="0"/>
              <w:spacing w:line="400" w:lineRule="exact"/>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0"/>
                <w:sz w:val="21"/>
                <w:szCs w:val="21"/>
                <w:highlight w:val="none"/>
              </w:rPr>
              <w:t>其他要求</w:t>
            </w:r>
          </w:p>
        </w:tc>
        <w:tc>
          <w:tcPr>
            <w:tcW w:w="76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196234">
            <w:pPr>
              <w:autoSpaceDE w:val="0"/>
              <w:autoSpaceDN w:val="0"/>
              <w:adjustRightInd w:val="0"/>
              <w:spacing w:line="4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供应商必须实质性响应本项目标注“▲”的技术参数要求，不允许负偏离，对技术参数要求中非标注“▲”的技术参数负偏离项数不超过2项，否则视为无效响应。投标时，供应商所投产品须满足或优于技术参数配置要求【需提供《商务、技术响应、偏离情况说明表》（格式自拟）、《竞标报价表》（格式见附件）及检测报告复印件等相关佐证材料，以上材料加盖供应商公章】， 否则视为无效响应。</w:t>
            </w:r>
          </w:p>
          <w:p w14:paraId="30278F42">
            <w:pPr>
              <w:autoSpaceDE w:val="0"/>
              <w:autoSpaceDN w:val="0"/>
              <w:adjustRightInd w:val="0"/>
              <w:spacing w:line="4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2、根据《财政部 发展改革委 生态环境部 市场监管总局关于调整优化节能产品、环境标志产品政府采购执行机制的通知》（财库〔2019〕9 号）和《关于印发节能产品政府采购品目清单的通知》（财库〔2019〕19 号）的规定，本项目采购的产品如属于节能产品政府采购品目清单内标注“</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的产品的，供应商的竞标货物必须使用政府强制采购的节能产品，竞标时须提供国家确定的认证机构出具的、处于有效期之内的有效的节能产品认证证书复印件并加盖供应商公章，否则响应文件作无效竞标处理。</w:t>
            </w:r>
          </w:p>
          <w:p w14:paraId="05CFF2BB">
            <w:pPr>
              <w:autoSpaceDE w:val="0"/>
              <w:autoSpaceDN w:val="0"/>
              <w:adjustRightInd w:val="0"/>
              <w:spacing w:line="40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供应商在参与竞标报价前需仔细阅读项目采购的技术及商务要求，评估自身履约能力，谢绝恶意低价、不按要求报价、中标后无故放弃、不按合同履行等违约行为。对出现此类行为的成交供应商，将根据在线竞价违约处理规则，依法依规提请政采云平台进行处罚，并保留依法追究违约责任的权利，供应商的违约行为列入不良记录记入政府采购诚信档案。采购单位有权将在线询价单中的商务要求列入合同条款，否则有权拒签合同。</w:t>
            </w:r>
          </w:p>
          <w:p w14:paraId="0CB3E7DF">
            <w:pPr>
              <w:autoSpaceDE w:val="0"/>
              <w:autoSpaceDN w:val="0"/>
              <w:adjustRightInd w:val="0"/>
              <w:spacing w:line="400" w:lineRule="exact"/>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4、中标公示期内若有其他供应商质疑情况下，中标单位必须提供与标书技术要求及功能符合的样品一套至采购人处进行整体性能与标书文件核对，协助质疑答复。如出现所提供样品不符招标要求或无法提供样品，均视为虚假应标处理并根据招标法及标书要求追究法律责任。</w:t>
            </w:r>
          </w:p>
        </w:tc>
      </w:tr>
    </w:tbl>
    <w:p w14:paraId="6C814331">
      <w:pPr>
        <w:spacing w:line="428" w:lineRule="exact"/>
        <w:rPr>
          <w:rFonts w:hint="eastAsia" w:ascii="微软雅黑" w:hAnsi="微软雅黑" w:eastAsia="微软雅黑" w:cs="微软雅黑"/>
          <w:color w:val="auto"/>
          <w:sz w:val="32"/>
          <w:szCs w:val="32"/>
        </w:rPr>
      </w:pPr>
    </w:p>
    <w:p w14:paraId="6261CDF8">
      <w:pPr>
        <w:spacing w:line="428" w:lineRule="exact"/>
        <w:rPr>
          <w:rFonts w:hint="eastAsia" w:ascii="微软雅黑" w:hAnsi="微软雅黑" w:eastAsia="微软雅黑" w:cs="微软雅黑"/>
          <w:color w:val="auto"/>
          <w:sz w:val="32"/>
          <w:szCs w:val="32"/>
        </w:rPr>
      </w:pPr>
    </w:p>
    <w:p w14:paraId="14513571">
      <w:pPr>
        <w:spacing w:line="428" w:lineRule="exact"/>
        <w:rPr>
          <w:rFonts w:hint="eastAsia" w:ascii="微软雅黑" w:hAnsi="微软雅黑" w:eastAsia="微软雅黑" w:cs="微软雅黑"/>
          <w:color w:val="auto"/>
          <w:sz w:val="32"/>
          <w:szCs w:val="32"/>
        </w:rPr>
      </w:pPr>
    </w:p>
    <w:p w14:paraId="1C2307DF">
      <w:pPr>
        <w:spacing w:line="428" w:lineRule="exact"/>
        <w:rPr>
          <w:rFonts w:hint="eastAsia" w:ascii="微软雅黑" w:hAnsi="微软雅黑" w:eastAsia="微软雅黑" w:cs="微软雅黑"/>
          <w:color w:val="auto"/>
          <w:sz w:val="32"/>
          <w:szCs w:val="32"/>
        </w:rPr>
      </w:pPr>
    </w:p>
    <w:p w14:paraId="3B6BAEF2">
      <w:pPr>
        <w:spacing w:line="428" w:lineRule="exact"/>
        <w:rPr>
          <w:rFonts w:hint="eastAsia" w:ascii="微软雅黑" w:hAnsi="微软雅黑" w:eastAsia="微软雅黑" w:cs="微软雅黑"/>
          <w:color w:val="auto"/>
          <w:sz w:val="32"/>
          <w:szCs w:val="32"/>
        </w:rPr>
      </w:pPr>
    </w:p>
    <w:p w14:paraId="4F00DD47">
      <w:pPr>
        <w:spacing w:line="428" w:lineRule="exact"/>
        <w:rPr>
          <w:rFonts w:hint="eastAsia" w:ascii="微软雅黑" w:hAnsi="微软雅黑" w:eastAsia="微软雅黑" w:cs="微软雅黑"/>
          <w:color w:val="auto"/>
          <w:sz w:val="32"/>
          <w:szCs w:val="32"/>
        </w:rPr>
      </w:pPr>
    </w:p>
    <w:p w14:paraId="29EB12CC">
      <w:pPr>
        <w:spacing w:line="428" w:lineRule="exact"/>
        <w:rPr>
          <w:rFonts w:hint="eastAsia" w:ascii="微软雅黑" w:hAnsi="微软雅黑" w:eastAsia="微软雅黑" w:cs="微软雅黑"/>
          <w:color w:val="auto"/>
          <w:sz w:val="32"/>
          <w:szCs w:val="32"/>
        </w:rPr>
      </w:pPr>
    </w:p>
    <w:p w14:paraId="1235E133">
      <w:pPr>
        <w:rPr>
          <w:rFonts w:hint="eastAsia" w:ascii="微软雅黑" w:hAnsi="微软雅黑" w:eastAsia="微软雅黑" w:cs="微软雅黑"/>
          <w:color w:val="auto"/>
          <w:sz w:val="32"/>
          <w:szCs w:val="32"/>
        </w:rPr>
      </w:pPr>
      <w:r>
        <w:rPr>
          <w:rFonts w:hint="eastAsia" w:ascii="微软雅黑" w:hAnsi="微软雅黑" w:eastAsia="微软雅黑" w:cs="微软雅黑"/>
          <w:color w:val="auto"/>
          <w:sz w:val="32"/>
          <w:szCs w:val="32"/>
        </w:rPr>
        <w:br w:type="page"/>
      </w:r>
    </w:p>
    <w:p w14:paraId="1601FFDF">
      <w:pPr>
        <w:spacing w:line="428" w:lineRule="exact"/>
        <w:rPr>
          <w:rFonts w:hint="eastAsia" w:ascii="微软雅黑" w:hAnsi="微软雅黑" w:eastAsia="微软雅黑" w:cs="微软雅黑"/>
          <w:color w:val="auto"/>
          <w:sz w:val="32"/>
          <w:szCs w:val="32"/>
        </w:rPr>
      </w:pPr>
    </w:p>
    <w:p w14:paraId="7466CB8F">
      <w:pPr>
        <w:spacing w:line="428" w:lineRule="exact"/>
        <w:rPr>
          <w:rFonts w:hint="eastAsia" w:ascii="Arial Unicode MS" w:hAnsi="Arial Unicode MS" w:eastAsia="Arial Unicode MS" w:cs="Arial Unicode MS"/>
          <w:color w:val="auto"/>
          <w:sz w:val="32"/>
          <w:szCs w:val="32"/>
        </w:rPr>
      </w:pPr>
      <w:r>
        <w:rPr>
          <w:rFonts w:hint="eastAsia" w:ascii="微软雅黑" w:hAnsi="微软雅黑" w:eastAsia="微软雅黑" w:cs="微软雅黑"/>
          <w:color w:val="auto"/>
          <w:sz w:val="32"/>
          <w:szCs w:val="32"/>
        </w:rPr>
        <w:t>附件</w:t>
      </w:r>
      <w:r>
        <w:rPr>
          <w:rFonts w:hint="eastAsia" w:ascii="Arial Unicode MS" w:hAnsi="Arial Unicode MS" w:eastAsia="Arial Unicode MS" w:cs="Arial Unicode MS"/>
          <w:color w:val="auto"/>
          <w:sz w:val="32"/>
          <w:szCs w:val="32"/>
        </w:rPr>
        <w:t>1</w:t>
      </w:r>
      <w:r>
        <w:rPr>
          <w:rFonts w:hint="eastAsia" w:ascii="微软雅黑" w:hAnsi="微软雅黑" w:eastAsia="微软雅黑" w:cs="微软雅黑"/>
          <w:color w:val="auto"/>
          <w:sz w:val="32"/>
          <w:szCs w:val="32"/>
        </w:rPr>
        <w:t>：</w:t>
      </w:r>
    </w:p>
    <w:p w14:paraId="7B0D082C">
      <w:pPr>
        <w:spacing w:before="7"/>
        <w:rPr>
          <w:rFonts w:hint="eastAsia" w:ascii="Arial Unicode MS" w:hAnsi="Arial Unicode MS" w:eastAsia="Arial Unicode MS" w:cs="Arial Unicode MS"/>
          <w:color w:val="auto"/>
          <w:sz w:val="17"/>
          <w:szCs w:val="17"/>
        </w:rPr>
      </w:pPr>
    </w:p>
    <w:p w14:paraId="27C5BB88">
      <w:pPr>
        <w:spacing w:line="528" w:lineRule="exact"/>
        <w:ind w:left="1871"/>
        <w:rPr>
          <w:rFonts w:hint="eastAsia" w:ascii="Arial Unicode MS" w:hAnsi="Arial Unicode MS" w:eastAsia="Arial Unicode MS" w:cs="Arial Unicode MS"/>
          <w:color w:val="auto"/>
          <w:sz w:val="40"/>
          <w:szCs w:val="40"/>
        </w:rPr>
      </w:pPr>
      <w:r>
        <w:rPr>
          <w:rFonts w:hint="eastAsia" w:ascii="微软雅黑" w:hAnsi="微软雅黑" w:eastAsia="微软雅黑" w:cs="微软雅黑"/>
          <w:color w:val="auto"/>
          <w:sz w:val="40"/>
          <w:szCs w:val="40"/>
        </w:rPr>
        <w:t>节能产品政府采购品目清单</w:t>
      </w:r>
    </w:p>
    <w:p w14:paraId="3D65794C">
      <w:pPr>
        <w:widowControl/>
        <w:rPr>
          <w:rFonts w:hint="eastAsia" w:ascii="宋体" w:hAnsi="宋体" w:cs="宋体"/>
          <w:color w:val="auto"/>
          <w:sz w:val="20"/>
          <w:szCs w:val="20"/>
        </w:rPr>
      </w:pPr>
    </w:p>
    <w:tbl>
      <w:tblPr>
        <w:tblStyle w:val="6"/>
        <w:tblW w:w="9458" w:type="dxa"/>
        <w:tblInd w:w="-145" w:type="dxa"/>
        <w:tblLayout w:type="autofit"/>
        <w:tblCellMar>
          <w:top w:w="0" w:type="dxa"/>
          <w:left w:w="108" w:type="dxa"/>
          <w:bottom w:w="0" w:type="dxa"/>
          <w:right w:w="108" w:type="dxa"/>
        </w:tblCellMar>
      </w:tblPr>
      <w:tblGrid>
        <w:gridCol w:w="879"/>
        <w:gridCol w:w="1116"/>
        <w:gridCol w:w="1516"/>
        <w:gridCol w:w="1612"/>
        <w:gridCol w:w="4335"/>
      </w:tblGrid>
      <w:tr w14:paraId="244FACCF">
        <w:tblPrEx>
          <w:tblCellMar>
            <w:top w:w="0" w:type="dxa"/>
            <w:left w:w="108" w:type="dxa"/>
            <w:bottom w:w="0" w:type="dxa"/>
            <w:right w:w="108" w:type="dxa"/>
          </w:tblCellMar>
        </w:tblPrEx>
        <w:trPr>
          <w:trHeight w:val="555" w:hRule="atLeast"/>
        </w:trPr>
        <w:tc>
          <w:tcPr>
            <w:tcW w:w="879" w:type="dxa"/>
            <w:tcBorders>
              <w:top w:val="single" w:color="000000" w:sz="8" w:space="0"/>
              <w:left w:val="single" w:color="000000" w:sz="8" w:space="0"/>
              <w:bottom w:val="nil"/>
              <w:right w:val="single" w:color="000000" w:sz="8" w:space="0"/>
            </w:tcBorders>
            <w:noWrap w:val="0"/>
            <w:vAlign w:val="top"/>
          </w:tcPr>
          <w:p w14:paraId="6E843DFF">
            <w:pPr>
              <w:widowControl/>
              <w:jc w:val="center"/>
              <w:rPr>
                <w:rFonts w:ascii="宋体" w:hAnsi="宋体" w:cs="宋体"/>
                <w:b/>
                <w:bCs/>
                <w:color w:val="auto"/>
                <w:kern w:val="0"/>
                <w:sz w:val="22"/>
              </w:rPr>
            </w:pPr>
            <w:bookmarkStart w:id="2" w:name="_GoBack"/>
            <w:r>
              <w:rPr>
                <w:rFonts w:hint="eastAsia" w:ascii="宋体" w:hAnsi="宋体" w:cs="宋体"/>
                <w:b/>
                <w:bCs/>
                <w:color w:val="auto"/>
                <w:kern w:val="0"/>
                <w:sz w:val="22"/>
                <w:szCs w:val="24"/>
              </w:rPr>
              <w:t>品目序号</w:t>
            </w:r>
          </w:p>
        </w:tc>
        <w:tc>
          <w:tcPr>
            <w:tcW w:w="4244" w:type="dxa"/>
            <w:gridSpan w:val="3"/>
            <w:tcBorders>
              <w:top w:val="single" w:color="000000" w:sz="8" w:space="0"/>
              <w:left w:val="nil"/>
              <w:bottom w:val="single" w:color="000000" w:sz="8" w:space="0"/>
              <w:right w:val="single" w:color="000000" w:sz="8" w:space="0"/>
            </w:tcBorders>
            <w:noWrap w:val="0"/>
            <w:vAlign w:val="center"/>
          </w:tcPr>
          <w:p w14:paraId="0DAF0BB2">
            <w:pPr>
              <w:widowControl/>
              <w:jc w:val="center"/>
              <w:rPr>
                <w:rFonts w:ascii="宋体" w:hAnsi="宋体" w:cs="宋体"/>
                <w:b/>
                <w:bCs/>
                <w:color w:val="auto"/>
                <w:kern w:val="0"/>
                <w:sz w:val="22"/>
              </w:rPr>
            </w:pPr>
            <w:r>
              <w:rPr>
                <w:rFonts w:hint="eastAsia" w:ascii="宋体" w:hAnsi="宋体" w:cs="宋体"/>
                <w:b/>
                <w:bCs/>
                <w:color w:val="auto"/>
                <w:kern w:val="0"/>
                <w:sz w:val="22"/>
                <w:szCs w:val="24"/>
              </w:rPr>
              <w:t>名称</w:t>
            </w:r>
          </w:p>
        </w:tc>
        <w:tc>
          <w:tcPr>
            <w:tcW w:w="4335" w:type="dxa"/>
            <w:tcBorders>
              <w:top w:val="single" w:color="000000" w:sz="8" w:space="0"/>
              <w:left w:val="nil"/>
              <w:bottom w:val="single" w:color="000000" w:sz="8" w:space="0"/>
              <w:right w:val="single" w:color="000000" w:sz="8" w:space="0"/>
            </w:tcBorders>
            <w:noWrap w:val="0"/>
            <w:vAlign w:val="center"/>
          </w:tcPr>
          <w:p w14:paraId="6AB748DD">
            <w:pPr>
              <w:widowControl/>
              <w:jc w:val="center"/>
              <w:rPr>
                <w:rFonts w:ascii="宋体" w:hAnsi="宋体" w:cs="宋体"/>
                <w:b/>
                <w:bCs/>
                <w:color w:val="auto"/>
                <w:kern w:val="0"/>
                <w:sz w:val="22"/>
              </w:rPr>
            </w:pPr>
            <w:r>
              <w:rPr>
                <w:rFonts w:hint="eastAsia" w:ascii="宋体" w:hAnsi="宋体" w:cs="宋体"/>
                <w:b/>
                <w:bCs/>
                <w:color w:val="auto"/>
                <w:kern w:val="0"/>
                <w:sz w:val="22"/>
                <w:szCs w:val="24"/>
              </w:rPr>
              <w:t>依据的标准</w:t>
            </w:r>
          </w:p>
        </w:tc>
      </w:tr>
      <w:tr w14:paraId="6F8036CD">
        <w:tblPrEx>
          <w:tblCellMar>
            <w:top w:w="0" w:type="dxa"/>
            <w:left w:w="108" w:type="dxa"/>
            <w:bottom w:w="0" w:type="dxa"/>
            <w:right w:w="108" w:type="dxa"/>
          </w:tblCellMar>
        </w:tblPrEx>
        <w:trPr>
          <w:trHeight w:val="495" w:hRule="atLeast"/>
        </w:trPr>
        <w:tc>
          <w:tcPr>
            <w:tcW w:w="879" w:type="dxa"/>
            <w:vMerge w:val="restart"/>
            <w:tcBorders>
              <w:top w:val="single" w:color="000000" w:sz="8" w:space="0"/>
              <w:left w:val="single" w:color="000000" w:sz="8" w:space="0"/>
              <w:bottom w:val="single" w:color="000000" w:sz="8" w:space="0"/>
              <w:right w:val="single" w:color="000000" w:sz="8" w:space="0"/>
            </w:tcBorders>
            <w:noWrap w:val="0"/>
            <w:vAlign w:val="center"/>
          </w:tcPr>
          <w:p w14:paraId="026B34D3">
            <w:pPr>
              <w:widowControl/>
              <w:jc w:val="center"/>
              <w:rPr>
                <w:rFonts w:ascii="宋体" w:hAnsi="宋体" w:cs="宋体"/>
                <w:color w:val="auto"/>
                <w:kern w:val="0"/>
                <w:sz w:val="20"/>
                <w:szCs w:val="20"/>
              </w:rPr>
            </w:pPr>
            <w:r>
              <w:rPr>
                <w:rFonts w:hint="eastAsia" w:ascii="宋体" w:hAnsi="宋体" w:cs="宋体"/>
                <w:color w:val="auto"/>
                <w:kern w:val="0"/>
                <w:sz w:val="20"/>
                <w:szCs w:val="20"/>
              </w:rPr>
              <w:t>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675C0DE">
            <w:pPr>
              <w:widowControl/>
              <w:jc w:val="center"/>
              <w:rPr>
                <w:rFonts w:ascii="宋体" w:hAnsi="宋体" w:cs="宋体"/>
                <w:color w:val="auto"/>
                <w:kern w:val="0"/>
                <w:sz w:val="20"/>
                <w:szCs w:val="20"/>
              </w:rPr>
            </w:pPr>
            <w:r>
              <w:rPr>
                <w:rFonts w:hint="eastAsia" w:ascii="宋体" w:hAnsi="宋体" w:cs="宋体"/>
                <w:color w:val="auto"/>
                <w:kern w:val="0"/>
                <w:sz w:val="20"/>
                <w:szCs w:val="20"/>
              </w:rPr>
              <w:t>A020101计算机设备</w:t>
            </w:r>
          </w:p>
        </w:tc>
        <w:tc>
          <w:tcPr>
            <w:tcW w:w="1516" w:type="dxa"/>
            <w:tcBorders>
              <w:top w:val="nil"/>
              <w:left w:val="nil"/>
              <w:bottom w:val="single" w:color="000000" w:sz="8" w:space="0"/>
              <w:right w:val="single" w:color="000000" w:sz="8" w:space="0"/>
            </w:tcBorders>
            <w:noWrap w:val="0"/>
            <w:vAlign w:val="center"/>
          </w:tcPr>
          <w:p w14:paraId="4656BE61">
            <w:pPr>
              <w:widowControl/>
              <w:jc w:val="center"/>
              <w:rPr>
                <w:rFonts w:ascii="宋体" w:hAnsi="宋体" w:cs="宋体"/>
                <w:color w:val="auto"/>
                <w:kern w:val="0"/>
                <w:sz w:val="20"/>
                <w:szCs w:val="20"/>
              </w:rPr>
            </w:pPr>
            <w:r>
              <w:rPr>
                <w:rFonts w:hint="eastAsia" w:ascii="宋体" w:hAnsi="宋体" w:cs="宋体"/>
                <w:color w:val="auto"/>
                <w:kern w:val="0"/>
                <w:sz w:val="20"/>
                <w:szCs w:val="20"/>
              </w:rPr>
              <w:t>★A02010104台式计算机</w:t>
            </w:r>
          </w:p>
        </w:tc>
        <w:tc>
          <w:tcPr>
            <w:tcW w:w="1612" w:type="dxa"/>
            <w:tcBorders>
              <w:top w:val="nil"/>
              <w:left w:val="nil"/>
              <w:bottom w:val="single" w:color="000000" w:sz="8" w:space="0"/>
              <w:right w:val="single" w:color="000000" w:sz="8" w:space="0"/>
            </w:tcBorders>
            <w:noWrap w:val="0"/>
            <w:vAlign w:val="center"/>
          </w:tcPr>
          <w:p w14:paraId="697DF9A4">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000000" w:sz="8" w:space="0"/>
              <w:right w:val="single" w:color="000000" w:sz="8" w:space="0"/>
            </w:tcBorders>
            <w:noWrap w:val="0"/>
            <w:vAlign w:val="center"/>
          </w:tcPr>
          <w:p w14:paraId="3180E593">
            <w:pPr>
              <w:widowControl/>
              <w:jc w:val="left"/>
              <w:rPr>
                <w:rFonts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20E04252">
        <w:tblPrEx>
          <w:tblCellMar>
            <w:top w:w="0" w:type="dxa"/>
            <w:left w:w="108" w:type="dxa"/>
            <w:bottom w:w="0" w:type="dxa"/>
            <w:right w:w="108" w:type="dxa"/>
          </w:tblCellMar>
        </w:tblPrEx>
        <w:trPr>
          <w:trHeight w:val="495" w:hRule="atLeast"/>
        </w:trPr>
        <w:tc>
          <w:tcPr>
            <w:tcW w:w="879" w:type="dxa"/>
            <w:vMerge w:val="continue"/>
            <w:tcBorders>
              <w:top w:val="single" w:color="000000" w:sz="8" w:space="0"/>
              <w:left w:val="single" w:color="000000" w:sz="8" w:space="0"/>
              <w:bottom w:val="single" w:color="000000" w:sz="8" w:space="0"/>
              <w:right w:val="single" w:color="000000" w:sz="8" w:space="0"/>
            </w:tcBorders>
            <w:noWrap w:val="0"/>
            <w:vAlign w:val="center"/>
          </w:tcPr>
          <w:p w14:paraId="5BB5B618">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48229A3">
            <w:pPr>
              <w:widowControl/>
              <w:jc w:val="left"/>
              <w:rPr>
                <w:rFonts w:ascii="宋体" w:hAnsi="宋体" w:cs="宋体"/>
                <w:color w:val="auto"/>
                <w:kern w:val="0"/>
                <w:sz w:val="20"/>
                <w:szCs w:val="20"/>
              </w:rPr>
            </w:pPr>
          </w:p>
        </w:tc>
        <w:tc>
          <w:tcPr>
            <w:tcW w:w="1516" w:type="dxa"/>
            <w:tcBorders>
              <w:top w:val="nil"/>
              <w:left w:val="nil"/>
              <w:bottom w:val="single" w:color="000000" w:sz="8" w:space="0"/>
              <w:right w:val="single" w:color="000000" w:sz="8" w:space="0"/>
            </w:tcBorders>
            <w:noWrap w:val="0"/>
            <w:vAlign w:val="center"/>
          </w:tcPr>
          <w:p w14:paraId="2F85B053">
            <w:pPr>
              <w:widowControl/>
              <w:jc w:val="center"/>
              <w:rPr>
                <w:rFonts w:ascii="宋体" w:hAnsi="宋体" w:cs="宋体"/>
                <w:color w:val="auto"/>
                <w:kern w:val="0"/>
                <w:sz w:val="20"/>
                <w:szCs w:val="20"/>
              </w:rPr>
            </w:pPr>
            <w:r>
              <w:rPr>
                <w:rFonts w:hint="eastAsia" w:ascii="宋体" w:hAnsi="宋体" w:cs="宋体"/>
                <w:color w:val="auto"/>
                <w:kern w:val="0"/>
                <w:sz w:val="20"/>
                <w:szCs w:val="20"/>
              </w:rPr>
              <w:t>★A02010105便携式计算机</w:t>
            </w:r>
          </w:p>
        </w:tc>
        <w:tc>
          <w:tcPr>
            <w:tcW w:w="1612" w:type="dxa"/>
            <w:tcBorders>
              <w:top w:val="nil"/>
              <w:left w:val="nil"/>
              <w:bottom w:val="single" w:color="000000" w:sz="8" w:space="0"/>
              <w:right w:val="single" w:color="000000" w:sz="8" w:space="0"/>
            </w:tcBorders>
            <w:noWrap w:val="0"/>
            <w:vAlign w:val="center"/>
          </w:tcPr>
          <w:p w14:paraId="013E6345">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000000" w:sz="8" w:space="0"/>
              <w:right w:val="single" w:color="000000" w:sz="8" w:space="0"/>
            </w:tcBorders>
            <w:noWrap w:val="0"/>
            <w:vAlign w:val="center"/>
          </w:tcPr>
          <w:p w14:paraId="74BDFC87">
            <w:pPr>
              <w:widowControl/>
              <w:jc w:val="left"/>
              <w:rPr>
                <w:rFonts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7AEE5463">
        <w:tblPrEx>
          <w:tblCellMar>
            <w:top w:w="0" w:type="dxa"/>
            <w:left w:w="108" w:type="dxa"/>
            <w:bottom w:w="0" w:type="dxa"/>
            <w:right w:w="108" w:type="dxa"/>
          </w:tblCellMar>
        </w:tblPrEx>
        <w:trPr>
          <w:trHeight w:val="735" w:hRule="atLeast"/>
        </w:trPr>
        <w:tc>
          <w:tcPr>
            <w:tcW w:w="879" w:type="dxa"/>
            <w:vMerge w:val="continue"/>
            <w:tcBorders>
              <w:top w:val="single" w:color="000000" w:sz="8" w:space="0"/>
              <w:left w:val="single" w:color="000000" w:sz="8" w:space="0"/>
              <w:bottom w:val="single" w:color="000000" w:sz="8" w:space="0"/>
              <w:right w:val="single" w:color="000000" w:sz="8" w:space="0"/>
            </w:tcBorders>
            <w:noWrap w:val="0"/>
            <w:vAlign w:val="center"/>
          </w:tcPr>
          <w:p w14:paraId="6BA35DA6">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5057EF0">
            <w:pPr>
              <w:widowControl/>
              <w:jc w:val="left"/>
              <w:rPr>
                <w:rFonts w:ascii="宋体" w:hAnsi="宋体" w:cs="宋体"/>
                <w:color w:val="auto"/>
                <w:kern w:val="0"/>
                <w:sz w:val="20"/>
                <w:szCs w:val="20"/>
              </w:rPr>
            </w:pPr>
          </w:p>
        </w:tc>
        <w:tc>
          <w:tcPr>
            <w:tcW w:w="1516" w:type="dxa"/>
            <w:tcBorders>
              <w:top w:val="nil"/>
              <w:left w:val="nil"/>
              <w:bottom w:val="single" w:color="000000" w:sz="8" w:space="0"/>
              <w:right w:val="single" w:color="000000" w:sz="8" w:space="0"/>
            </w:tcBorders>
            <w:noWrap w:val="0"/>
            <w:vAlign w:val="center"/>
          </w:tcPr>
          <w:p w14:paraId="61B91C21">
            <w:pPr>
              <w:widowControl/>
              <w:jc w:val="center"/>
              <w:rPr>
                <w:rFonts w:ascii="宋体" w:hAnsi="宋体" w:cs="宋体"/>
                <w:color w:val="auto"/>
                <w:kern w:val="0"/>
                <w:sz w:val="20"/>
                <w:szCs w:val="20"/>
              </w:rPr>
            </w:pPr>
            <w:r>
              <w:rPr>
                <w:rFonts w:hint="eastAsia" w:ascii="宋体" w:hAnsi="宋体" w:cs="宋体"/>
                <w:color w:val="auto"/>
                <w:kern w:val="0"/>
                <w:sz w:val="20"/>
                <w:szCs w:val="20"/>
              </w:rPr>
              <w:t>★A02010107平板式微型计算机</w:t>
            </w:r>
          </w:p>
        </w:tc>
        <w:tc>
          <w:tcPr>
            <w:tcW w:w="1612" w:type="dxa"/>
            <w:tcBorders>
              <w:top w:val="nil"/>
              <w:left w:val="nil"/>
              <w:bottom w:val="single" w:color="000000" w:sz="8" w:space="0"/>
              <w:right w:val="single" w:color="000000" w:sz="8" w:space="0"/>
            </w:tcBorders>
            <w:noWrap w:val="0"/>
            <w:vAlign w:val="center"/>
          </w:tcPr>
          <w:p w14:paraId="2EFFD8E7">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000000" w:sz="8" w:space="0"/>
              <w:right w:val="single" w:color="000000" w:sz="8" w:space="0"/>
            </w:tcBorders>
            <w:noWrap w:val="0"/>
            <w:vAlign w:val="center"/>
          </w:tcPr>
          <w:p w14:paraId="10345EF2">
            <w:pPr>
              <w:widowControl/>
              <w:jc w:val="left"/>
              <w:rPr>
                <w:rFonts w:ascii="宋体" w:hAnsi="宋体" w:cs="宋体"/>
                <w:color w:val="auto"/>
                <w:kern w:val="0"/>
                <w:sz w:val="20"/>
                <w:szCs w:val="20"/>
              </w:rPr>
            </w:pPr>
            <w:r>
              <w:rPr>
                <w:rFonts w:hint="eastAsia" w:ascii="宋体" w:hAnsi="宋体" w:cs="宋体"/>
                <w:color w:val="auto"/>
                <w:kern w:val="0"/>
                <w:sz w:val="20"/>
                <w:szCs w:val="20"/>
              </w:rPr>
              <w:t>《微型计算机能效限定值及能效等级》（GB28380）</w:t>
            </w:r>
          </w:p>
        </w:tc>
      </w:tr>
      <w:tr w14:paraId="301C0949">
        <w:tblPrEx>
          <w:tblCellMar>
            <w:top w:w="0" w:type="dxa"/>
            <w:left w:w="108" w:type="dxa"/>
            <w:bottom w:w="0" w:type="dxa"/>
            <w:right w:w="108" w:type="dxa"/>
          </w:tblCellMar>
        </w:tblPrEx>
        <w:trPr>
          <w:trHeight w:val="495" w:hRule="atLeast"/>
        </w:trPr>
        <w:tc>
          <w:tcPr>
            <w:tcW w:w="879" w:type="dxa"/>
            <w:vMerge w:val="restart"/>
            <w:tcBorders>
              <w:top w:val="nil"/>
              <w:left w:val="single" w:color="000000" w:sz="8" w:space="0"/>
              <w:bottom w:val="single" w:color="000000" w:sz="8" w:space="0"/>
              <w:right w:val="single" w:color="000000" w:sz="8" w:space="0"/>
            </w:tcBorders>
            <w:noWrap w:val="0"/>
            <w:vAlign w:val="center"/>
          </w:tcPr>
          <w:p w14:paraId="728FB9A7">
            <w:pPr>
              <w:widowControl/>
              <w:jc w:val="center"/>
              <w:rPr>
                <w:rFonts w:ascii="宋体" w:hAnsi="宋体" w:cs="宋体"/>
                <w:color w:val="auto"/>
                <w:kern w:val="0"/>
                <w:sz w:val="20"/>
                <w:szCs w:val="20"/>
              </w:rPr>
            </w:pPr>
            <w:r>
              <w:rPr>
                <w:rFonts w:hint="eastAsia" w:ascii="宋体" w:hAnsi="宋体" w:cs="宋体"/>
                <w:color w:val="auto"/>
                <w:kern w:val="0"/>
                <w:sz w:val="20"/>
                <w:szCs w:val="20"/>
              </w:rPr>
              <w:t>2</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70CEE4EC">
            <w:pPr>
              <w:widowControl/>
              <w:jc w:val="center"/>
              <w:rPr>
                <w:rFonts w:ascii="宋体" w:hAnsi="宋体" w:cs="宋体"/>
                <w:color w:val="auto"/>
                <w:kern w:val="0"/>
                <w:sz w:val="20"/>
                <w:szCs w:val="20"/>
              </w:rPr>
            </w:pPr>
            <w:r>
              <w:rPr>
                <w:rFonts w:hint="eastAsia" w:ascii="宋体" w:hAnsi="宋体" w:cs="宋体"/>
                <w:color w:val="auto"/>
                <w:kern w:val="0"/>
                <w:sz w:val="20"/>
                <w:szCs w:val="20"/>
              </w:rPr>
              <w:t>A020106输入输出设备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7EFEAA48">
            <w:pPr>
              <w:widowControl/>
              <w:jc w:val="center"/>
              <w:rPr>
                <w:rFonts w:ascii="宋体" w:hAnsi="宋体" w:cs="宋体"/>
                <w:color w:val="auto"/>
                <w:kern w:val="0"/>
                <w:sz w:val="20"/>
                <w:szCs w:val="20"/>
              </w:rPr>
            </w:pPr>
            <w:r>
              <w:rPr>
                <w:rFonts w:hint="eastAsia" w:ascii="宋体" w:hAnsi="宋体" w:cs="宋体"/>
                <w:color w:val="auto"/>
                <w:kern w:val="0"/>
                <w:sz w:val="20"/>
                <w:szCs w:val="20"/>
              </w:rPr>
              <w:t>A02010601打印设备</w:t>
            </w:r>
          </w:p>
        </w:tc>
        <w:tc>
          <w:tcPr>
            <w:tcW w:w="1612" w:type="dxa"/>
            <w:tcBorders>
              <w:top w:val="nil"/>
              <w:left w:val="nil"/>
              <w:bottom w:val="single" w:color="000000" w:sz="8" w:space="0"/>
              <w:right w:val="single" w:color="000000" w:sz="8" w:space="0"/>
            </w:tcBorders>
            <w:noWrap w:val="0"/>
            <w:vAlign w:val="center"/>
          </w:tcPr>
          <w:p w14:paraId="77F9CA4A">
            <w:pPr>
              <w:widowControl/>
              <w:jc w:val="center"/>
              <w:rPr>
                <w:rFonts w:ascii="宋体" w:hAnsi="宋体" w:cs="宋体"/>
                <w:color w:val="auto"/>
                <w:kern w:val="0"/>
                <w:sz w:val="20"/>
                <w:szCs w:val="20"/>
              </w:rPr>
            </w:pPr>
            <w:r>
              <w:rPr>
                <w:rFonts w:hint="eastAsia" w:ascii="宋体" w:hAnsi="宋体" w:cs="宋体"/>
                <w:color w:val="auto"/>
                <w:kern w:val="0"/>
                <w:sz w:val="20"/>
                <w:szCs w:val="20"/>
              </w:rPr>
              <w:t>A0201060101喷墨打印机</w:t>
            </w:r>
          </w:p>
        </w:tc>
        <w:tc>
          <w:tcPr>
            <w:tcW w:w="4335" w:type="dxa"/>
            <w:tcBorders>
              <w:top w:val="nil"/>
              <w:left w:val="nil"/>
              <w:bottom w:val="single" w:color="000000" w:sz="8" w:space="0"/>
              <w:right w:val="single" w:color="000000" w:sz="8" w:space="0"/>
            </w:tcBorders>
            <w:noWrap w:val="0"/>
            <w:vAlign w:val="center"/>
          </w:tcPr>
          <w:p w14:paraId="5D6E142A">
            <w:pPr>
              <w:widowControl/>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751EDAB2">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2B3487DE">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99776D8">
            <w:pPr>
              <w:widowControl/>
              <w:jc w:val="left"/>
              <w:rPr>
                <w:rFonts w:ascii="宋体" w:hAnsi="宋体"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A73571B">
            <w:pPr>
              <w:widowControl/>
              <w:jc w:val="left"/>
              <w:rPr>
                <w:rFonts w:ascii="宋体" w:hAnsi="宋体" w:cs="宋体"/>
                <w:color w:val="auto"/>
                <w:kern w:val="0"/>
                <w:sz w:val="20"/>
                <w:szCs w:val="20"/>
              </w:rPr>
            </w:pPr>
          </w:p>
        </w:tc>
        <w:tc>
          <w:tcPr>
            <w:tcW w:w="1612" w:type="dxa"/>
            <w:tcBorders>
              <w:top w:val="nil"/>
              <w:left w:val="nil"/>
              <w:bottom w:val="single" w:color="000000" w:sz="8" w:space="0"/>
              <w:right w:val="single" w:color="000000" w:sz="8" w:space="0"/>
            </w:tcBorders>
            <w:noWrap w:val="0"/>
            <w:vAlign w:val="center"/>
          </w:tcPr>
          <w:p w14:paraId="489B22F1">
            <w:pPr>
              <w:widowControl/>
              <w:jc w:val="center"/>
              <w:rPr>
                <w:rFonts w:ascii="宋体" w:hAnsi="宋体" w:cs="宋体"/>
                <w:color w:val="auto"/>
                <w:kern w:val="0"/>
                <w:sz w:val="20"/>
                <w:szCs w:val="20"/>
              </w:rPr>
            </w:pPr>
            <w:r>
              <w:rPr>
                <w:rFonts w:hint="eastAsia" w:ascii="宋体" w:hAnsi="宋体" w:cs="宋体"/>
                <w:color w:val="auto"/>
                <w:kern w:val="0"/>
                <w:sz w:val="20"/>
                <w:szCs w:val="20"/>
              </w:rPr>
              <w:t>★A0201060102激光打印机</w:t>
            </w:r>
          </w:p>
        </w:tc>
        <w:tc>
          <w:tcPr>
            <w:tcW w:w="4335" w:type="dxa"/>
            <w:tcBorders>
              <w:top w:val="nil"/>
              <w:left w:val="nil"/>
              <w:bottom w:val="single" w:color="000000" w:sz="8" w:space="0"/>
              <w:right w:val="single" w:color="000000" w:sz="8" w:space="0"/>
            </w:tcBorders>
            <w:noWrap w:val="0"/>
            <w:vAlign w:val="center"/>
          </w:tcPr>
          <w:p w14:paraId="019AA80F">
            <w:pPr>
              <w:widowControl/>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065E8033">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43CD2F96">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AAF0A8B">
            <w:pPr>
              <w:widowControl/>
              <w:jc w:val="left"/>
              <w:rPr>
                <w:rFonts w:ascii="宋体" w:hAnsi="宋体"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6A57642">
            <w:pPr>
              <w:widowControl/>
              <w:jc w:val="left"/>
              <w:rPr>
                <w:rFonts w:ascii="宋体" w:hAnsi="宋体" w:cs="宋体"/>
                <w:color w:val="auto"/>
                <w:kern w:val="0"/>
                <w:sz w:val="20"/>
                <w:szCs w:val="20"/>
              </w:rPr>
            </w:pPr>
          </w:p>
        </w:tc>
        <w:tc>
          <w:tcPr>
            <w:tcW w:w="1612" w:type="dxa"/>
            <w:tcBorders>
              <w:top w:val="nil"/>
              <w:left w:val="nil"/>
              <w:bottom w:val="single" w:color="000000" w:sz="8" w:space="0"/>
              <w:right w:val="single" w:color="000000" w:sz="8" w:space="0"/>
            </w:tcBorders>
            <w:noWrap w:val="0"/>
            <w:vAlign w:val="center"/>
          </w:tcPr>
          <w:p w14:paraId="3149F3D6">
            <w:pPr>
              <w:widowControl/>
              <w:jc w:val="center"/>
              <w:rPr>
                <w:rFonts w:ascii="宋体" w:hAnsi="宋体" w:cs="宋体"/>
                <w:color w:val="auto"/>
                <w:kern w:val="0"/>
                <w:sz w:val="20"/>
                <w:szCs w:val="20"/>
              </w:rPr>
            </w:pPr>
            <w:r>
              <w:rPr>
                <w:rFonts w:hint="eastAsia" w:ascii="宋体" w:hAnsi="宋体" w:cs="宋体"/>
                <w:color w:val="auto"/>
                <w:kern w:val="0"/>
                <w:sz w:val="20"/>
                <w:szCs w:val="20"/>
              </w:rPr>
              <w:t>★A0201060104针式打印机</w:t>
            </w:r>
          </w:p>
        </w:tc>
        <w:tc>
          <w:tcPr>
            <w:tcW w:w="4335" w:type="dxa"/>
            <w:tcBorders>
              <w:top w:val="nil"/>
              <w:left w:val="nil"/>
              <w:bottom w:val="single" w:color="000000" w:sz="8" w:space="0"/>
              <w:right w:val="single" w:color="000000" w:sz="8" w:space="0"/>
            </w:tcBorders>
            <w:noWrap w:val="0"/>
            <w:vAlign w:val="center"/>
          </w:tcPr>
          <w:p w14:paraId="648D9379">
            <w:pPr>
              <w:widowControl/>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75FEBA66">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148EDFF2">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21B89C0">
            <w:pPr>
              <w:widowControl/>
              <w:jc w:val="left"/>
              <w:rPr>
                <w:rFonts w:ascii="宋体" w:hAnsi="宋体" w:cs="宋体"/>
                <w:color w:val="auto"/>
                <w:kern w:val="0"/>
                <w:sz w:val="20"/>
                <w:szCs w:val="20"/>
              </w:rPr>
            </w:pPr>
          </w:p>
        </w:tc>
        <w:tc>
          <w:tcPr>
            <w:tcW w:w="1516" w:type="dxa"/>
            <w:tcBorders>
              <w:top w:val="nil"/>
              <w:left w:val="nil"/>
              <w:bottom w:val="single" w:color="000000" w:sz="8" w:space="0"/>
              <w:right w:val="single" w:color="000000" w:sz="8" w:space="0"/>
            </w:tcBorders>
            <w:noWrap w:val="0"/>
            <w:vAlign w:val="center"/>
          </w:tcPr>
          <w:p w14:paraId="356BBAA5">
            <w:pPr>
              <w:widowControl/>
              <w:jc w:val="center"/>
              <w:rPr>
                <w:rFonts w:ascii="宋体" w:hAnsi="宋体" w:cs="宋体"/>
                <w:color w:val="auto"/>
                <w:kern w:val="0"/>
                <w:sz w:val="20"/>
                <w:szCs w:val="20"/>
              </w:rPr>
            </w:pPr>
            <w:r>
              <w:rPr>
                <w:rFonts w:hint="eastAsia" w:ascii="宋体" w:hAnsi="宋体" w:cs="宋体"/>
                <w:color w:val="auto"/>
                <w:kern w:val="0"/>
                <w:sz w:val="20"/>
                <w:szCs w:val="20"/>
              </w:rPr>
              <w:t>A02010604显示设备</w:t>
            </w:r>
          </w:p>
        </w:tc>
        <w:tc>
          <w:tcPr>
            <w:tcW w:w="1612" w:type="dxa"/>
            <w:tcBorders>
              <w:top w:val="nil"/>
              <w:left w:val="nil"/>
              <w:bottom w:val="single" w:color="000000" w:sz="8" w:space="0"/>
              <w:right w:val="single" w:color="000000" w:sz="8" w:space="0"/>
            </w:tcBorders>
            <w:noWrap w:val="0"/>
            <w:vAlign w:val="center"/>
          </w:tcPr>
          <w:p w14:paraId="330E4DC8">
            <w:pPr>
              <w:widowControl/>
              <w:jc w:val="center"/>
              <w:rPr>
                <w:rFonts w:ascii="宋体" w:hAnsi="宋体" w:cs="宋体"/>
                <w:color w:val="auto"/>
                <w:kern w:val="0"/>
                <w:sz w:val="20"/>
                <w:szCs w:val="20"/>
              </w:rPr>
            </w:pPr>
            <w:r>
              <w:rPr>
                <w:rFonts w:hint="eastAsia" w:ascii="宋体" w:hAnsi="宋体" w:cs="宋体"/>
                <w:color w:val="auto"/>
                <w:kern w:val="0"/>
                <w:sz w:val="20"/>
                <w:szCs w:val="20"/>
              </w:rPr>
              <w:t>★A0201060401液晶显示器</w:t>
            </w:r>
          </w:p>
        </w:tc>
        <w:tc>
          <w:tcPr>
            <w:tcW w:w="4335" w:type="dxa"/>
            <w:tcBorders>
              <w:top w:val="nil"/>
              <w:left w:val="nil"/>
              <w:bottom w:val="single" w:color="000000" w:sz="8" w:space="0"/>
              <w:right w:val="single" w:color="000000" w:sz="8" w:space="0"/>
            </w:tcBorders>
            <w:noWrap w:val="0"/>
            <w:vAlign w:val="center"/>
          </w:tcPr>
          <w:p w14:paraId="33A5E7D9">
            <w:pPr>
              <w:widowControl/>
              <w:jc w:val="left"/>
              <w:rPr>
                <w:rFonts w:ascii="宋体" w:hAnsi="宋体" w:cs="宋体"/>
                <w:color w:val="auto"/>
                <w:kern w:val="0"/>
                <w:sz w:val="20"/>
                <w:szCs w:val="20"/>
              </w:rPr>
            </w:pPr>
            <w:r>
              <w:rPr>
                <w:rFonts w:hint="eastAsia" w:ascii="宋体" w:hAnsi="宋体" w:cs="宋体"/>
                <w:color w:val="auto"/>
                <w:kern w:val="0"/>
                <w:sz w:val="20"/>
                <w:szCs w:val="20"/>
              </w:rPr>
              <w:t>《计算机显示器能效限定值及能效等级》（GB21520）</w:t>
            </w:r>
          </w:p>
        </w:tc>
      </w:tr>
      <w:tr w14:paraId="76C0E570">
        <w:tblPrEx>
          <w:tblCellMar>
            <w:top w:w="0" w:type="dxa"/>
            <w:left w:w="108" w:type="dxa"/>
            <w:bottom w:w="0" w:type="dxa"/>
            <w:right w:w="108" w:type="dxa"/>
          </w:tblCellMar>
        </w:tblPrEx>
        <w:trPr>
          <w:trHeight w:val="97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50FC1AEF">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3FE3162">
            <w:pPr>
              <w:widowControl/>
              <w:jc w:val="left"/>
              <w:rPr>
                <w:rFonts w:ascii="宋体" w:hAnsi="宋体" w:cs="宋体"/>
                <w:color w:val="auto"/>
                <w:kern w:val="0"/>
                <w:sz w:val="20"/>
                <w:szCs w:val="20"/>
              </w:rPr>
            </w:pPr>
          </w:p>
        </w:tc>
        <w:tc>
          <w:tcPr>
            <w:tcW w:w="1516" w:type="dxa"/>
            <w:tcBorders>
              <w:top w:val="nil"/>
              <w:left w:val="nil"/>
              <w:bottom w:val="single" w:color="000000" w:sz="8" w:space="0"/>
              <w:right w:val="single" w:color="000000" w:sz="8" w:space="0"/>
            </w:tcBorders>
            <w:noWrap w:val="0"/>
            <w:vAlign w:val="center"/>
          </w:tcPr>
          <w:p w14:paraId="37F03027">
            <w:pPr>
              <w:widowControl/>
              <w:jc w:val="center"/>
              <w:rPr>
                <w:rFonts w:ascii="宋体" w:hAnsi="宋体" w:cs="宋体"/>
                <w:color w:val="auto"/>
                <w:kern w:val="0"/>
                <w:sz w:val="20"/>
                <w:szCs w:val="20"/>
              </w:rPr>
            </w:pPr>
            <w:r>
              <w:rPr>
                <w:rFonts w:hint="eastAsia" w:ascii="宋体" w:hAnsi="宋体" w:cs="宋体"/>
                <w:color w:val="auto"/>
                <w:kern w:val="0"/>
                <w:sz w:val="20"/>
                <w:szCs w:val="20"/>
              </w:rPr>
              <w:t>A02010609图形图像输入设备</w:t>
            </w:r>
          </w:p>
        </w:tc>
        <w:tc>
          <w:tcPr>
            <w:tcW w:w="1612" w:type="dxa"/>
            <w:tcBorders>
              <w:top w:val="nil"/>
              <w:left w:val="nil"/>
              <w:bottom w:val="single" w:color="000000" w:sz="8" w:space="0"/>
              <w:right w:val="single" w:color="000000" w:sz="8" w:space="0"/>
            </w:tcBorders>
            <w:noWrap w:val="0"/>
            <w:vAlign w:val="center"/>
          </w:tcPr>
          <w:p w14:paraId="2F499FDC">
            <w:pPr>
              <w:widowControl/>
              <w:jc w:val="center"/>
              <w:rPr>
                <w:rFonts w:ascii="宋体" w:hAnsi="宋体" w:cs="宋体"/>
                <w:color w:val="auto"/>
                <w:kern w:val="0"/>
                <w:sz w:val="20"/>
                <w:szCs w:val="20"/>
              </w:rPr>
            </w:pPr>
            <w:r>
              <w:rPr>
                <w:rFonts w:hint="eastAsia" w:ascii="宋体" w:hAnsi="宋体" w:cs="宋体"/>
                <w:color w:val="auto"/>
                <w:kern w:val="0"/>
                <w:sz w:val="20"/>
                <w:szCs w:val="20"/>
              </w:rPr>
              <w:t>A0201060901扫描仪</w:t>
            </w:r>
          </w:p>
        </w:tc>
        <w:tc>
          <w:tcPr>
            <w:tcW w:w="4335" w:type="dxa"/>
            <w:tcBorders>
              <w:top w:val="nil"/>
              <w:left w:val="nil"/>
              <w:bottom w:val="single" w:color="000000" w:sz="8" w:space="0"/>
              <w:right w:val="single" w:color="000000" w:sz="8" w:space="0"/>
            </w:tcBorders>
            <w:noWrap w:val="0"/>
            <w:vAlign w:val="center"/>
          </w:tcPr>
          <w:p w14:paraId="73A8AA5E">
            <w:pPr>
              <w:widowControl/>
              <w:jc w:val="left"/>
              <w:rPr>
                <w:rFonts w:ascii="宋体" w:hAnsi="宋体" w:cs="宋体"/>
                <w:color w:val="auto"/>
                <w:kern w:val="0"/>
                <w:sz w:val="20"/>
                <w:szCs w:val="20"/>
              </w:rPr>
            </w:pPr>
            <w:r>
              <w:rPr>
                <w:rFonts w:hint="eastAsia" w:ascii="宋体" w:hAnsi="宋体" w:cs="宋体"/>
                <w:color w:val="auto"/>
                <w:kern w:val="0"/>
                <w:sz w:val="20"/>
                <w:szCs w:val="20"/>
              </w:rPr>
              <w:t>参照《复印机、打印机和传真机能效限定值及能效等级》（GB21521中打印速度为15页/分的针式打印机相关要求中打印速度为15页/分的针式打印机相关要求</w:t>
            </w:r>
          </w:p>
        </w:tc>
      </w:tr>
      <w:tr w14:paraId="31AE28A0">
        <w:tblPrEx>
          <w:tblCellMar>
            <w:top w:w="0" w:type="dxa"/>
            <w:left w:w="108" w:type="dxa"/>
            <w:bottom w:w="0" w:type="dxa"/>
            <w:right w:w="108" w:type="dxa"/>
          </w:tblCellMar>
        </w:tblPrEx>
        <w:trPr>
          <w:trHeight w:val="495" w:hRule="atLeast"/>
        </w:trPr>
        <w:tc>
          <w:tcPr>
            <w:tcW w:w="879" w:type="dxa"/>
            <w:tcBorders>
              <w:top w:val="nil"/>
              <w:left w:val="single" w:color="000000" w:sz="8" w:space="0"/>
              <w:bottom w:val="single" w:color="000000" w:sz="8" w:space="0"/>
              <w:right w:val="single" w:color="000000" w:sz="8" w:space="0"/>
            </w:tcBorders>
            <w:noWrap w:val="0"/>
            <w:vAlign w:val="center"/>
          </w:tcPr>
          <w:p w14:paraId="15CBAAF2">
            <w:pPr>
              <w:widowControl/>
              <w:jc w:val="center"/>
              <w:rPr>
                <w:rFonts w:ascii="宋体" w:hAnsi="宋体" w:cs="宋体"/>
                <w:color w:val="auto"/>
                <w:kern w:val="0"/>
                <w:sz w:val="20"/>
                <w:szCs w:val="20"/>
              </w:rPr>
            </w:pPr>
            <w:r>
              <w:rPr>
                <w:rFonts w:hint="eastAsia" w:ascii="宋体" w:hAnsi="宋体" w:cs="宋体"/>
                <w:color w:val="auto"/>
                <w:kern w:val="0"/>
                <w:sz w:val="20"/>
                <w:szCs w:val="20"/>
              </w:rPr>
              <w:t>3</w:t>
            </w:r>
          </w:p>
        </w:tc>
        <w:tc>
          <w:tcPr>
            <w:tcW w:w="1116" w:type="dxa"/>
            <w:tcBorders>
              <w:top w:val="nil"/>
              <w:left w:val="nil"/>
              <w:bottom w:val="single" w:color="000000" w:sz="8" w:space="0"/>
              <w:right w:val="single" w:color="000000" w:sz="8" w:space="0"/>
            </w:tcBorders>
            <w:noWrap w:val="0"/>
            <w:vAlign w:val="center"/>
          </w:tcPr>
          <w:p w14:paraId="1E124F70">
            <w:pPr>
              <w:widowControl/>
              <w:jc w:val="center"/>
              <w:rPr>
                <w:rFonts w:ascii="宋体" w:hAnsi="宋体" w:cs="宋体"/>
                <w:color w:val="auto"/>
                <w:kern w:val="0"/>
                <w:sz w:val="20"/>
                <w:szCs w:val="20"/>
              </w:rPr>
            </w:pPr>
            <w:r>
              <w:rPr>
                <w:rFonts w:hint="eastAsia" w:ascii="宋体" w:hAnsi="宋体" w:cs="宋体"/>
                <w:color w:val="auto"/>
                <w:kern w:val="0"/>
                <w:sz w:val="20"/>
                <w:szCs w:val="20"/>
              </w:rPr>
              <w:t>A020202投影仪</w:t>
            </w:r>
          </w:p>
        </w:tc>
        <w:tc>
          <w:tcPr>
            <w:tcW w:w="1516" w:type="dxa"/>
            <w:tcBorders>
              <w:top w:val="nil"/>
              <w:left w:val="nil"/>
              <w:bottom w:val="single" w:color="000000" w:sz="8" w:space="0"/>
              <w:right w:val="single" w:color="000000" w:sz="8" w:space="0"/>
            </w:tcBorders>
            <w:noWrap w:val="0"/>
            <w:vAlign w:val="center"/>
          </w:tcPr>
          <w:p w14:paraId="0C96EF13">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12" w:type="dxa"/>
            <w:tcBorders>
              <w:top w:val="nil"/>
              <w:left w:val="nil"/>
              <w:bottom w:val="single" w:color="000000" w:sz="8" w:space="0"/>
              <w:right w:val="single" w:color="000000" w:sz="8" w:space="0"/>
            </w:tcBorders>
            <w:noWrap w:val="0"/>
            <w:vAlign w:val="center"/>
          </w:tcPr>
          <w:p w14:paraId="03409D01">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000000" w:sz="8" w:space="0"/>
              <w:right w:val="single" w:color="000000" w:sz="8" w:space="0"/>
            </w:tcBorders>
            <w:noWrap w:val="0"/>
            <w:vAlign w:val="center"/>
          </w:tcPr>
          <w:p w14:paraId="7F1B2DE7">
            <w:pPr>
              <w:widowControl/>
              <w:jc w:val="left"/>
              <w:rPr>
                <w:rFonts w:ascii="宋体" w:hAnsi="宋体" w:cs="宋体"/>
                <w:color w:val="auto"/>
                <w:kern w:val="0"/>
                <w:sz w:val="20"/>
                <w:szCs w:val="20"/>
              </w:rPr>
            </w:pPr>
            <w:r>
              <w:rPr>
                <w:rFonts w:hint="eastAsia" w:ascii="宋体" w:hAnsi="宋体" w:cs="宋体"/>
                <w:color w:val="auto"/>
                <w:kern w:val="0"/>
                <w:sz w:val="20"/>
                <w:szCs w:val="20"/>
              </w:rPr>
              <w:t>《投影机能效限定值及能效等级》（GB32028）</w:t>
            </w:r>
          </w:p>
        </w:tc>
      </w:tr>
      <w:tr w14:paraId="2BADA632">
        <w:tblPrEx>
          <w:tblCellMar>
            <w:top w:w="0" w:type="dxa"/>
            <w:left w:w="108" w:type="dxa"/>
            <w:bottom w:w="0" w:type="dxa"/>
            <w:right w:w="108" w:type="dxa"/>
          </w:tblCellMar>
        </w:tblPrEx>
        <w:trPr>
          <w:trHeight w:val="495" w:hRule="atLeast"/>
        </w:trPr>
        <w:tc>
          <w:tcPr>
            <w:tcW w:w="879" w:type="dxa"/>
            <w:tcBorders>
              <w:top w:val="nil"/>
              <w:left w:val="single" w:color="000000" w:sz="8" w:space="0"/>
              <w:bottom w:val="single" w:color="000000" w:sz="8" w:space="0"/>
              <w:right w:val="single" w:color="000000" w:sz="8" w:space="0"/>
            </w:tcBorders>
            <w:noWrap w:val="0"/>
            <w:vAlign w:val="center"/>
          </w:tcPr>
          <w:p w14:paraId="5E080EB1">
            <w:pPr>
              <w:widowControl/>
              <w:jc w:val="center"/>
              <w:rPr>
                <w:rFonts w:ascii="宋体" w:hAnsi="宋体" w:cs="宋体"/>
                <w:color w:val="auto"/>
                <w:kern w:val="0"/>
                <w:sz w:val="20"/>
                <w:szCs w:val="20"/>
              </w:rPr>
            </w:pPr>
            <w:r>
              <w:rPr>
                <w:rFonts w:hint="eastAsia" w:ascii="宋体" w:hAnsi="宋体" w:cs="宋体"/>
                <w:color w:val="auto"/>
                <w:kern w:val="0"/>
                <w:sz w:val="20"/>
                <w:szCs w:val="20"/>
              </w:rPr>
              <w:t>4</w:t>
            </w:r>
          </w:p>
        </w:tc>
        <w:tc>
          <w:tcPr>
            <w:tcW w:w="1116" w:type="dxa"/>
            <w:tcBorders>
              <w:top w:val="nil"/>
              <w:left w:val="nil"/>
              <w:bottom w:val="single" w:color="000000" w:sz="8" w:space="0"/>
              <w:right w:val="single" w:color="000000" w:sz="8" w:space="0"/>
            </w:tcBorders>
            <w:noWrap w:val="0"/>
            <w:vAlign w:val="center"/>
          </w:tcPr>
          <w:p w14:paraId="078FAF98">
            <w:pPr>
              <w:widowControl/>
              <w:jc w:val="center"/>
              <w:rPr>
                <w:rFonts w:ascii="宋体" w:hAnsi="宋体" w:cs="宋体"/>
                <w:color w:val="auto"/>
                <w:kern w:val="0"/>
                <w:sz w:val="20"/>
                <w:szCs w:val="20"/>
              </w:rPr>
            </w:pPr>
            <w:r>
              <w:rPr>
                <w:rFonts w:hint="eastAsia" w:ascii="宋体" w:hAnsi="宋体" w:cs="宋体"/>
                <w:color w:val="auto"/>
                <w:kern w:val="0"/>
                <w:sz w:val="20"/>
                <w:szCs w:val="20"/>
              </w:rPr>
              <w:t>A020204多功能一体机</w:t>
            </w:r>
          </w:p>
        </w:tc>
        <w:tc>
          <w:tcPr>
            <w:tcW w:w="1516" w:type="dxa"/>
            <w:tcBorders>
              <w:top w:val="nil"/>
              <w:left w:val="nil"/>
              <w:bottom w:val="single" w:color="000000" w:sz="8" w:space="0"/>
              <w:right w:val="single" w:color="000000" w:sz="8" w:space="0"/>
            </w:tcBorders>
            <w:noWrap w:val="0"/>
            <w:vAlign w:val="center"/>
          </w:tcPr>
          <w:p w14:paraId="24F519A0">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12" w:type="dxa"/>
            <w:tcBorders>
              <w:top w:val="nil"/>
              <w:left w:val="nil"/>
              <w:bottom w:val="single" w:color="000000" w:sz="8" w:space="0"/>
              <w:right w:val="single" w:color="000000" w:sz="8" w:space="0"/>
            </w:tcBorders>
            <w:noWrap w:val="0"/>
            <w:vAlign w:val="center"/>
          </w:tcPr>
          <w:p w14:paraId="4F918183">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000000" w:sz="8" w:space="0"/>
              <w:right w:val="single" w:color="000000" w:sz="8" w:space="0"/>
            </w:tcBorders>
            <w:noWrap w:val="0"/>
            <w:vAlign w:val="center"/>
          </w:tcPr>
          <w:p w14:paraId="689429FB">
            <w:pPr>
              <w:widowControl/>
              <w:jc w:val="left"/>
              <w:rPr>
                <w:rFonts w:ascii="宋体" w:hAnsi="宋体" w:cs="宋体"/>
                <w:color w:val="auto"/>
                <w:kern w:val="0"/>
                <w:sz w:val="20"/>
                <w:szCs w:val="20"/>
              </w:rPr>
            </w:pPr>
            <w:r>
              <w:rPr>
                <w:rFonts w:hint="eastAsia" w:ascii="宋体" w:hAnsi="宋体" w:cs="宋体"/>
                <w:color w:val="auto"/>
                <w:kern w:val="0"/>
                <w:sz w:val="20"/>
                <w:szCs w:val="20"/>
              </w:rPr>
              <w:t>《复印机、打印机和传真机能效限定值及能效等级》（GB21521）</w:t>
            </w:r>
          </w:p>
        </w:tc>
      </w:tr>
      <w:tr w14:paraId="017C8242">
        <w:tblPrEx>
          <w:tblCellMar>
            <w:top w:w="0" w:type="dxa"/>
            <w:left w:w="108" w:type="dxa"/>
            <w:bottom w:w="0" w:type="dxa"/>
            <w:right w:w="108" w:type="dxa"/>
          </w:tblCellMar>
        </w:tblPrEx>
        <w:trPr>
          <w:trHeight w:val="495" w:hRule="atLeast"/>
        </w:trPr>
        <w:tc>
          <w:tcPr>
            <w:tcW w:w="879" w:type="dxa"/>
            <w:tcBorders>
              <w:top w:val="nil"/>
              <w:left w:val="single" w:color="000000" w:sz="8" w:space="0"/>
              <w:bottom w:val="single" w:color="auto" w:sz="4" w:space="0"/>
              <w:right w:val="single" w:color="000000" w:sz="8" w:space="0"/>
            </w:tcBorders>
            <w:noWrap w:val="0"/>
            <w:vAlign w:val="center"/>
          </w:tcPr>
          <w:p w14:paraId="5AE8B516">
            <w:pPr>
              <w:widowControl/>
              <w:jc w:val="center"/>
              <w:rPr>
                <w:rFonts w:ascii="宋体" w:hAnsi="宋体" w:cs="宋体"/>
                <w:color w:val="auto"/>
                <w:kern w:val="0"/>
                <w:sz w:val="20"/>
                <w:szCs w:val="20"/>
              </w:rPr>
            </w:pPr>
            <w:r>
              <w:rPr>
                <w:rFonts w:hint="eastAsia" w:ascii="宋体" w:hAnsi="宋体" w:cs="宋体"/>
                <w:color w:val="auto"/>
                <w:kern w:val="0"/>
                <w:sz w:val="20"/>
                <w:szCs w:val="20"/>
              </w:rPr>
              <w:t>5</w:t>
            </w:r>
          </w:p>
        </w:tc>
        <w:tc>
          <w:tcPr>
            <w:tcW w:w="1116" w:type="dxa"/>
            <w:tcBorders>
              <w:top w:val="nil"/>
              <w:left w:val="nil"/>
              <w:bottom w:val="single" w:color="auto" w:sz="4" w:space="0"/>
              <w:right w:val="single" w:color="000000" w:sz="8" w:space="0"/>
            </w:tcBorders>
            <w:noWrap w:val="0"/>
            <w:vAlign w:val="center"/>
          </w:tcPr>
          <w:p w14:paraId="492AC50E">
            <w:pPr>
              <w:widowControl/>
              <w:jc w:val="center"/>
              <w:rPr>
                <w:rFonts w:ascii="宋体" w:hAnsi="宋体" w:cs="宋体"/>
                <w:color w:val="auto"/>
                <w:kern w:val="0"/>
                <w:sz w:val="20"/>
                <w:szCs w:val="20"/>
              </w:rPr>
            </w:pPr>
            <w:r>
              <w:rPr>
                <w:rFonts w:hint="eastAsia" w:ascii="宋体" w:hAnsi="宋体" w:cs="宋体"/>
                <w:color w:val="auto"/>
                <w:kern w:val="0"/>
                <w:sz w:val="20"/>
                <w:szCs w:val="20"/>
              </w:rPr>
              <w:t>A020519泵</w:t>
            </w:r>
          </w:p>
        </w:tc>
        <w:tc>
          <w:tcPr>
            <w:tcW w:w="1516" w:type="dxa"/>
            <w:tcBorders>
              <w:top w:val="nil"/>
              <w:left w:val="nil"/>
              <w:bottom w:val="single" w:color="auto" w:sz="4" w:space="0"/>
              <w:right w:val="single" w:color="000000" w:sz="8" w:space="0"/>
            </w:tcBorders>
            <w:noWrap w:val="0"/>
            <w:vAlign w:val="center"/>
          </w:tcPr>
          <w:p w14:paraId="5CA8AAF0">
            <w:pPr>
              <w:widowControl/>
              <w:jc w:val="center"/>
              <w:rPr>
                <w:rFonts w:ascii="宋体" w:hAnsi="宋体" w:cs="宋体"/>
                <w:color w:val="auto"/>
                <w:kern w:val="0"/>
                <w:sz w:val="20"/>
                <w:szCs w:val="20"/>
              </w:rPr>
            </w:pPr>
            <w:r>
              <w:rPr>
                <w:rFonts w:hint="eastAsia" w:ascii="宋体" w:hAnsi="宋体" w:cs="宋体"/>
                <w:color w:val="auto"/>
                <w:kern w:val="0"/>
                <w:sz w:val="20"/>
                <w:szCs w:val="20"/>
              </w:rPr>
              <w:t>A02051901离心泵</w:t>
            </w:r>
          </w:p>
        </w:tc>
        <w:tc>
          <w:tcPr>
            <w:tcW w:w="1612" w:type="dxa"/>
            <w:tcBorders>
              <w:top w:val="nil"/>
              <w:left w:val="nil"/>
              <w:bottom w:val="single" w:color="auto" w:sz="4" w:space="0"/>
              <w:right w:val="single" w:color="000000" w:sz="8" w:space="0"/>
            </w:tcBorders>
            <w:noWrap w:val="0"/>
            <w:vAlign w:val="center"/>
          </w:tcPr>
          <w:p w14:paraId="49CCD31B">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auto" w:sz="4" w:space="0"/>
              <w:right w:val="single" w:color="000000" w:sz="8" w:space="0"/>
            </w:tcBorders>
            <w:noWrap w:val="0"/>
            <w:vAlign w:val="center"/>
          </w:tcPr>
          <w:p w14:paraId="08C8AF6E">
            <w:pPr>
              <w:widowControl/>
              <w:jc w:val="left"/>
              <w:rPr>
                <w:rFonts w:ascii="宋体" w:hAnsi="宋体" w:cs="宋体"/>
                <w:color w:val="auto"/>
                <w:kern w:val="0"/>
                <w:sz w:val="20"/>
                <w:szCs w:val="20"/>
              </w:rPr>
            </w:pPr>
            <w:r>
              <w:rPr>
                <w:rFonts w:hint="eastAsia" w:ascii="宋体" w:hAnsi="宋体" w:cs="宋体"/>
                <w:color w:val="auto"/>
                <w:kern w:val="0"/>
                <w:sz w:val="20"/>
                <w:szCs w:val="20"/>
              </w:rPr>
              <w:t>《清水离心泵能效限定值及节能评价值》（GB19762）</w:t>
            </w:r>
          </w:p>
        </w:tc>
      </w:tr>
      <w:tr w14:paraId="05E4F416">
        <w:tblPrEx>
          <w:tblCellMar>
            <w:top w:w="0" w:type="dxa"/>
            <w:left w:w="108" w:type="dxa"/>
            <w:bottom w:w="0" w:type="dxa"/>
            <w:right w:w="108" w:type="dxa"/>
          </w:tblCellMar>
        </w:tblPrEx>
        <w:trPr>
          <w:trHeight w:val="735" w:hRule="atLeast"/>
        </w:trPr>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14:paraId="782F0C8F">
            <w:pPr>
              <w:widowControl/>
              <w:jc w:val="center"/>
              <w:rPr>
                <w:rFonts w:ascii="宋体" w:hAnsi="宋体" w:cs="宋体"/>
                <w:color w:val="auto"/>
                <w:kern w:val="0"/>
                <w:sz w:val="20"/>
                <w:szCs w:val="20"/>
              </w:rPr>
            </w:pPr>
            <w:r>
              <w:rPr>
                <w:rFonts w:hint="eastAsia" w:ascii="宋体" w:hAnsi="宋体" w:cs="宋体"/>
                <w:color w:val="auto"/>
                <w:kern w:val="0"/>
                <w:sz w:val="20"/>
                <w:szCs w:val="20"/>
              </w:rPr>
              <w:t>6</w:t>
            </w:r>
          </w:p>
        </w:tc>
        <w:tc>
          <w:tcPr>
            <w:tcW w:w="1116" w:type="dxa"/>
            <w:vMerge w:val="restart"/>
            <w:tcBorders>
              <w:top w:val="single" w:color="auto" w:sz="4" w:space="0"/>
              <w:left w:val="single" w:color="auto" w:sz="4" w:space="0"/>
              <w:bottom w:val="single" w:color="auto" w:sz="4" w:space="0"/>
              <w:right w:val="single" w:color="auto" w:sz="4" w:space="0"/>
            </w:tcBorders>
            <w:noWrap w:val="0"/>
            <w:vAlign w:val="center"/>
          </w:tcPr>
          <w:p w14:paraId="31556AD0">
            <w:pPr>
              <w:widowControl/>
              <w:jc w:val="center"/>
              <w:rPr>
                <w:rFonts w:ascii="宋体" w:hAnsi="宋体" w:cs="宋体"/>
                <w:color w:val="auto"/>
                <w:kern w:val="0"/>
                <w:sz w:val="20"/>
                <w:szCs w:val="20"/>
              </w:rPr>
            </w:pPr>
            <w:r>
              <w:rPr>
                <w:rFonts w:hint="eastAsia" w:ascii="宋体" w:hAnsi="宋体" w:cs="宋体"/>
                <w:color w:val="auto"/>
                <w:kern w:val="0"/>
                <w:sz w:val="20"/>
                <w:szCs w:val="20"/>
              </w:rPr>
              <w:t>A020523制冷空调设备</w:t>
            </w:r>
          </w:p>
        </w:tc>
        <w:tc>
          <w:tcPr>
            <w:tcW w:w="1516" w:type="dxa"/>
            <w:vMerge w:val="restart"/>
            <w:tcBorders>
              <w:top w:val="single" w:color="auto" w:sz="4" w:space="0"/>
              <w:left w:val="single" w:color="auto" w:sz="4" w:space="0"/>
              <w:bottom w:val="single" w:color="auto" w:sz="4" w:space="0"/>
              <w:right w:val="single" w:color="auto" w:sz="4" w:space="0"/>
            </w:tcBorders>
            <w:noWrap w:val="0"/>
            <w:vAlign w:val="center"/>
          </w:tcPr>
          <w:p w14:paraId="5CB53677">
            <w:pPr>
              <w:widowControl/>
              <w:jc w:val="center"/>
              <w:rPr>
                <w:rFonts w:ascii="宋体" w:hAnsi="宋体" w:cs="宋体"/>
                <w:color w:val="auto"/>
                <w:kern w:val="0"/>
                <w:sz w:val="20"/>
                <w:szCs w:val="20"/>
              </w:rPr>
            </w:pPr>
            <w:r>
              <w:rPr>
                <w:rFonts w:hint="eastAsia" w:ascii="宋体" w:hAnsi="宋体" w:cs="宋体"/>
                <w:color w:val="auto"/>
                <w:kern w:val="0"/>
                <w:sz w:val="20"/>
                <w:szCs w:val="20"/>
              </w:rPr>
              <w:t>★A02052301制冷压缩机</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7B017A2E">
            <w:pPr>
              <w:widowControl/>
              <w:jc w:val="center"/>
              <w:rPr>
                <w:rFonts w:ascii="宋体" w:hAnsi="宋体" w:cs="宋体"/>
                <w:color w:val="auto"/>
                <w:kern w:val="0"/>
                <w:sz w:val="20"/>
                <w:szCs w:val="20"/>
              </w:rPr>
            </w:pPr>
            <w:r>
              <w:rPr>
                <w:rFonts w:hint="eastAsia" w:ascii="宋体" w:hAnsi="宋体" w:cs="宋体"/>
                <w:color w:val="auto"/>
                <w:kern w:val="0"/>
                <w:sz w:val="20"/>
                <w:szCs w:val="20"/>
              </w:rPr>
              <w:t>冷水机组</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1D1E0B2C">
            <w:pPr>
              <w:widowControl/>
              <w:jc w:val="left"/>
              <w:rPr>
                <w:rFonts w:ascii="宋体" w:hAnsi="宋体" w:cs="宋体"/>
                <w:color w:val="auto"/>
                <w:kern w:val="0"/>
                <w:sz w:val="20"/>
                <w:szCs w:val="20"/>
              </w:rPr>
            </w:pPr>
            <w:r>
              <w:rPr>
                <w:rFonts w:hint="eastAsia" w:ascii="宋体" w:hAnsi="宋体" w:cs="宋体"/>
                <w:color w:val="auto"/>
                <w:kern w:val="0"/>
                <w:sz w:val="20"/>
                <w:szCs w:val="20"/>
              </w:rPr>
              <w:t>《冷水机组能效限定值及能效等级》（GB19577），《低环境温度空气源热泵（冷水）机组能效限定值及能效等级》（GB37480）</w:t>
            </w:r>
          </w:p>
        </w:tc>
      </w:tr>
      <w:tr w14:paraId="0C3458AF">
        <w:tblPrEx>
          <w:tblCellMar>
            <w:top w:w="0" w:type="dxa"/>
            <w:left w:w="108" w:type="dxa"/>
            <w:bottom w:w="0" w:type="dxa"/>
            <w:right w:w="108" w:type="dxa"/>
          </w:tblCellMar>
        </w:tblPrEx>
        <w:trPr>
          <w:trHeight w:val="49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558A1ECA">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51347882">
            <w:pPr>
              <w:widowControl/>
              <w:jc w:val="left"/>
              <w:rPr>
                <w:rFonts w:ascii="宋体" w:hAnsi="宋体" w:cs="宋体"/>
                <w:color w:val="auto"/>
                <w:kern w:val="0"/>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40EE0CFA">
            <w:pPr>
              <w:widowControl/>
              <w:jc w:val="left"/>
              <w:rPr>
                <w:rFonts w:ascii="宋体" w:hAnsi="宋体" w:cs="宋体"/>
                <w:color w:val="auto"/>
                <w:kern w:val="0"/>
                <w:sz w:val="20"/>
                <w:szCs w:val="20"/>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17BE563C">
            <w:pPr>
              <w:widowControl/>
              <w:jc w:val="center"/>
              <w:rPr>
                <w:rFonts w:ascii="宋体" w:hAnsi="宋体" w:cs="宋体"/>
                <w:color w:val="auto"/>
                <w:kern w:val="0"/>
                <w:sz w:val="20"/>
                <w:szCs w:val="20"/>
              </w:rPr>
            </w:pPr>
            <w:r>
              <w:rPr>
                <w:rFonts w:hint="eastAsia" w:ascii="宋体" w:hAnsi="宋体" w:cs="宋体"/>
                <w:color w:val="auto"/>
                <w:kern w:val="0"/>
                <w:sz w:val="20"/>
                <w:szCs w:val="20"/>
              </w:rPr>
              <w:t>水源热泵机组</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270858FB">
            <w:pPr>
              <w:widowControl/>
              <w:jc w:val="left"/>
              <w:rPr>
                <w:rFonts w:ascii="宋体" w:hAnsi="宋体" w:cs="宋体"/>
                <w:color w:val="auto"/>
                <w:kern w:val="0"/>
                <w:sz w:val="20"/>
                <w:szCs w:val="20"/>
              </w:rPr>
            </w:pPr>
            <w:r>
              <w:rPr>
                <w:rFonts w:hint="eastAsia" w:ascii="宋体" w:hAnsi="宋体" w:cs="宋体"/>
                <w:color w:val="auto"/>
                <w:kern w:val="0"/>
                <w:sz w:val="20"/>
                <w:szCs w:val="20"/>
              </w:rPr>
              <w:t>《水（地）源热泵机组能效限定值及能效等级》（GB30721）</w:t>
            </w:r>
          </w:p>
        </w:tc>
      </w:tr>
      <w:tr w14:paraId="722B2FC3">
        <w:tblPrEx>
          <w:tblCellMar>
            <w:top w:w="0" w:type="dxa"/>
            <w:left w:w="108" w:type="dxa"/>
            <w:bottom w:w="0" w:type="dxa"/>
            <w:right w:w="108" w:type="dxa"/>
          </w:tblCellMar>
        </w:tblPrEx>
        <w:trPr>
          <w:trHeight w:val="49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6CA64669">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3AFD07E1">
            <w:pPr>
              <w:widowControl/>
              <w:jc w:val="left"/>
              <w:rPr>
                <w:rFonts w:ascii="宋体" w:hAnsi="宋体" w:cs="宋体"/>
                <w:color w:val="auto"/>
                <w:kern w:val="0"/>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72E8E84F">
            <w:pPr>
              <w:widowControl/>
              <w:jc w:val="left"/>
              <w:rPr>
                <w:rFonts w:ascii="宋体" w:hAnsi="宋体" w:cs="宋体"/>
                <w:color w:val="auto"/>
                <w:kern w:val="0"/>
                <w:sz w:val="20"/>
                <w:szCs w:val="20"/>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6DDB1635">
            <w:pPr>
              <w:widowControl/>
              <w:jc w:val="center"/>
              <w:rPr>
                <w:rFonts w:ascii="宋体" w:hAnsi="宋体" w:cs="宋体"/>
                <w:color w:val="auto"/>
                <w:kern w:val="0"/>
                <w:sz w:val="20"/>
                <w:szCs w:val="20"/>
              </w:rPr>
            </w:pPr>
            <w:r>
              <w:rPr>
                <w:rFonts w:hint="eastAsia" w:ascii="宋体" w:hAnsi="宋体" w:cs="宋体"/>
                <w:color w:val="auto"/>
                <w:kern w:val="0"/>
                <w:sz w:val="20"/>
                <w:szCs w:val="20"/>
              </w:rPr>
              <w:t>溴化锂吸收式冷水机组</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3F8350A0">
            <w:pPr>
              <w:widowControl/>
              <w:jc w:val="left"/>
              <w:rPr>
                <w:rFonts w:ascii="宋体" w:hAnsi="宋体" w:cs="宋体"/>
                <w:color w:val="auto"/>
                <w:kern w:val="0"/>
                <w:sz w:val="20"/>
                <w:szCs w:val="20"/>
              </w:rPr>
            </w:pPr>
            <w:r>
              <w:rPr>
                <w:rFonts w:hint="eastAsia" w:ascii="宋体" w:hAnsi="宋体" w:cs="宋体"/>
                <w:color w:val="auto"/>
                <w:kern w:val="0"/>
                <w:sz w:val="20"/>
                <w:szCs w:val="20"/>
              </w:rPr>
              <w:t>《溴化锂吸收式冷水机组能效限定值及能效等级》（GB29540）</w:t>
            </w:r>
          </w:p>
        </w:tc>
      </w:tr>
      <w:tr w14:paraId="2504E200">
        <w:tblPrEx>
          <w:tblCellMar>
            <w:top w:w="0" w:type="dxa"/>
            <w:left w:w="108" w:type="dxa"/>
            <w:bottom w:w="0" w:type="dxa"/>
            <w:right w:w="108" w:type="dxa"/>
          </w:tblCellMar>
        </w:tblPrEx>
        <w:trPr>
          <w:trHeight w:val="73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722DD500">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7FCDFFE4">
            <w:pPr>
              <w:widowControl/>
              <w:jc w:val="left"/>
              <w:rPr>
                <w:rFonts w:ascii="宋体" w:hAnsi="宋体" w:cs="宋体"/>
                <w:color w:val="auto"/>
                <w:kern w:val="0"/>
                <w:sz w:val="20"/>
                <w:szCs w:val="20"/>
              </w:rPr>
            </w:pPr>
          </w:p>
        </w:tc>
        <w:tc>
          <w:tcPr>
            <w:tcW w:w="1516" w:type="dxa"/>
            <w:vMerge w:val="restart"/>
            <w:tcBorders>
              <w:top w:val="single" w:color="auto" w:sz="4" w:space="0"/>
              <w:left w:val="single" w:color="auto" w:sz="4" w:space="0"/>
              <w:bottom w:val="single" w:color="auto" w:sz="4" w:space="0"/>
              <w:right w:val="single" w:color="auto" w:sz="4" w:space="0"/>
            </w:tcBorders>
            <w:noWrap w:val="0"/>
            <w:vAlign w:val="center"/>
          </w:tcPr>
          <w:p w14:paraId="6C6ED9D3">
            <w:pPr>
              <w:widowControl/>
              <w:jc w:val="center"/>
              <w:rPr>
                <w:rFonts w:ascii="宋体" w:hAnsi="宋体" w:cs="宋体"/>
                <w:color w:val="auto"/>
                <w:kern w:val="0"/>
                <w:sz w:val="20"/>
                <w:szCs w:val="20"/>
              </w:rPr>
            </w:pPr>
            <w:r>
              <w:rPr>
                <w:rFonts w:hint="eastAsia" w:ascii="宋体" w:hAnsi="宋体" w:cs="宋体"/>
                <w:color w:val="auto"/>
                <w:kern w:val="0"/>
                <w:sz w:val="20"/>
                <w:szCs w:val="20"/>
              </w:rPr>
              <w:t>★A02052305空调机组</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1D20D1B1">
            <w:pPr>
              <w:widowControl/>
              <w:jc w:val="center"/>
              <w:rPr>
                <w:rFonts w:ascii="宋体" w:hAnsi="宋体" w:cs="宋体"/>
                <w:color w:val="auto"/>
                <w:kern w:val="0"/>
                <w:sz w:val="20"/>
                <w:szCs w:val="20"/>
              </w:rPr>
            </w:pPr>
            <w:r>
              <w:rPr>
                <w:rFonts w:hint="eastAsia" w:ascii="宋体" w:hAnsi="宋体" w:cs="宋体"/>
                <w:color w:val="auto"/>
                <w:kern w:val="0"/>
                <w:sz w:val="20"/>
                <w:szCs w:val="20"/>
              </w:rPr>
              <w:t>多联式空调（热泵）机组(制冷量&gt;14000W)</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28532334">
            <w:pPr>
              <w:widowControl/>
              <w:jc w:val="left"/>
              <w:rPr>
                <w:rFonts w:ascii="宋体" w:hAnsi="宋体" w:cs="宋体"/>
                <w:color w:val="auto"/>
                <w:kern w:val="0"/>
                <w:sz w:val="20"/>
                <w:szCs w:val="20"/>
              </w:rPr>
            </w:pPr>
            <w:r>
              <w:rPr>
                <w:rFonts w:hint="eastAsia" w:ascii="宋体" w:hAnsi="宋体" w:cs="宋体"/>
                <w:color w:val="auto"/>
                <w:kern w:val="0"/>
                <w:sz w:val="20"/>
                <w:szCs w:val="20"/>
              </w:rPr>
              <w:t>《多联式空调（热泵）机组能效限定值及能源效率等级》（GB21454）</w:t>
            </w:r>
          </w:p>
        </w:tc>
      </w:tr>
      <w:tr w14:paraId="567E2AA4">
        <w:tblPrEx>
          <w:tblCellMar>
            <w:top w:w="0" w:type="dxa"/>
            <w:left w:w="108" w:type="dxa"/>
            <w:bottom w:w="0" w:type="dxa"/>
            <w:right w:w="108" w:type="dxa"/>
          </w:tblCellMar>
        </w:tblPrEx>
        <w:trPr>
          <w:trHeight w:val="73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0332BDEC">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267E7737">
            <w:pPr>
              <w:widowControl/>
              <w:jc w:val="left"/>
              <w:rPr>
                <w:rFonts w:ascii="宋体" w:hAnsi="宋体" w:cs="宋体"/>
                <w:color w:val="auto"/>
                <w:kern w:val="0"/>
                <w:sz w:val="20"/>
                <w:szCs w:val="20"/>
              </w:rPr>
            </w:pPr>
          </w:p>
        </w:tc>
        <w:tc>
          <w:tcPr>
            <w:tcW w:w="1516" w:type="dxa"/>
            <w:vMerge w:val="continue"/>
            <w:tcBorders>
              <w:top w:val="single" w:color="auto" w:sz="4" w:space="0"/>
              <w:left w:val="single" w:color="auto" w:sz="4" w:space="0"/>
              <w:bottom w:val="single" w:color="auto" w:sz="4" w:space="0"/>
              <w:right w:val="single" w:color="auto" w:sz="4" w:space="0"/>
            </w:tcBorders>
            <w:noWrap w:val="0"/>
            <w:vAlign w:val="center"/>
          </w:tcPr>
          <w:p w14:paraId="20F2498D">
            <w:pPr>
              <w:widowControl/>
              <w:jc w:val="left"/>
              <w:rPr>
                <w:rFonts w:ascii="宋体" w:hAnsi="宋体" w:cs="宋体"/>
                <w:color w:val="auto"/>
                <w:kern w:val="0"/>
                <w:sz w:val="20"/>
                <w:szCs w:val="20"/>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51A973D8">
            <w:pPr>
              <w:widowControl/>
              <w:jc w:val="center"/>
              <w:rPr>
                <w:rFonts w:ascii="宋体" w:hAnsi="宋体" w:cs="宋体"/>
                <w:color w:val="auto"/>
                <w:kern w:val="0"/>
                <w:sz w:val="20"/>
                <w:szCs w:val="20"/>
              </w:rPr>
            </w:pPr>
            <w:r>
              <w:rPr>
                <w:rFonts w:hint="eastAsia" w:ascii="宋体" w:hAnsi="宋体" w:cs="宋体"/>
                <w:color w:val="auto"/>
                <w:kern w:val="0"/>
                <w:sz w:val="20"/>
                <w:szCs w:val="20"/>
              </w:rPr>
              <w:t>单元式空气调节机(制冷量&gt;14000W</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1127B158">
            <w:pPr>
              <w:widowControl/>
              <w:jc w:val="left"/>
              <w:rPr>
                <w:rFonts w:ascii="宋体" w:hAnsi="宋体" w:cs="宋体"/>
                <w:color w:val="auto"/>
                <w:kern w:val="0"/>
                <w:sz w:val="20"/>
                <w:szCs w:val="20"/>
              </w:rPr>
            </w:pPr>
            <w:r>
              <w:rPr>
                <w:rFonts w:hint="eastAsia" w:ascii="宋体" w:hAnsi="宋体" w:cs="宋体"/>
                <w:color w:val="auto"/>
                <w:kern w:val="0"/>
                <w:sz w:val="20"/>
                <w:szCs w:val="20"/>
              </w:rPr>
              <w:t>《单元式空气调节机能效限定值及能效等级》（GB19576）《风管送风式空调机组能效限定值及能效等级》（GB37479）</w:t>
            </w:r>
          </w:p>
        </w:tc>
      </w:tr>
      <w:tr w14:paraId="07BA8A9A">
        <w:tblPrEx>
          <w:tblCellMar>
            <w:top w:w="0" w:type="dxa"/>
            <w:left w:w="108" w:type="dxa"/>
            <w:bottom w:w="0" w:type="dxa"/>
            <w:right w:w="108" w:type="dxa"/>
          </w:tblCellMar>
        </w:tblPrEx>
        <w:trPr>
          <w:trHeight w:val="73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1C3C6F1B">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58028E39">
            <w:pPr>
              <w:widowControl/>
              <w:jc w:val="left"/>
              <w:rPr>
                <w:rFonts w:ascii="宋体" w:hAnsi="宋体" w:cs="宋体"/>
                <w:color w:val="auto"/>
                <w:kern w:val="0"/>
                <w:sz w:val="20"/>
                <w:szCs w:val="20"/>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569C82C">
            <w:pPr>
              <w:widowControl/>
              <w:jc w:val="center"/>
              <w:rPr>
                <w:rFonts w:ascii="宋体" w:hAnsi="宋体" w:cs="宋体"/>
                <w:color w:val="auto"/>
                <w:kern w:val="0"/>
                <w:sz w:val="20"/>
                <w:szCs w:val="20"/>
              </w:rPr>
            </w:pPr>
            <w:r>
              <w:rPr>
                <w:rFonts w:hint="eastAsia" w:ascii="宋体" w:hAnsi="宋体" w:cs="宋体"/>
                <w:color w:val="auto"/>
                <w:kern w:val="0"/>
                <w:sz w:val="20"/>
                <w:szCs w:val="20"/>
              </w:rPr>
              <w:t>★A02052309专用制冷、空调设备</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6DA9B5F7">
            <w:pPr>
              <w:widowControl/>
              <w:jc w:val="center"/>
              <w:rPr>
                <w:rFonts w:ascii="宋体" w:hAnsi="宋体" w:cs="宋体"/>
                <w:color w:val="auto"/>
                <w:kern w:val="0"/>
                <w:sz w:val="20"/>
                <w:szCs w:val="20"/>
              </w:rPr>
            </w:pPr>
            <w:r>
              <w:rPr>
                <w:rFonts w:hint="eastAsia" w:ascii="宋体" w:hAnsi="宋体" w:cs="宋体"/>
                <w:color w:val="auto"/>
                <w:kern w:val="0"/>
                <w:sz w:val="20"/>
                <w:szCs w:val="20"/>
              </w:rPr>
              <w:t>机房空调</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484BBBDF">
            <w:pPr>
              <w:widowControl/>
              <w:jc w:val="left"/>
              <w:rPr>
                <w:rFonts w:ascii="宋体" w:hAnsi="宋体" w:cs="宋体"/>
                <w:color w:val="auto"/>
                <w:kern w:val="0"/>
                <w:sz w:val="20"/>
                <w:szCs w:val="20"/>
              </w:rPr>
            </w:pPr>
            <w:r>
              <w:rPr>
                <w:rFonts w:hint="eastAsia" w:ascii="宋体" w:hAnsi="宋体" w:cs="宋体"/>
                <w:color w:val="auto"/>
                <w:kern w:val="0"/>
                <w:sz w:val="20"/>
                <w:szCs w:val="20"/>
              </w:rPr>
              <w:t>《单元式空气调节机能效限定值及能效等级》（GB19576）</w:t>
            </w:r>
          </w:p>
        </w:tc>
      </w:tr>
      <w:tr w14:paraId="1F91F038">
        <w:tblPrEx>
          <w:tblCellMar>
            <w:top w:w="0" w:type="dxa"/>
            <w:left w:w="108" w:type="dxa"/>
            <w:bottom w:w="0" w:type="dxa"/>
            <w:right w:w="108" w:type="dxa"/>
          </w:tblCellMar>
        </w:tblPrEx>
        <w:trPr>
          <w:trHeight w:val="735" w:hRule="atLeast"/>
        </w:trPr>
        <w:tc>
          <w:tcPr>
            <w:tcW w:w="879" w:type="dxa"/>
            <w:vMerge w:val="continue"/>
            <w:tcBorders>
              <w:top w:val="single" w:color="auto" w:sz="4" w:space="0"/>
              <w:left w:val="single" w:color="auto" w:sz="4" w:space="0"/>
              <w:bottom w:val="single" w:color="auto" w:sz="4" w:space="0"/>
              <w:right w:val="single" w:color="000000" w:sz="8" w:space="0"/>
            </w:tcBorders>
            <w:noWrap w:val="0"/>
            <w:vAlign w:val="center"/>
          </w:tcPr>
          <w:p w14:paraId="23D8096A">
            <w:pPr>
              <w:widowControl/>
              <w:jc w:val="left"/>
              <w:rPr>
                <w:rFonts w:ascii="宋体" w:hAnsi="宋体" w:cs="宋体"/>
                <w:color w:val="auto"/>
                <w:kern w:val="0"/>
                <w:sz w:val="20"/>
                <w:szCs w:val="20"/>
              </w:rPr>
            </w:pPr>
          </w:p>
        </w:tc>
        <w:tc>
          <w:tcPr>
            <w:tcW w:w="1116" w:type="dxa"/>
            <w:vMerge w:val="continue"/>
            <w:tcBorders>
              <w:top w:val="single" w:color="auto" w:sz="4" w:space="0"/>
              <w:left w:val="single" w:color="000000" w:sz="8" w:space="0"/>
              <w:bottom w:val="single" w:color="auto" w:sz="4" w:space="0"/>
              <w:right w:val="single" w:color="000000" w:sz="8" w:space="0"/>
            </w:tcBorders>
            <w:noWrap w:val="0"/>
            <w:vAlign w:val="center"/>
          </w:tcPr>
          <w:p w14:paraId="04038C0E">
            <w:pPr>
              <w:widowControl/>
              <w:jc w:val="left"/>
              <w:rPr>
                <w:rFonts w:ascii="宋体" w:hAnsi="宋体" w:cs="宋体"/>
                <w:color w:val="auto"/>
                <w:kern w:val="0"/>
                <w:sz w:val="20"/>
                <w:szCs w:val="20"/>
              </w:rPr>
            </w:pPr>
          </w:p>
        </w:tc>
        <w:tc>
          <w:tcPr>
            <w:tcW w:w="1516" w:type="dxa"/>
            <w:tcBorders>
              <w:top w:val="single" w:color="auto" w:sz="4" w:space="0"/>
              <w:left w:val="nil"/>
              <w:bottom w:val="single" w:color="auto" w:sz="4" w:space="0"/>
              <w:right w:val="single" w:color="000000" w:sz="8" w:space="0"/>
            </w:tcBorders>
            <w:noWrap w:val="0"/>
            <w:vAlign w:val="center"/>
          </w:tcPr>
          <w:p w14:paraId="3AF61280">
            <w:pPr>
              <w:widowControl/>
              <w:jc w:val="center"/>
              <w:rPr>
                <w:rFonts w:ascii="宋体" w:hAnsi="宋体" w:cs="宋体"/>
                <w:color w:val="auto"/>
                <w:kern w:val="0"/>
                <w:sz w:val="20"/>
                <w:szCs w:val="20"/>
              </w:rPr>
            </w:pPr>
            <w:r>
              <w:rPr>
                <w:rFonts w:hint="eastAsia" w:ascii="宋体" w:hAnsi="宋体" w:cs="宋体"/>
                <w:color w:val="auto"/>
                <w:kern w:val="0"/>
                <w:sz w:val="20"/>
                <w:szCs w:val="20"/>
              </w:rPr>
              <w:t>A02052399其他制冷空调设备</w:t>
            </w:r>
          </w:p>
        </w:tc>
        <w:tc>
          <w:tcPr>
            <w:tcW w:w="1612" w:type="dxa"/>
            <w:tcBorders>
              <w:top w:val="single" w:color="auto" w:sz="4" w:space="0"/>
              <w:left w:val="nil"/>
              <w:bottom w:val="single" w:color="auto" w:sz="4" w:space="0"/>
              <w:right w:val="single" w:color="000000" w:sz="8" w:space="0"/>
            </w:tcBorders>
            <w:noWrap w:val="0"/>
            <w:vAlign w:val="center"/>
          </w:tcPr>
          <w:p w14:paraId="6A939409">
            <w:pPr>
              <w:widowControl/>
              <w:jc w:val="center"/>
              <w:rPr>
                <w:rFonts w:ascii="宋体" w:hAnsi="宋体" w:cs="宋体"/>
                <w:color w:val="auto"/>
                <w:kern w:val="0"/>
                <w:sz w:val="20"/>
                <w:szCs w:val="20"/>
              </w:rPr>
            </w:pPr>
            <w:r>
              <w:rPr>
                <w:rFonts w:hint="eastAsia" w:ascii="宋体" w:hAnsi="宋体" w:cs="宋体"/>
                <w:color w:val="auto"/>
                <w:kern w:val="0"/>
                <w:sz w:val="20"/>
                <w:szCs w:val="20"/>
              </w:rPr>
              <w:t>冷却塔</w:t>
            </w:r>
          </w:p>
        </w:tc>
        <w:tc>
          <w:tcPr>
            <w:tcW w:w="4335" w:type="dxa"/>
            <w:tcBorders>
              <w:top w:val="single" w:color="auto" w:sz="4" w:space="0"/>
              <w:left w:val="nil"/>
              <w:bottom w:val="single" w:color="auto" w:sz="4" w:space="0"/>
              <w:right w:val="single" w:color="000000" w:sz="8" w:space="0"/>
            </w:tcBorders>
            <w:noWrap w:val="0"/>
            <w:vAlign w:val="center"/>
          </w:tcPr>
          <w:p w14:paraId="6490166B">
            <w:pPr>
              <w:widowControl/>
              <w:jc w:val="left"/>
              <w:rPr>
                <w:rFonts w:ascii="宋体" w:hAnsi="宋体" w:cs="宋体"/>
                <w:color w:val="auto"/>
                <w:kern w:val="0"/>
                <w:sz w:val="20"/>
                <w:szCs w:val="20"/>
              </w:rPr>
            </w:pPr>
            <w:r>
              <w:rPr>
                <w:rFonts w:hint="eastAsia" w:ascii="宋体" w:hAnsi="宋体" w:cs="宋体"/>
                <w:color w:val="auto"/>
                <w:kern w:val="0"/>
                <w:sz w:val="20"/>
                <w:szCs w:val="20"/>
              </w:rPr>
              <w:t>《机械通风冷却塔第1部分：中小型开式冷却塔》（GB/T7190.1）；《机械通风冷却塔第2部分：大型开式冷却塔》（GB/T7190.2）</w:t>
            </w:r>
          </w:p>
        </w:tc>
      </w:tr>
      <w:tr w14:paraId="653D5208">
        <w:tblPrEx>
          <w:tblCellMar>
            <w:top w:w="0" w:type="dxa"/>
            <w:left w:w="108" w:type="dxa"/>
            <w:bottom w:w="0" w:type="dxa"/>
            <w:right w:w="108" w:type="dxa"/>
          </w:tblCellMar>
        </w:tblPrEx>
        <w:trPr>
          <w:trHeight w:val="495" w:hRule="atLeast"/>
        </w:trPr>
        <w:tc>
          <w:tcPr>
            <w:tcW w:w="879" w:type="dxa"/>
            <w:tcBorders>
              <w:top w:val="single" w:color="auto" w:sz="4" w:space="0"/>
              <w:left w:val="single" w:color="auto" w:sz="4" w:space="0"/>
              <w:bottom w:val="single" w:color="auto" w:sz="4" w:space="0"/>
              <w:right w:val="single" w:color="auto" w:sz="4" w:space="0"/>
            </w:tcBorders>
            <w:noWrap w:val="0"/>
            <w:vAlign w:val="center"/>
          </w:tcPr>
          <w:p w14:paraId="01C05A0D">
            <w:pPr>
              <w:widowControl/>
              <w:jc w:val="center"/>
              <w:rPr>
                <w:rFonts w:ascii="宋体" w:hAnsi="宋体" w:cs="宋体"/>
                <w:color w:val="auto"/>
                <w:kern w:val="0"/>
                <w:sz w:val="20"/>
                <w:szCs w:val="20"/>
              </w:rPr>
            </w:pPr>
            <w:r>
              <w:rPr>
                <w:rFonts w:hint="eastAsia" w:ascii="宋体" w:hAnsi="宋体" w:cs="宋体"/>
                <w:color w:val="auto"/>
                <w:kern w:val="0"/>
                <w:sz w:val="20"/>
                <w:szCs w:val="20"/>
              </w:rPr>
              <w:t>7</w:t>
            </w:r>
          </w:p>
        </w:tc>
        <w:tc>
          <w:tcPr>
            <w:tcW w:w="1116" w:type="dxa"/>
            <w:tcBorders>
              <w:top w:val="single" w:color="auto" w:sz="4" w:space="0"/>
              <w:left w:val="single" w:color="auto" w:sz="4" w:space="0"/>
              <w:bottom w:val="single" w:color="auto" w:sz="4" w:space="0"/>
              <w:right w:val="single" w:color="auto" w:sz="4" w:space="0"/>
            </w:tcBorders>
            <w:noWrap w:val="0"/>
            <w:vAlign w:val="center"/>
          </w:tcPr>
          <w:p w14:paraId="575D5700">
            <w:pPr>
              <w:widowControl/>
              <w:jc w:val="center"/>
              <w:rPr>
                <w:rFonts w:ascii="宋体" w:hAnsi="宋体" w:cs="宋体"/>
                <w:color w:val="auto"/>
                <w:kern w:val="0"/>
                <w:sz w:val="20"/>
                <w:szCs w:val="20"/>
              </w:rPr>
            </w:pPr>
            <w:r>
              <w:rPr>
                <w:rFonts w:hint="eastAsia" w:ascii="宋体" w:hAnsi="宋体" w:cs="宋体"/>
                <w:color w:val="auto"/>
                <w:kern w:val="0"/>
                <w:sz w:val="20"/>
                <w:szCs w:val="20"/>
              </w:rPr>
              <w:t>A020601电机</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D80BD34">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53ED1FD4">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75FDCF8D">
            <w:pPr>
              <w:widowControl/>
              <w:jc w:val="left"/>
              <w:rPr>
                <w:rFonts w:ascii="宋体" w:hAnsi="宋体" w:cs="宋体"/>
                <w:color w:val="auto"/>
                <w:kern w:val="0"/>
                <w:sz w:val="20"/>
                <w:szCs w:val="20"/>
              </w:rPr>
            </w:pPr>
            <w:r>
              <w:rPr>
                <w:rFonts w:hint="eastAsia" w:ascii="宋体" w:hAnsi="宋体" w:cs="宋体"/>
                <w:color w:val="auto"/>
                <w:kern w:val="0"/>
                <w:sz w:val="20"/>
                <w:szCs w:val="20"/>
              </w:rPr>
              <w:t>《中小型三相异步电动机能效限定值及能效等级》（GB18613）</w:t>
            </w:r>
          </w:p>
        </w:tc>
      </w:tr>
      <w:tr w14:paraId="3F53DA0A">
        <w:tblPrEx>
          <w:tblCellMar>
            <w:top w:w="0" w:type="dxa"/>
            <w:left w:w="108" w:type="dxa"/>
            <w:bottom w:w="0" w:type="dxa"/>
            <w:right w:w="108" w:type="dxa"/>
          </w:tblCellMar>
        </w:tblPrEx>
        <w:trPr>
          <w:trHeight w:val="495" w:hRule="atLeast"/>
        </w:trPr>
        <w:tc>
          <w:tcPr>
            <w:tcW w:w="879" w:type="dxa"/>
            <w:tcBorders>
              <w:top w:val="single" w:color="auto" w:sz="4" w:space="0"/>
              <w:left w:val="single" w:color="auto" w:sz="4" w:space="0"/>
              <w:bottom w:val="single" w:color="auto" w:sz="4" w:space="0"/>
              <w:right w:val="single" w:color="auto" w:sz="4" w:space="0"/>
            </w:tcBorders>
            <w:noWrap w:val="0"/>
            <w:vAlign w:val="center"/>
          </w:tcPr>
          <w:p w14:paraId="34144F1E">
            <w:pPr>
              <w:widowControl/>
              <w:jc w:val="center"/>
              <w:rPr>
                <w:rFonts w:ascii="宋体" w:hAnsi="宋体" w:cs="宋体"/>
                <w:color w:val="auto"/>
                <w:kern w:val="0"/>
                <w:sz w:val="20"/>
                <w:szCs w:val="20"/>
              </w:rPr>
            </w:pPr>
            <w:r>
              <w:rPr>
                <w:rFonts w:hint="eastAsia" w:ascii="宋体" w:hAnsi="宋体" w:cs="宋体"/>
                <w:color w:val="auto"/>
                <w:kern w:val="0"/>
                <w:sz w:val="20"/>
                <w:szCs w:val="20"/>
              </w:rPr>
              <w:t>8</w:t>
            </w:r>
          </w:p>
        </w:tc>
        <w:tc>
          <w:tcPr>
            <w:tcW w:w="1116" w:type="dxa"/>
            <w:tcBorders>
              <w:top w:val="single" w:color="auto" w:sz="4" w:space="0"/>
              <w:left w:val="single" w:color="auto" w:sz="4" w:space="0"/>
              <w:bottom w:val="single" w:color="auto" w:sz="4" w:space="0"/>
              <w:right w:val="single" w:color="auto" w:sz="4" w:space="0"/>
            </w:tcBorders>
            <w:noWrap w:val="0"/>
            <w:vAlign w:val="center"/>
          </w:tcPr>
          <w:p w14:paraId="043BEB49">
            <w:pPr>
              <w:widowControl/>
              <w:jc w:val="center"/>
              <w:rPr>
                <w:rFonts w:ascii="宋体" w:hAnsi="宋体" w:cs="宋体"/>
                <w:color w:val="auto"/>
                <w:kern w:val="0"/>
                <w:sz w:val="20"/>
                <w:szCs w:val="20"/>
              </w:rPr>
            </w:pPr>
            <w:r>
              <w:rPr>
                <w:rFonts w:hint="eastAsia" w:ascii="宋体" w:hAnsi="宋体" w:cs="宋体"/>
                <w:color w:val="auto"/>
                <w:kern w:val="0"/>
                <w:sz w:val="20"/>
                <w:szCs w:val="20"/>
              </w:rPr>
              <w:t>A020602变压器</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88EDB7F">
            <w:pPr>
              <w:widowControl/>
              <w:jc w:val="center"/>
              <w:rPr>
                <w:rFonts w:ascii="宋体" w:hAnsi="宋体" w:cs="宋体"/>
                <w:color w:val="auto"/>
                <w:kern w:val="0"/>
                <w:sz w:val="20"/>
                <w:szCs w:val="20"/>
              </w:rPr>
            </w:pPr>
            <w:r>
              <w:rPr>
                <w:rFonts w:hint="eastAsia" w:ascii="宋体" w:hAnsi="宋体" w:cs="宋体"/>
                <w:color w:val="auto"/>
                <w:kern w:val="0"/>
                <w:sz w:val="20"/>
                <w:szCs w:val="20"/>
              </w:rPr>
              <w:t>配电变压器</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24413BF2">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7A6517F1">
            <w:pPr>
              <w:widowControl/>
              <w:jc w:val="left"/>
              <w:rPr>
                <w:rFonts w:ascii="宋体" w:hAnsi="宋体" w:cs="宋体"/>
                <w:color w:val="auto"/>
                <w:kern w:val="0"/>
                <w:sz w:val="20"/>
                <w:szCs w:val="20"/>
              </w:rPr>
            </w:pPr>
            <w:r>
              <w:rPr>
                <w:rFonts w:hint="eastAsia" w:ascii="宋体" w:hAnsi="宋体" w:cs="宋体"/>
                <w:color w:val="auto"/>
                <w:kern w:val="0"/>
                <w:sz w:val="20"/>
                <w:szCs w:val="20"/>
              </w:rPr>
              <w:t>《三相配电变压器能效限定值及能效等级》（GB20052）</w:t>
            </w:r>
          </w:p>
        </w:tc>
      </w:tr>
      <w:tr w14:paraId="3BA6A416">
        <w:tblPrEx>
          <w:tblCellMar>
            <w:top w:w="0" w:type="dxa"/>
            <w:left w:w="108" w:type="dxa"/>
            <w:bottom w:w="0" w:type="dxa"/>
            <w:right w:w="108" w:type="dxa"/>
          </w:tblCellMar>
        </w:tblPrEx>
        <w:trPr>
          <w:trHeight w:val="495" w:hRule="atLeast"/>
        </w:trPr>
        <w:tc>
          <w:tcPr>
            <w:tcW w:w="879" w:type="dxa"/>
            <w:tcBorders>
              <w:top w:val="single" w:color="auto" w:sz="4" w:space="0"/>
              <w:left w:val="single" w:color="000000" w:sz="8" w:space="0"/>
              <w:bottom w:val="single" w:color="000000" w:sz="8" w:space="0"/>
              <w:right w:val="single" w:color="000000" w:sz="8" w:space="0"/>
            </w:tcBorders>
            <w:noWrap w:val="0"/>
            <w:vAlign w:val="center"/>
          </w:tcPr>
          <w:p w14:paraId="29CAF618">
            <w:pPr>
              <w:widowControl/>
              <w:jc w:val="center"/>
              <w:rPr>
                <w:rFonts w:ascii="宋体" w:hAnsi="宋体" w:cs="宋体"/>
                <w:color w:val="auto"/>
                <w:kern w:val="0"/>
                <w:sz w:val="20"/>
                <w:szCs w:val="20"/>
              </w:rPr>
            </w:pPr>
            <w:r>
              <w:rPr>
                <w:rFonts w:hint="eastAsia" w:ascii="宋体" w:hAnsi="宋体" w:cs="宋体"/>
                <w:color w:val="auto"/>
                <w:kern w:val="0"/>
                <w:sz w:val="20"/>
                <w:szCs w:val="20"/>
              </w:rPr>
              <w:t>9</w:t>
            </w:r>
          </w:p>
        </w:tc>
        <w:tc>
          <w:tcPr>
            <w:tcW w:w="1116" w:type="dxa"/>
            <w:tcBorders>
              <w:top w:val="single" w:color="auto" w:sz="4" w:space="0"/>
              <w:left w:val="nil"/>
              <w:bottom w:val="single" w:color="000000" w:sz="8" w:space="0"/>
              <w:right w:val="single" w:color="000000" w:sz="8" w:space="0"/>
            </w:tcBorders>
            <w:noWrap w:val="0"/>
            <w:vAlign w:val="center"/>
          </w:tcPr>
          <w:p w14:paraId="7B805516">
            <w:pPr>
              <w:widowControl/>
              <w:jc w:val="center"/>
              <w:rPr>
                <w:rFonts w:ascii="宋体" w:hAnsi="宋体" w:cs="宋体"/>
                <w:color w:val="auto"/>
                <w:kern w:val="0"/>
                <w:sz w:val="20"/>
                <w:szCs w:val="20"/>
              </w:rPr>
            </w:pPr>
            <w:r>
              <w:rPr>
                <w:rFonts w:hint="eastAsia" w:ascii="宋体" w:hAnsi="宋体" w:cs="宋体"/>
                <w:color w:val="auto"/>
                <w:kern w:val="0"/>
                <w:sz w:val="20"/>
                <w:szCs w:val="20"/>
              </w:rPr>
              <w:t>★A020609镇流器</w:t>
            </w:r>
          </w:p>
        </w:tc>
        <w:tc>
          <w:tcPr>
            <w:tcW w:w="1516" w:type="dxa"/>
            <w:tcBorders>
              <w:top w:val="single" w:color="auto" w:sz="4" w:space="0"/>
              <w:left w:val="nil"/>
              <w:bottom w:val="single" w:color="000000" w:sz="8" w:space="0"/>
              <w:right w:val="single" w:color="000000" w:sz="8" w:space="0"/>
            </w:tcBorders>
            <w:noWrap w:val="0"/>
            <w:vAlign w:val="center"/>
          </w:tcPr>
          <w:p w14:paraId="5714A2ED">
            <w:pPr>
              <w:widowControl/>
              <w:jc w:val="center"/>
              <w:rPr>
                <w:rFonts w:ascii="宋体" w:hAnsi="宋体" w:cs="宋体"/>
                <w:color w:val="auto"/>
                <w:kern w:val="0"/>
                <w:sz w:val="20"/>
                <w:szCs w:val="20"/>
              </w:rPr>
            </w:pPr>
            <w:r>
              <w:rPr>
                <w:rFonts w:hint="eastAsia" w:ascii="宋体" w:hAnsi="宋体" w:cs="宋体"/>
                <w:color w:val="auto"/>
                <w:kern w:val="0"/>
                <w:sz w:val="20"/>
                <w:szCs w:val="20"/>
              </w:rPr>
              <w:t>管型荧光灯镇流器</w:t>
            </w:r>
          </w:p>
        </w:tc>
        <w:tc>
          <w:tcPr>
            <w:tcW w:w="1612" w:type="dxa"/>
            <w:tcBorders>
              <w:top w:val="single" w:color="auto" w:sz="4" w:space="0"/>
              <w:left w:val="nil"/>
              <w:bottom w:val="single" w:color="000000" w:sz="8" w:space="0"/>
              <w:right w:val="single" w:color="000000" w:sz="8" w:space="0"/>
            </w:tcBorders>
            <w:noWrap w:val="0"/>
            <w:vAlign w:val="center"/>
          </w:tcPr>
          <w:p w14:paraId="1337843B">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nil"/>
              <w:bottom w:val="single" w:color="000000" w:sz="8" w:space="0"/>
              <w:right w:val="single" w:color="000000" w:sz="8" w:space="0"/>
            </w:tcBorders>
            <w:noWrap w:val="0"/>
            <w:vAlign w:val="center"/>
          </w:tcPr>
          <w:p w14:paraId="7349BDA6">
            <w:pPr>
              <w:widowControl/>
              <w:jc w:val="left"/>
              <w:rPr>
                <w:rFonts w:ascii="宋体" w:hAnsi="宋体" w:cs="宋体"/>
                <w:color w:val="auto"/>
                <w:kern w:val="0"/>
                <w:sz w:val="20"/>
                <w:szCs w:val="20"/>
              </w:rPr>
            </w:pPr>
            <w:r>
              <w:rPr>
                <w:rFonts w:hint="eastAsia" w:ascii="宋体" w:hAnsi="宋体" w:cs="宋体"/>
                <w:color w:val="auto"/>
                <w:kern w:val="0"/>
                <w:sz w:val="20"/>
                <w:szCs w:val="20"/>
              </w:rPr>
              <w:t>《管形荧光灯镇流器能效限定值及能效等级》（GB17896）</w:t>
            </w:r>
          </w:p>
        </w:tc>
      </w:tr>
      <w:tr w14:paraId="103CEA46">
        <w:tblPrEx>
          <w:tblCellMar>
            <w:top w:w="0" w:type="dxa"/>
            <w:left w:w="108" w:type="dxa"/>
            <w:bottom w:w="0" w:type="dxa"/>
            <w:right w:w="108" w:type="dxa"/>
          </w:tblCellMar>
        </w:tblPrEx>
        <w:trPr>
          <w:trHeight w:val="495" w:hRule="atLeast"/>
        </w:trPr>
        <w:tc>
          <w:tcPr>
            <w:tcW w:w="879" w:type="dxa"/>
            <w:vMerge w:val="restart"/>
            <w:tcBorders>
              <w:top w:val="nil"/>
              <w:left w:val="single" w:color="000000" w:sz="8" w:space="0"/>
              <w:bottom w:val="single" w:color="000000" w:sz="8" w:space="0"/>
              <w:right w:val="single" w:color="000000" w:sz="8" w:space="0"/>
            </w:tcBorders>
            <w:noWrap w:val="0"/>
            <w:vAlign w:val="center"/>
          </w:tcPr>
          <w:p w14:paraId="63C5E9C2">
            <w:pPr>
              <w:widowControl/>
              <w:jc w:val="center"/>
              <w:rPr>
                <w:rFonts w:ascii="宋体" w:hAnsi="宋体" w:cs="宋体"/>
                <w:color w:val="auto"/>
                <w:kern w:val="0"/>
                <w:sz w:val="20"/>
                <w:szCs w:val="20"/>
              </w:rPr>
            </w:pPr>
            <w:r>
              <w:rPr>
                <w:rFonts w:hint="eastAsia" w:ascii="宋体" w:hAnsi="宋体" w:cs="宋体"/>
                <w:color w:val="auto"/>
                <w:kern w:val="0"/>
                <w:sz w:val="20"/>
                <w:szCs w:val="20"/>
              </w:rPr>
              <w:t>10</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3EDA636">
            <w:pPr>
              <w:widowControl/>
              <w:jc w:val="center"/>
              <w:rPr>
                <w:rFonts w:ascii="宋体" w:hAnsi="宋体" w:cs="宋体"/>
                <w:color w:val="auto"/>
                <w:kern w:val="0"/>
                <w:sz w:val="20"/>
                <w:szCs w:val="20"/>
              </w:rPr>
            </w:pPr>
            <w:r>
              <w:rPr>
                <w:rFonts w:hint="eastAsia" w:ascii="宋体" w:hAnsi="宋体" w:cs="宋体"/>
                <w:color w:val="auto"/>
                <w:kern w:val="0"/>
                <w:sz w:val="20"/>
                <w:szCs w:val="20"/>
              </w:rPr>
              <w:t>A020618生活用电器</w:t>
            </w:r>
          </w:p>
        </w:tc>
        <w:tc>
          <w:tcPr>
            <w:tcW w:w="1516" w:type="dxa"/>
            <w:tcBorders>
              <w:top w:val="nil"/>
              <w:left w:val="nil"/>
              <w:bottom w:val="single" w:color="000000" w:sz="8" w:space="0"/>
              <w:right w:val="single" w:color="000000" w:sz="8" w:space="0"/>
            </w:tcBorders>
            <w:noWrap w:val="0"/>
            <w:vAlign w:val="center"/>
          </w:tcPr>
          <w:p w14:paraId="336FFB89">
            <w:pPr>
              <w:widowControl/>
              <w:jc w:val="center"/>
              <w:rPr>
                <w:rFonts w:ascii="宋体" w:hAnsi="宋体" w:cs="宋体"/>
                <w:color w:val="auto"/>
                <w:kern w:val="0"/>
                <w:sz w:val="20"/>
                <w:szCs w:val="20"/>
              </w:rPr>
            </w:pPr>
            <w:r>
              <w:rPr>
                <w:rFonts w:hint="eastAsia" w:ascii="宋体" w:hAnsi="宋体" w:cs="宋体"/>
                <w:color w:val="auto"/>
                <w:kern w:val="0"/>
                <w:sz w:val="20"/>
                <w:szCs w:val="20"/>
              </w:rPr>
              <w:t>A0206180101电冰箱</w:t>
            </w:r>
          </w:p>
        </w:tc>
        <w:tc>
          <w:tcPr>
            <w:tcW w:w="1612" w:type="dxa"/>
            <w:tcBorders>
              <w:top w:val="nil"/>
              <w:left w:val="nil"/>
              <w:bottom w:val="single" w:color="000000" w:sz="8" w:space="0"/>
              <w:right w:val="single" w:color="000000" w:sz="8" w:space="0"/>
            </w:tcBorders>
            <w:noWrap w:val="0"/>
            <w:vAlign w:val="center"/>
          </w:tcPr>
          <w:p w14:paraId="0030DA51">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000000" w:sz="8" w:space="0"/>
              <w:right w:val="single" w:color="000000" w:sz="8" w:space="0"/>
            </w:tcBorders>
            <w:noWrap w:val="0"/>
            <w:vAlign w:val="center"/>
          </w:tcPr>
          <w:p w14:paraId="430A576E">
            <w:pPr>
              <w:widowControl/>
              <w:jc w:val="left"/>
              <w:rPr>
                <w:rFonts w:ascii="宋体" w:hAnsi="宋体" w:cs="宋体"/>
                <w:color w:val="auto"/>
                <w:kern w:val="0"/>
                <w:sz w:val="20"/>
                <w:szCs w:val="20"/>
              </w:rPr>
            </w:pPr>
            <w:r>
              <w:rPr>
                <w:rFonts w:hint="eastAsia" w:ascii="宋体" w:hAnsi="宋体" w:cs="宋体"/>
                <w:color w:val="auto"/>
                <w:kern w:val="0"/>
                <w:sz w:val="20"/>
                <w:szCs w:val="20"/>
              </w:rPr>
              <w:t>《家用电冰箱耗电量限定值及能效等级》（GB 12021.2）</w:t>
            </w:r>
          </w:p>
        </w:tc>
      </w:tr>
      <w:tr w14:paraId="74DADC46">
        <w:tblPrEx>
          <w:tblCellMar>
            <w:top w:w="0" w:type="dxa"/>
            <w:left w:w="108" w:type="dxa"/>
            <w:bottom w:w="0" w:type="dxa"/>
            <w:right w:w="108" w:type="dxa"/>
          </w:tblCellMar>
        </w:tblPrEx>
        <w:trPr>
          <w:trHeight w:val="97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192992A7">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0EFE019">
            <w:pPr>
              <w:widowControl/>
              <w:jc w:val="left"/>
              <w:rPr>
                <w:rFonts w:ascii="宋体" w:hAnsi="宋体" w:cs="宋体"/>
                <w:color w:val="auto"/>
                <w:kern w:val="0"/>
                <w:sz w:val="20"/>
                <w:szCs w:val="20"/>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4322DF47">
            <w:pPr>
              <w:widowControl/>
              <w:jc w:val="center"/>
              <w:rPr>
                <w:rFonts w:ascii="宋体" w:hAnsi="宋体" w:cs="宋体"/>
                <w:color w:val="auto"/>
                <w:kern w:val="0"/>
                <w:sz w:val="20"/>
                <w:szCs w:val="20"/>
              </w:rPr>
            </w:pPr>
            <w:r>
              <w:rPr>
                <w:rFonts w:hint="eastAsia" w:ascii="宋体" w:hAnsi="宋体" w:cs="宋体"/>
                <w:color w:val="auto"/>
                <w:kern w:val="0"/>
                <w:sz w:val="20"/>
                <w:szCs w:val="20"/>
              </w:rPr>
              <w:t>★A0206180203空调机</w:t>
            </w:r>
          </w:p>
        </w:tc>
        <w:tc>
          <w:tcPr>
            <w:tcW w:w="1612" w:type="dxa"/>
            <w:tcBorders>
              <w:top w:val="nil"/>
              <w:left w:val="nil"/>
              <w:bottom w:val="single" w:color="000000" w:sz="8" w:space="0"/>
              <w:right w:val="single" w:color="000000" w:sz="8" w:space="0"/>
            </w:tcBorders>
            <w:noWrap w:val="0"/>
            <w:vAlign w:val="center"/>
          </w:tcPr>
          <w:p w14:paraId="5D7878AF">
            <w:pPr>
              <w:widowControl/>
              <w:jc w:val="center"/>
              <w:rPr>
                <w:rFonts w:ascii="宋体" w:hAnsi="宋体" w:cs="宋体"/>
                <w:color w:val="auto"/>
                <w:kern w:val="0"/>
                <w:sz w:val="20"/>
                <w:szCs w:val="20"/>
              </w:rPr>
            </w:pPr>
            <w:r>
              <w:rPr>
                <w:rFonts w:hint="eastAsia" w:ascii="宋体" w:hAnsi="宋体" w:cs="宋体"/>
                <w:color w:val="auto"/>
                <w:kern w:val="0"/>
                <w:sz w:val="20"/>
                <w:szCs w:val="20"/>
              </w:rPr>
              <w:t>房间空气调节器</w:t>
            </w:r>
          </w:p>
        </w:tc>
        <w:tc>
          <w:tcPr>
            <w:tcW w:w="4335" w:type="dxa"/>
            <w:tcBorders>
              <w:top w:val="nil"/>
              <w:left w:val="nil"/>
              <w:bottom w:val="single" w:color="000000" w:sz="8" w:space="0"/>
              <w:right w:val="single" w:color="000000" w:sz="8" w:space="0"/>
            </w:tcBorders>
            <w:noWrap w:val="0"/>
            <w:vAlign w:val="center"/>
          </w:tcPr>
          <w:p w14:paraId="68F08DCB">
            <w:pPr>
              <w:widowControl/>
              <w:jc w:val="left"/>
              <w:rPr>
                <w:rFonts w:ascii="宋体" w:hAnsi="宋体" w:cs="宋体"/>
                <w:color w:val="auto"/>
                <w:kern w:val="0"/>
                <w:sz w:val="20"/>
                <w:szCs w:val="20"/>
              </w:rPr>
            </w:pPr>
            <w:r>
              <w:rPr>
                <w:rFonts w:hint="eastAsia" w:ascii="宋体" w:hAnsi="宋体" w:cs="宋体"/>
                <w:color w:val="auto"/>
                <w:kern w:val="0"/>
                <w:sz w:val="20"/>
                <w:szCs w:val="20"/>
              </w:rPr>
              <w:t>《转速可控型房间空气调节器能效限定值及能效等级》（GB21455-2013），待2019年修订发布后，按《房间空气调节器能效限定值及能效等级》（GB21455-2019实施。</w:t>
            </w:r>
          </w:p>
        </w:tc>
      </w:tr>
      <w:tr w14:paraId="53D4F6F6">
        <w:tblPrEx>
          <w:tblCellMar>
            <w:top w:w="0" w:type="dxa"/>
            <w:left w:w="108" w:type="dxa"/>
            <w:bottom w:w="0" w:type="dxa"/>
            <w:right w:w="108" w:type="dxa"/>
          </w:tblCellMar>
        </w:tblPrEx>
        <w:trPr>
          <w:trHeight w:val="73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3493E4BA">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9E00B32">
            <w:pPr>
              <w:widowControl/>
              <w:jc w:val="left"/>
              <w:rPr>
                <w:rFonts w:ascii="宋体" w:hAnsi="宋体"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0D954BEB">
            <w:pPr>
              <w:widowControl/>
              <w:jc w:val="left"/>
              <w:rPr>
                <w:rFonts w:ascii="宋体" w:hAnsi="宋体" w:cs="宋体"/>
                <w:color w:val="auto"/>
                <w:kern w:val="0"/>
                <w:sz w:val="20"/>
                <w:szCs w:val="20"/>
              </w:rPr>
            </w:pPr>
          </w:p>
        </w:tc>
        <w:tc>
          <w:tcPr>
            <w:tcW w:w="1612" w:type="dxa"/>
            <w:tcBorders>
              <w:top w:val="nil"/>
              <w:left w:val="nil"/>
              <w:bottom w:val="single" w:color="000000" w:sz="8" w:space="0"/>
              <w:right w:val="single" w:color="000000" w:sz="8" w:space="0"/>
            </w:tcBorders>
            <w:noWrap w:val="0"/>
            <w:vAlign w:val="center"/>
          </w:tcPr>
          <w:p w14:paraId="1A47C24C">
            <w:pPr>
              <w:widowControl/>
              <w:jc w:val="center"/>
              <w:rPr>
                <w:rFonts w:ascii="宋体" w:hAnsi="宋体" w:cs="宋体"/>
                <w:color w:val="auto"/>
                <w:kern w:val="0"/>
                <w:sz w:val="20"/>
                <w:szCs w:val="20"/>
              </w:rPr>
            </w:pPr>
            <w:r>
              <w:rPr>
                <w:rFonts w:hint="eastAsia" w:ascii="宋体" w:hAnsi="宋体" w:cs="宋体"/>
                <w:color w:val="auto"/>
                <w:kern w:val="0"/>
                <w:sz w:val="20"/>
                <w:szCs w:val="20"/>
              </w:rPr>
              <w:t>多联式空调（热泵）机组（制冷量≤ 14000W）</w:t>
            </w:r>
          </w:p>
        </w:tc>
        <w:tc>
          <w:tcPr>
            <w:tcW w:w="4335" w:type="dxa"/>
            <w:tcBorders>
              <w:top w:val="nil"/>
              <w:left w:val="nil"/>
              <w:bottom w:val="single" w:color="000000" w:sz="8" w:space="0"/>
              <w:right w:val="single" w:color="000000" w:sz="8" w:space="0"/>
            </w:tcBorders>
            <w:noWrap w:val="0"/>
            <w:vAlign w:val="center"/>
          </w:tcPr>
          <w:p w14:paraId="21134B24">
            <w:pPr>
              <w:widowControl/>
              <w:jc w:val="left"/>
              <w:rPr>
                <w:rFonts w:ascii="宋体" w:hAnsi="宋体" w:cs="宋体"/>
                <w:color w:val="auto"/>
                <w:kern w:val="0"/>
                <w:sz w:val="20"/>
                <w:szCs w:val="20"/>
              </w:rPr>
            </w:pPr>
            <w:r>
              <w:rPr>
                <w:rFonts w:hint="eastAsia" w:ascii="宋体" w:hAnsi="宋体" w:cs="宋体"/>
                <w:color w:val="auto"/>
                <w:kern w:val="0"/>
                <w:sz w:val="20"/>
                <w:szCs w:val="20"/>
              </w:rPr>
              <w:t>《多联式空调（热泵）机组能效限定值及能源效率等级》（GB21454）</w:t>
            </w:r>
          </w:p>
        </w:tc>
      </w:tr>
      <w:tr w14:paraId="35362390">
        <w:tblPrEx>
          <w:tblCellMar>
            <w:top w:w="0" w:type="dxa"/>
            <w:left w:w="108" w:type="dxa"/>
            <w:bottom w:w="0" w:type="dxa"/>
            <w:right w:w="108" w:type="dxa"/>
          </w:tblCellMar>
        </w:tblPrEx>
        <w:trPr>
          <w:trHeight w:val="73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7EE36370">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0F4A22B">
            <w:pPr>
              <w:widowControl/>
              <w:jc w:val="left"/>
              <w:rPr>
                <w:rFonts w:ascii="宋体" w:hAnsi="宋体"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408FCC8F">
            <w:pPr>
              <w:widowControl/>
              <w:jc w:val="left"/>
              <w:rPr>
                <w:rFonts w:ascii="宋体" w:hAnsi="宋体" w:cs="宋体"/>
                <w:color w:val="auto"/>
                <w:kern w:val="0"/>
                <w:sz w:val="20"/>
                <w:szCs w:val="20"/>
              </w:rPr>
            </w:pPr>
          </w:p>
        </w:tc>
        <w:tc>
          <w:tcPr>
            <w:tcW w:w="1612" w:type="dxa"/>
            <w:tcBorders>
              <w:top w:val="nil"/>
              <w:left w:val="nil"/>
              <w:bottom w:val="single" w:color="000000" w:sz="8" w:space="0"/>
              <w:right w:val="single" w:color="000000" w:sz="8" w:space="0"/>
            </w:tcBorders>
            <w:noWrap w:val="0"/>
            <w:vAlign w:val="center"/>
          </w:tcPr>
          <w:p w14:paraId="485D4C61">
            <w:pPr>
              <w:widowControl/>
              <w:jc w:val="center"/>
              <w:rPr>
                <w:rFonts w:ascii="宋体" w:hAnsi="宋体" w:cs="宋体"/>
                <w:color w:val="auto"/>
                <w:kern w:val="0"/>
                <w:sz w:val="20"/>
                <w:szCs w:val="20"/>
              </w:rPr>
            </w:pPr>
            <w:r>
              <w:rPr>
                <w:rFonts w:hint="eastAsia" w:ascii="宋体" w:hAnsi="宋体" w:cs="宋体"/>
                <w:color w:val="auto"/>
                <w:kern w:val="0"/>
                <w:sz w:val="20"/>
                <w:szCs w:val="20"/>
              </w:rPr>
              <w:t>单元式空气调节机(制冷量≤14000W)</w:t>
            </w:r>
          </w:p>
        </w:tc>
        <w:tc>
          <w:tcPr>
            <w:tcW w:w="4335" w:type="dxa"/>
            <w:tcBorders>
              <w:top w:val="nil"/>
              <w:left w:val="nil"/>
              <w:bottom w:val="single" w:color="000000" w:sz="8" w:space="0"/>
              <w:right w:val="single" w:color="000000" w:sz="8" w:space="0"/>
            </w:tcBorders>
            <w:noWrap w:val="0"/>
            <w:vAlign w:val="center"/>
          </w:tcPr>
          <w:p w14:paraId="3CAFBEED">
            <w:pPr>
              <w:widowControl/>
              <w:jc w:val="left"/>
              <w:rPr>
                <w:rFonts w:ascii="宋体" w:hAnsi="宋体" w:cs="宋体"/>
                <w:color w:val="auto"/>
                <w:kern w:val="0"/>
                <w:sz w:val="20"/>
                <w:szCs w:val="20"/>
              </w:rPr>
            </w:pPr>
            <w:r>
              <w:rPr>
                <w:rFonts w:hint="eastAsia" w:ascii="宋体" w:hAnsi="宋体" w:cs="宋体"/>
                <w:color w:val="auto"/>
                <w:kern w:val="0"/>
                <w:sz w:val="20"/>
                <w:szCs w:val="20"/>
              </w:rPr>
              <w:t>《单元式空气调节机能效限定值及能源效率等级》（GB19576）《风管送风式空调机组能效限定值及能效等级》（GB37479）</w:t>
            </w:r>
          </w:p>
        </w:tc>
      </w:tr>
      <w:tr w14:paraId="28FD000D">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7E358D3F">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F59B337">
            <w:pPr>
              <w:widowControl/>
              <w:jc w:val="left"/>
              <w:rPr>
                <w:rFonts w:ascii="宋体" w:hAnsi="宋体" w:cs="宋体"/>
                <w:color w:val="auto"/>
                <w:kern w:val="0"/>
                <w:sz w:val="20"/>
                <w:szCs w:val="20"/>
              </w:rPr>
            </w:pPr>
          </w:p>
        </w:tc>
        <w:tc>
          <w:tcPr>
            <w:tcW w:w="1516" w:type="dxa"/>
            <w:tcBorders>
              <w:top w:val="nil"/>
              <w:left w:val="nil"/>
              <w:bottom w:val="single" w:color="000000" w:sz="8" w:space="0"/>
              <w:right w:val="single" w:color="000000" w:sz="8" w:space="0"/>
            </w:tcBorders>
            <w:noWrap w:val="0"/>
            <w:vAlign w:val="center"/>
          </w:tcPr>
          <w:p w14:paraId="4DE4F0DD">
            <w:pPr>
              <w:widowControl/>
              <w:jc w:val="center"/>
              <w:rPr>
                <w:rFonts w:ascii="宋体" w:hAnsi="宋体" w:cs="宋体"/>
                <w:color w:val="auto"/>
                <w:kern w:val="0"/>
                <w:sz w:val="20"/>
                <w:szCs w:val="20"/>
              </w:rPr>
            </w:pPr>
            <w:r>
              <w:rPr>
                <w:rFonts w:hint="eastAsia" w:ascii="宋体" w:hAnsi="宋体" w:cs="宋体"/>
                <w:color w:val="auto"/>
                <w:kern w:val="0"/>
                <w:sz w:val="20"/>
                <w:szCs w:val="20"/>
              </w:rPr>
              <w:t>A0206180301洗衣机</w:t>
            </w:r>
          </w:p>
        </w:tc>
        <w:tc>
          <w:tcPr>
            <w:tcW w:w="1612" w:type="dxa"/>
            <w:tcBorders>
              <w:top w:val="nil"/>
              <w:left w:val="nil"/>
              <w:bottom w:val="single" w:color="000000" w:sz="8" w:space="0"/>
              <w:right w:val="single" w:color="000000" w:sz="8" w:space="0"/>
            </w:tcBorders>
            <w:noWrap w:val="0"/>
            <w:vAlign w:val="center"/>
          </w:tcPr>
          <w:p w14:paraId="3FA0E49D">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000000" w:sz="8" w:space="0"/>
              <w:right w:val="single" w:color="000000" w:sz="8" w:space="0"/>
            </w:tcBorders>
            <w:noWrap w:val="0"/>
            <w:vAlign w:val="center"/>
          </w:tcPr>
          <w:p w14:paraId="52AEB372">
            <w:pPr>
              <w:widowControl/>
              <w:jc w:val="left"/>
              <w:rPr>
                <w:rFonts w:ascii="宋体" w:hAnsi="宋体" w:cs="宋体"/>
                <w:color w:val="auto"/>
                <w:kern w:val="0"/>
                <w:sz w:val="20"/>
                <w:szCs w:val="20"/>
              </w:rPr>
            </w:pPr>
            <w:r>
              <w:rPr>
                <w:rFonts w:hint="eastAsia" w:ascii="宋体" w:hAnsi="宋体" w:cs="宋体"/>
                <w:color w:val="auto"/>
                <w:kern w:val="0"/>
                <w:sz w:val="20"/>
                <w:szCs w:val="20"/>
              </w:rPr>
              <w:t>《电动洗衣机能效水效限定值及等级》（GB12021.4）</w:t>
            </w:r>
          </w:p>
        </w:tc>
      </w:tr>
      <w:tr w14:paraId="300EC1DC">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208766A3">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B311596">
            <w:pPr>
              <w:widowControl/>
              <w:jc w:val="left"/>
              <w:rPr>
                <w:rFonts w:ascii="宋体" w:hAnsi="宋体" w:cs="宋体"/>
                <w:color w:val="auto"/>
                <w:kern w:val="0"/>
                <w:sz w:val="20"/>
                <w:szCs w:val="20"/>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25E25438">
            <w:pPr>
              <w:widowControl/>
              <w:jc w:val="center"/>
              <w:rPr>
                <w:rFonts w:ascii="宋体" w:hAnsi="宋体" w:cs="宋体"/>
                <w:color w:val="auto"/>
                <w:kern w:val="0"/>
                <w:sz w:val="20"/>
                <w:szCs w:val="20"/>
              </w:rPr>
            </w:pPr>
            <w:r>
              <w:rPr>
                <w:rFonts w:hint="eastAsia" w:ascii="宋体" w:hAnsi="宋体" w:cs="宋体"/>
                <w:color w:val="auto"/>
                <w:kern w:val="0"/>
                <w:sz w:val="20"/>
                <w:szCs w:val="20"/>
              </w:rPr>
              <w:t>A02061808热水器</w:t>
            </w:r>
          </w:p>
        </w:tc>
        <w:tc>
          <w:tcPr>
            <w:tcW w:w="1612" w:type="dxa"/>
            <w:tcBorders>
              <w:top w:val="nil"/>
              <w:left w:val="nil"/>
              <w:bottom w:val="single" w:color="000000" w:sz="8" w:space="0"/>
              <w:right w:val="single" w:color="000000" w:sz="8" w:space="0"/>
            </w:tcBorders>
            <w:noWrap w:val="0"/>
            <w:vAlign w:val="center"/>
          </w:tcPr>
          <w:p w14:paraId="0BB9CBD8">
            <w:pPr>
              <w:widowControl/>
              <w:jc w:val="center"/>
              <w:rPr>
                <w:rFonts w:ascii="宋体" w:hAnsi="宋体" w:cs="宋体"/>
                <w:color w:val="auto"/>
                <w:kern w:val="0"/>
                <w:sz w:val="20"/>
                <w:szCs w:val="20"/>
              </w:rPr>
            </w:pPr>
            <w:r>
              <w:rPr>
                <w:rFonts w:hint="eastAsia" w:ascii="宋体" w:hAnsi="宋体" w:cs="宋体"/>
                <w:color w:val="auto"/>
                <w:kern w:val="0"/>
                <w:sz w:val="20"/>
                <w:szCs w:val="20"/>
              </w:rPr>
              <w:t>★电热水器</w:t>
            </w:r>
          </w:p>
        </w:tc>
        <w:tc>
          <w:tcPr>
            <w:tcW w:w="4335" w:type="dxa"/>
            <w:tcBorders>
              <w:top w:val="nil"/>
              <w:left w:val="nil"/>
              <w:bottom w:val="single" w:color="000000" w:sz="8" w:space="0"/>
              <w:right w:val="single" w:color="000000" w:sz="8" w:space="0"/>
            </w:tcBorders>
            <w:noWrap w:val="0"/>
            <w:vAlign w:val="center"/>
          </w:tcPr>
          <w:p w14:paraId="36C04D99">
            <w:pPr>
              <w:widowControl/>
              <w:jc w:val="left"/>
              <w:rPr>
                <w:rFonts w:ascii="宋体" w:hAnsi="宋体" w:cs="宋体"/>
                <w:color w:val="auto"/>
                <w:kern w:val="0"/>
                <w:sz w:val="20"/>
                <w:szCs w:val="20"/>
              </w:rPr>
            </w:pPr>
            <w:r>
              <w:rPr>
                <w:rFonts w:hint="eastAsia" w:ascii="宋体" w:hAnsi="宋体" w:cs="宋体"/>
                <w:color w:val="auto"/>
                <w:kern w:val="0"/>
                <w:sz w:val="20"/>
                <w:szCs w:val="20"/>
              </w:rPr>
              <w:t>《储水式电热水器能效限定值及能效等级》（GB21519）</w:t>
            </w:r>
          </w:p>
        </w:tc>
      </w:tr>
      <w:tr w14:paraId="6E449E7A">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1F4D1220">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7EC85C9">
            <w:pPr>
              <w:widowControl/>
              <w:jc w:val="left"/>
              <w:rPr>
                <w:rFonts w:ascii="宋体" w:hAnsi="宋体"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2F6A6F80">
            <w:pPr>
              <w:widowControl/>
              <w:jc w:val="left"/>
              <w:rPr>
                <w:rFonts w:ascii="宋体" w:hAnsi="宋体" w:cs="宋体"/>
                <w:color w:val="auto"/>
                <w:kern w:val="0"/>
                <w:sz w:val="20"/>
                <w:szCs w:val="20"/>
              </w:rPr>
            </w:pPr>
          </w:p>
        </w:tc>
        <w:tc>
          <w:tcPr>
            <w:tcW w:w="1612" w:type="dxa"/>
            <w:tcBorders>
              <w:top w:val="nil"/>
              <w:left w:val="nil"/>
              <w:bottom w:val="single" w:color="000000" w:sz="8" w:space="0"/>
              <w:right w:val="single" w:color="000000" w:sz="8" w:space="0"/>
            </w:tcBorders>
            <w:noWrap w:val="0"/>
            <w:vAlign w:val="center"/>
          </w:tcPr>
          <w:p w14:paraId="3A1B1A4C">
            <w:pPr>
              <w:widowControl/>
              <w:jc w:val="center"/>
              <w:rPr>
                <w:rFonts w:ascii="宋体" w:hAnsi="宋体" w:cs="宋体"/>
                <w:color w:val="auto"/>
                <w:kern w:val="0"/>
                <w:sz w:val="20"/>
                <w:szCs w:val="20"/>
              </w:rPr>
            </w:pPr>
            <w:r>
              <w:rPr>
                <w:rFonts w:hint="eastAsia" w:ascii="宋体" w:hAnsi="宋体" w:cs="宋体"/>
                <w:color w:val="auto"/>
                <w:kern w:val="0"/>
                <w:sz w:val="20"/>
                <w:szCs w:val="20"/>
              </w:rPr>
              <w:t>燃气热水器</w:t>
            </w:r>
          </w:p>
        </w:tc>
        <w:tc>
          <w:tcPr>
            <w:tcW w:w="4335" w:type="dxa"/>
            <w:tcBorders>
              <w:top w:val="nil"/>
              <w:left w:val="nil"/>
              <w:bottom w:val="single" w:color="000000" w:sz="8" w:space="0"/>
              <w:right w:val="single" w:color="000000" w:sz="8" w:space="0"/>
            </w:tcBorders>
            <w:noWrap w:val="0"/>
            <w:vAlign w:val="center"/>
          </w:tcPr>
          <w:p w14:paraId="3B08A97C">
            <w:pPr>
              <w:widowControl/>
              <w:jc w:val="left"/>
              <w:rPr>
                <w:rFonts w:ascii="宋体" w:hAnsi="宋体" w:cs="宋体"/>
                <w:color w:val="auto"/>
                <w:kern w:val="0"/>
                <w:sz w:val="20"/>
                <w:szCs w:val="20"/>
              </w:rPr>
            </w:pPr>
            <w:r>
              <w:rPr>
                <w:rFonts w:hint="eastAsia" w:ascii="宋体" w:hAnsi="宋体" w:cs="宋体"/>
                <w:color w:val="auto"/>
                <w:kern w:val="0"/>
                <w:sz w:val="20"/>
                <w:szCs w:val="20"/>
              </w:rPr>
              <w:t>《家用燃气快速热水器和燃气采暖热水炉能效限定值及能效等级》（GB20665）</w:t>
            </w:r>
          </w:p>
        </w:tc>
      </w:tr>
      <w:tr w14:paraId="5005D53A">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000000" w:sz="8" w:space="0"/>
              <w:right w:val="single" w:color="000000" w:sz="8" w:space="0"/>
            </w:tcBorders>
            <w:noWrap w:val="0"/>
            <w:vAlign w:val="center"/>
          </w:tcPr>
          <w:p w14:paraId="1A2478F1">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029D466">
            <w:pPr>
              <w:widowControl/>
              <w:jc w:val="left"/>
              <w:rPr>
                <w:rFonts w:ascii="宋体" w:hAnsi="宋体" w:cs="宋体"/>
                <w:color w:val="auto"/>
                <w:kern w:val="0"/>
                <w:sz w:val="20"/>
                <w:szCs w:val="20"/>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51D3222">
            <w:pPr>
              <w:widowControl/>
              <w:jc w:val="left"/>
              <w:rPr>
                <w:rFonts w:ascii="宋体" w:hAnsi="宋体" w:cs="宋体"/>
                <w:color w:val="auto"/>
                <w:kern w:val="0"/>
                <w:sz w:val="20"/>
                <w:szCs w:val="20"/>
              </w:rPr>
            </w:pPr>
          </w:p>
        </w:tc>
        <w:tc>
          <w:tcPr>
            <w:tcW w:w="1612" w:type="dxa"/>
            <w:tcBorders>
              <w:top w:val="nil"/>
              <w:left w:val="nil"/>
              <w:bottom w:val="single" w:color="000000" w:sz="8" w:space="0"/>
              <w:right w:val="single" w:color="000000" w:sz="8" w:space="0"/>
            </w:tcBorders>
            <w:noWrap w:val="0"/>
            <w:vAlign w:val="center"/>
          </w:tcPr>
          <w:p w14:paraId="62B26202">
            <w:pPr>
              <w:widowControl/>
              <w:jc w:val="center"/>
              <w:rPr>
                <w:rFonts w:ascii="宋体" w:hAnsi="宋体" w:cs="宋体"/>
                <w:color w:val="auto"/>
                <w:kern w:val="0"/>
                <w:sz w:val="20"/>
                <w:szCs w:val="20"/>
              </w:rPr>
            </w:pPr>
            <w:r>
              <w:rPr>
                <w:rFonts w:hint="eastAsia" w:ascii="宋体" w:hAnsi="宋体" w:cs="宋体"/>
                <w:color w:val="auto"/>
                <w:kern w:val="0"/>
                <w:sz w:val="20"/>
                <w:szCs w:val="20"/>
              </w:rPr>
              <w:t>热泵热水器</w:t>
            </w:r>
          </w:p>
        </w:tc>
        <w:tc>
          <w:tcPr>
            <w:tcW w:w="4335" w:type="dxa"/>
            <w:tcBorders>
              <w:top w:val="nil"/>
              <w:left w:val="nil"/>
              <w:bottom w:val="single" w:color="000000" w:sz="8" w:space="0"/>
              <w:right w:val="single" w:color="000000" w:sz="8" w:space="0"/>
            </w:tcBorders>
            <w:noWrap w:val="0"/>
            <w:vAlign w:val="center"/>
          </w:tcPr>
          <w:p w14:paraId="206F18EB">
            <w:pPr>
              <w:widowControl/>
              <w:jc w:val="left"/>
              <w:rPr>
                <w:rFonts w:ascii="宋体" w:hAnsi="宋体" w:cs="宋体"/>
                <w:color w:val="auto"/>
                <w:kern w:val="0"/>
                <w:sz w:val="20"/>
                <w:szCs w:val="20"/>
              </w:rPr>
            </w:pPr>
            <w:r>
              <w:rPr>
                <w:rFonts w:hint="eastAsia" w:ascii="宋体" w:hAnsi="宋体" w:cs="宋体"/>
                <w:color w:val="auto"/>
                <w:kern w:val="0"/>
                <w:sz w:val="20"/>
                <w:szCs w:val="20"/>
              </w:rPr>
              <w:t>《热泵热水机（器）能效限定值及能效等级》（GB29541）</w:t>
            </w:r>
          </w:p>
        </w:tc>
      </w:tr>
      <w:tr w14:paraId="30549E6C">
        <w:tblPrEx>
          <w:tblCellMar>
            <w:top w:w="0" w:type="dxa"/>
            <w:left w:w="108" w:type="dxa"/>
            <w:bottom w:w="0" w:type="dxa"/>
            <w:right w:w="108" w:type="dxa"/>
          </w:tblCellMar>
        </w:tblPrEx>
        <w:trPr>
          <w:trHeight w:val="495" w:hRule="atLeast"/>
        </w:trPr>
        <w:tc>
          <w:tcPr>
            <w:tcW w:w="879" w:type="dxa"/>
            <w:vMerge w:val="continue"/>
            <w:tcBorders>
              <w:top w:val="nil"/>
              <w:left w:val="single" w:color="000000" w:sz="8" w:space="0"/>
              <w:bottom w:val="single" w:color="auto" w:sz="4" w:space="0"/>
              <w:right w:val="single" w:color="000000" w:sz="8" w:space="0"/>
            </w:tcBorders>
            <w:noWrap w:val="0"/>
            <w:vAlign w:val="center"/>
          </w:tcPr>
          <w:p w14:paraId="34D9B4E2">
            <w:pPr>
              <w:widowControl/>
              <w:jc w:val="left"/>
              <w:rPr>
                <w:rFonts w:ascii="宋体" w:hAnsi="宋体" w:cs="宋体"/>
                <w:color w:val="auto"/>
                <w:kern w:val="0"/>
                <w:sz w:val="20"/>
                <w:szCs w:val="20"/>
              </w:rPr>
            </w:pPr>
          </w:p>
        </w:tc>
        <w:tc>
          <w:tcPr>
            <w:tcW w:w="1116" w:type="dxa"/>
            <w:vMerge w:val="continue"/>
            <w:tcBorders>
              <w:top w:val="nil"/>
              <w:left w:val="single" w:color="000000" w:sz="8" w:space="0"/>
              <w:bottom w:val="single" w:color="auto" w:sz="4" w:space="0"/>
              <w:right w:val="single" w:color="000000" w:sz="8" w:space="0"/>
            </w:tcBorders>
            <w:noWrap w:val="0"/>
            <w:vAlign w:val="center"/>
          </w:tcPr>
          <w:p w14:paraId="7FD68F51">
            <w:pPr>
              <w:widowControl/>
              <w:jc w:val="left"/>
              <w:rPr>
                <w:rFonts w:ascii="宋体" w:hAnsi="宋体" w:cs="宋体"/>
                <w:color w:val="auto"/>
                <w:kern w:val="0"/>
                <w:sz w:val="20"/>
                <w:szCs w:val="20"/>
              </w:rPr>
            </w:pPr>
          </w:p>
        </w:tc>
        <w:tc>
          <w:tcPr>
            <w:tcW w:w="1516" w:type="dxa"/>
            <w:vMerge w:val="continue"/>
            <w:tcBorders>
              <w:top w:val="nil"/>
              <w:left w:val="single" w:color="000000" w:sz="8" w:space="0"/>
              <w:bottom w:val="single" w:color="auto" w:sz="4" w:space="0"/>
              <w:right w:val="single" w:color="000000" w:sz="8" w:space="0"/>
            </w:tcBorders>
            <w:noWrap w:val="0"/>
            <w:vAlign w:val="center"/>
          </w:tcPr>
          <w:p w14:paraId="029F21FE">
            <w:pPr>
              <w:widowControl/>
              <w:jc w:val="left"/>
              <w:rPr>
                <w:rFonts w:ascii="宋体" w:hAnsi="宋体" w:cs="宋体"/>
                <w:color w:val="auto"/>
                <w:kern w:val="0"/>
                <w:sz w:val="20"/>
                <w:szCs w:val="20"/>
              </w:rPr>
            </w:pPr>
          </w:p>
        </w:tc>
        <w:tc>
          <w:tcPr>
            <w:tcW w:w="1612" w:type="dxa"/>
            <w:tcBorders>
              <w:top w:val="nil"/>
              <w:left w:val="nil"/>
              <w:bottom w:val="single" w:color="auto" w:sz="4" w:space="0"/>
              <w:right w:val="single" w:color="000000" w:sz="8" w:space="0"/>
            </w:tcBorders>
            <w:noWrap w:val="0"/>
            <w:vAlign w:val="center"/>
          </w:tcPr>
          <w:p w14:paraId="765A0F20">
            <w:pPr>
              <w:widowControl/>
              <w:jc w:val="center"/>
              <w:rPr>
                <w:rFonts w:ascii="宋体" w:hAnsi="宋体" w:cs="宋体"/>
                <w:color w:val="auto"/>
                <w:kern w:val="0"/>
                <w:sz w:val="20"/>
                <w:szCs w:val="20"/>
              </w:rPr>
            </w:pPr>
            <w:r>
              <w:rPr>
                <w:rFonts w:hint="eastAsia" w:ascii="宋体" w:hAnsi="宋体" w:cs="宋体"/>
                <w:color w:val="auto"/>
                <w:kern w:val="0"/>
                <w:sz w:val="20"/>
                <w:szCs w:val="20"/>
              </w:rPr>
              <w:t>太阳能热水系统</w:t>
            </w:r>
          </w:p>
        </w:tc>
        <w:tc>
          <w:tcPr>
            <w:tcW w:w="4335" w:type="dxa"/>
            <w:tcBorders>
              <w:top w:val="nil"/>
              <w:left w:val="nil"/>
              <w:bottom w:val="single" w:color="auto" w:sz="4" w:space="0"/>
              <w:right w:val="single" w:color="000000" w:sz="8" w:space="0"/>
            </w:tcBorders>
            <w:noWrap w:val="0"/>
            <w:vAlign w:val="center"/>
          </w:tcPr>
          <w:p w14:paraId="49A22708">
            <w:pPr>
              <w:widowControl/>
              <w:jc w:val="left"/>
              <w:rPr>
                <w:rFonts w:ascii="宋体" w:hAnsi="宋体" w:cs="宋体"/>
                <w:color w:val="auto"/>
                <w:kern w:val="0"/>
                <w:sz w:val="20"/>
                <w:szCs w:val="20"/>
              </w:rPr>
            </w:pPr>
            <w:r>
              <w:rPr>
                <w:rFonts w:hint="eastAsia" w:ascii="宋体" w:hAnsi="宋体" w:cs="宋体"/>
                <w:color w:val="auto"/>
                <w:kern w:val="0"/>
                <w:sz w:val="20"/>
                <w:szCs w:val="20"/>
              </w:rPr>
              <w:t>《家用太阳能热水系统能效限定值及能效等级》（GB26969）</w:t>
            </w:r>
          </w:p>
        </w:tc>
      </w:tr>
      <w:tr w14:paraId="0807EF67">
        <w:tblPrEx>
          <w:tblCellMar>
            <w:top w:w="0" w:type="dxa"/>
            <w:left w:w="108" w:type="dxa"/>
            <w:bottom w:w="0" w:type="dxa"/>
            <w:right w:w="108" w:type="dxa"/>
          </w:tblCellMar>
        </w:tblPrEx>
        <w:trPr>
          <w:trHeight w:val="495" w:hRule="atLeast"/>
        </w:trPr>
        <w:tc>
          <w:tcPr>
            <w:tcW w:w="879" w:type="dxa"/>
            <w:vMerge w:val="restart"/>
            <w:tcBorders>
              <w:top w:val="single" w:color="auto" w:sz="4" w:space="0"/>
              <w:left w:val="single" w:color="auto" w:sz="4" w:space="0"/>
              <w:bottom w:val="single" w:color="auto" w:sz="4" w:space="0"/>
              <w:right w:val="single" w:color="auto" w:sz="4" w:space="0"/>
            </w:tcBorders>
            <w:noWrap w:val="0"/>
            <w:vAlign w:val="center"/>
          </w:tcPr>
          <w:p w14:paraId="31DDC860">
            <w:pPr>
              <w:widowControl/>
              <w:jc w:val="center"/>
              <w:rPr>
                <w:rFonts w:ascii="宋体" w:hAnsi="宋体" w:cs="宋体"/>
                <w:color w:val="auto"/>
                <w:kern w:val="0"/>
                <w:sz w:val="20"/>
                <w:szCs w:val="20"/>
              </w:rPr>
            </w:pPr>
            <w:r>
              <w:rPr>
                <w:rFonts w:hint="eastAsia" w:ascii="宋体" w:hAnsi="宋体" w:cs="宋体"/>
                <w:color w:val="auto"/>
                <w:kern w:val="0"/>
                <w:sz w:val="20"/>
                <w:szCs w:val="20"/>
              </w:rPr>
              <w:t>11</w:t>
            </w:r>
          </w:p>
        </w:tc>
        <w:tc>
          <w:tcPr>
            <w:tcW w:w="1116" w:type="dxa"/>
            <w:vMerge w:val="restart"/>
            <w:tcBorders>
              <w:top w:val="single" w:color="auto" w:sz="4" w:space="0"/>
              <w:left w:val="single" w:color="auto" w:sz="4" w:space="0"/>
              <w:bottom w:val="single" w:color="auto" w:sz="4" w:space="0"/>
              <w:right w:val="single" w:color="auto" w:sz="4" w:space="0"/>
            </w:tcBorders>
            <w:noWrap w:val="0"/>
            <w:vAlign w:val="center"/>
          </w:tcPr>
          <w:p w14:paraId="61784EF6">
            <w:pPr>
              <w:widowControl/>
              <w:jc w:val="center"/>
              <w:rPr>
                <w:rFonts w:ascii="宋体" w:hAnsi="宋体" w:cs="宋体"/>
                <w:color w:val="auto"/>
                <w:kern w:val="0"/>
                <w:sz w:val="20"/>
                <w:szCs w:val="20"/>
              </w:rPr>
            </w:pPr>
            <w:r>
              <w:rPr>
                <w:rFonts w:hint="eastAsia" w:ascii="宋体" w:hAnsi="宋体" w:cs="宋体"/>
                <w:color w:val="auto"/>
                <w:kern w:val="0"/>
                <w:sz w:val="20"/>
                <w:szCs w:val="20"/>
              </w:rPr>
              <w:t>A020619照明设备</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6B45D289">
            <w:pPr>
              <w:widowControl/>
              <w:jc w:val="center"/>
              <w:rPr>
                <w:rFonts w:ascii="宋体" w:hAnsi="宋体" w:cs="宋体"/>
                <w:color w:val="auto"/>
                <w:kern w:val="0"/>
                <w:sz w:val="20"/>
                <w:szCs w:val="20"/>
              </w:rPr>
            </w:pPr>
            <w:r>
              <w:rPr>
                <w:rFonts w:hint="eastAsia" w:ascii="宋体" w:hAnsi="宋体" w:cs="宋体"/>
                <w:color w:val="auto"/>
                <w:kern w:val="0"/>
                <w:sz w:val="20"/>
                <w:szCs w:val="20"/>
              </w:rPr>
              <w:t>★普通照明用双端荧光灯</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7C91F6E5">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77CFF7D3">
            <w:pPr>
              <w:widowControl/>
              <w:jc w:val="left"/>
              <w:rPr>
                <w:rFonts w:ascii="宋体" w:hAnsi="宋体" w:cs="宋体"/>
                <w:color w:val="auto"/>
                <w:kern w:val="0"/>
                <w:sz w:val="20"/>
                <w:szCs w:val="20"/>
              </w:rPr>
            </w:pPr>
            <w:r>
              <w:rPr>
                <w:rFonts w:hint="eastAsia" w:ascii="宋体" w:hAnsi="宋体" w:cs="宋体"/>
                <w:color w:val="auto"/>
                <w:kern w:val="0"/>
                <w:sz w:val="20"/>
                <w:szCs w:val="20"/>
              </w:rPr>
              <w:t>《普通照明用双端荧光灯能效限定值及能效等级》（GB19043）</w:t>
            </w:r>
          </w:p>
        </w:tc>
      </w:tr>
      <w:tr w14:paraId="2AF0F68B">
        <w:tblPrEx>
          <w:tblCellMar>
            <w:top w:w="0" w:type="dxa"/>
            <w:left w:w="108" w:type="dxa"/>
            <w:bottom w:w="0" w:type="dxa"/>
            <w:right w:w="108" w:type="dxa"/>
          </w:tblCellMar>
        </w:tblPrEx>
        <w:trPr>
          <w:trHeight w:val="49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3C5C1258">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77B02AED">
            <w:pPr>
              <w:widowControl/>
              <w:jc w:val="left"/>
              <w:rPr>
                <w:rFonts w:ascii="宋体" w:hAnsi="宋体" w:cs="宋体"/>
                <w:color w:val="auto"/>
                <w:kern w:val="0"/>
                <w:sz w:val="20"/>
                <w:szCs w:val="20"/>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7BDCB33">
            <w:pPr>
              <w:widowControl/>
              <w:jc w:val="center"/>
              <w:rPr>
                <w:rFonts w:ascii="宋体" w:hAnsi="宋体" w:cs="宋体"/>
                <w:color w:val="auto"/>
                <w:kern w:val="0"/>
                <w:sz w:val="20"/>
                <w:szCs w:val="20"/>
              </w:rPr>
            </w:pPr>
            <w:r>
              <w:rPr>
                <w:rFonts w:hint="eastAsia" w:ascii="宋体" w:hAnsi="宋体" w:cs="宋体"/>
                <w:color w:val="auto"/>
                <w:kern w:val="0"/>
                <w:sz w:val="20"/>
                <w:szCs w:val="20"/>
              </w:rPr>
              <w:t>LED道路/隧道照明产品</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5E576C20">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11194EEC">
            <w:pPr>
              <w:widowControl/>
              <w:jc w:val="left"/>
              <w:rPr>
                <w:rFonts w:ascii="宋体" w:hAnsi="宋体" w:cs="宋体"/>
                <w:color w:val="auto"/>
                <w:kern w:val="0"/>
                <w:sz w:val="20"/>
                <w:szCs w:val="20"/>
              </w:rPr>
            </w:pPr>
            <w:r>
              <w:rPr>
                <w:rFonts w:hint="eastAsia" w:ascii="宋体" w:hAnsi="宋体" w:cs="宋体"/>
                <w:color w:val="auto"/>
                <w:kern w:val="0"/>
                <w:sz w:val="20"/>
                <w:szCs w:val="20"/>
              </w:rPr>
              <w:t>《道路和隧道照明用LED灯具能效限定值及能效等级》（GB37478）</w:t>
            </w:r>
          </w:p>
        </w:tc>
      </w:tr>
      <w:tr w14:paraId="14530476">
        <w:tblPrEx>
          <w:tblCellMar>
            <w:top w:w="0" w:type="dxa"/>
            <w:left w:w="108" w:type="dxa"/>
            <w:bottom w:w="0" w:type="dxa"/>
            <w:right w:w="108" w:type="dxa"/>
          </w:tblCellMar>
        </w:tblPrEx>
        <w:trPr>
          <w:trHeight w:val="49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31E6449E">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0F0A4EA2">
            <w:pPr>
              <w:widowControl/>
              <w:jc w:val="left"/>
              <w:rPr>
                <w:rFonts w:ascii="宋体" w:hAnsi="宋体" w:cs="宋体"/>
                <w:color w:val="auto"/>
                <w:kern w:val="0"/>
                <w:sz w:val="20"/>
                <w:szCs w:val="20"/>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F1CFA64">
            <w:pPr>
              <w:widowControl/>
              <w:jc w:val="center"/>
              <w:rPr>
                <w:rFonts w:ascii="宋体" w:hAnsi="宋体" w:cs="宋体"/>
                <w:color w:val="auto"/>
                <w:kern w:val="0"/>
                <w:sz w:val="20"/>
                <w:szCs w:val="20"/>
              </w:rPr>
            </w:pPr>
            <w:r>
              <w:rPr>
                <w:rFonts w:hint="eastAsia" w:ascii="宋体" w:hAnsi="宋体" w:cs="宋体"/>
                <w:color w:val="auto"/>
                <w:kern w:val="0"/>
                <w:sz w:val="20"/>
                <w:szCs w:val="20"/>
              </w:rPr>
              <w:t>LED筒灯</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0C1FB6A6">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7ECD0295">
            <w:pPr>
              <w:widowControl/>
              <w:jc w:val="left"/>
              <w:rPr>
                <w:rFonts w:ascii="宋体" w:hAnsi="宋体" w:cs="宋体"/>
                <w:color w:val="auto"/>
                <w:kern w:val="0"/>
                <w:sz w:val="20"/>
                <w:szCs w:val="20"/>
              </w:rPr>
            </w:pPr>
            <w:r>
              <w:rPr>
                <w:rFonts w:hint="eastAsia" w:ascii="宋体" w:hAnsi="宋体" w:cs="宋体"/>
                <w:color w:val="auto"/>
                <w:kern w:val="0"/>
                <w:sz w:val="20"/>
                <w:szCs w:val="20"/>
              </w:rPr>
              <w:t>《室内照明用LED产品能效限定值及能效等级》（GB30255）</w:t>
            </w:r>
          </w:p>
        </w:tc>
      </w:tr>
      <w:tr w14:paraId="0CA84B68">
        <w:tblPrEx>
          <w:tblCellMar>
            <w:top w:w="0" w:type="dxa"/>
            <w:left w:w="108" w:type="dxa"/>
            <w:bottom w:w="0" w:type="dxa"/>
            <w:right w:w="108" w:type="dxa"/>
          </w:tblCellMar>
        </w:tblPrEx>
        <w:trPr>
          <w:trHeight w:val="735" w:hRule="atLeast"/>
        </w:trPr>
        <w:tc>
          <w:tcPr>
            <w:tcW w:w="879" w:type="dxa"/>
            <w:vMerge w:val="continue"/>
            <w:tcBorders>
              <w:top w:val="single" w:color="auto" w:sz="4" w:space="0"/>
              <w:left w:val="single" w:color="auto" w:sz="4" w:space="0"/>
              <w:bottom w:val="single" w:color="auto" w:sz="4" w:space="0"/>
              <w:right w:val="single" w:color="auto" w:sz="4" w:space="0"/>
            </w:tcBorders>
            <w:noWrap w:val="0"/>
            <w:vAlign w:val="center"/>
          </w:tcPr>
          <w:p w14:paraId="51EAD8A3">
            <w:pPr>
              <w:widowControl/>
              <w:jc w:val="left"/>
              <w:rPr>
                <w:rFonts w:ascii="宋体" w:hAnsi="宋体" w:cs="宋体"/>
                <w:color w:val="auto"/>
                <w:kern w:val="0"/>
                <w:sz w:val="20"/>
                <w:szCs w:val="20"/>
              </w:rPr>
            </w:pPr>
          </w:p>
        </w:tc>
        <w:tc>
          <w:tcPr>
            <w:tcW w:w="1116" w:type="dxa"/>
            <w:vMerge w:val="continue"/>
            <w:tcBorders>
              <w:top w:val="single" w:color="auto" w:sz="4" w:space="0"/>
              <w:left w:val="single" w:color="auto" w:sz="4" w:space="0"/>
              <w:bottom w:val="single" w:color="auto" w:sz="4" w:space="0"/>
              <w:right w:val="single" w:color="auto" w:sz="4" w:space="0"/>
            </w:tcBorders>
            <w:noWrap w:val="0"/>
            <w:vAlign w:val="center"/>
          </w:tcPr>
          <w:p w14:paraId="4160CAC2">
            <w:pPr>
              <w:widowControl/>
              <w:jc w:val="left"/>
              <w:rPr>
                <w:rFonts w:ascii="宋体" w:hAnsi="宋体" w:cs="宋体"/>
                <w:color w:val="auto"/>
                <w:kern w:val="0"/>
                <w:sz w:val="20"/>
                <w:szCs w:val="20"/>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528E64F">
            <w:pPr>
              <w:widowControl/>
              <w:jc w:val="center"/>
              <w:rPr>
                <w:rFonts w:ascii="宋体" w:hAnsi="宋体" w:cs="宋体"/>
                <w:color w:val="auto"/>
                <w:kern w:val="0"/>
                <w:sz w:val="20"/>
                <w:szCs w:val="20"/>
              </w:rPr>
            </w:pPr>
            <w:r>
              <w:rPr>
                <w:rFonts w:hint="eastAsia" w:ascii="宋体" w:hAnsi="宋体" w:cs="宋体"/>
                <w:color w:val="auto"/>
                <w:kern w:val="0"/>
                <w:sz w:val="20"/>
                <w:szCs w:val="20"/>
              </w:rPr>
              <w:t>普通照明用非定向自镇流LED灯</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3AA92912">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32068C2F">
            <w:pPr>
              <w:widowControl/>
              <w:jc w:val="left"/>
              <w:rPr>
                <w:rFonts w:ascii="宋体" w:hAnsi="宋体" w:cs="宋体"/>
                <w:color w:val="auto"/>
                <w:kern w:val="0"/>
                <w:sz w:val="20"/>
                <w:szCs w:val="20"/>
              </w:rPr>
            </w:pPr>
            <w:r>
              <w:rPr>
                <w:rFonts w:hint="eastAsia" w:ascii="宋体" w:hAnsi="宋体" w:cs="宋体"/>
                <w:color w:val="auto"/>
                <w:kern w:val="0"/>
                <w:sz w:val="20"/>
                <w:szCs w:val="20"/>
              </w:rPr>
              <w:t>《室内照明用LED产品能效限定值及能效等级》（GB30255）</w:t>
            </w:r>
          </w:p>
        </w:tc>
      </w:tr>
      <w:tr w14:paraId="4BD4058E">
        <w:tblPrEx>
          <w:tblCellMar>
            <w:top w:w="0" w:type="dxa"/>
            <w:left w:w="108" w:type="dxa"/>
            <w:bottom w:w="0" w:type="dxa"/>
            <w:right w:w="108" w:type="dxa"/>
          </w:tblCellMar>
        </w:tblPrEx>
        <w:trPr>
          <w:trHeight w:val="735" w:hRule="atLeast"/>
        </w:trPr>
        <w:tc>
          <w:tcPr>
            <w:tcW w:w="879" w:type="dxa"/>
            <w:tcBorders>
              <w:top w:val="single" w:color="auto" w:sz="4" w:space="0"/>
              <w:left w:val="single" w:color="auto" w:sz="4" w:space="0"/>
              <w:bottom w:val="single" w:color="auto" w:sz="4" w:space="0"/>
              <w:right w:val="single" w:color="auto" w:sz="4" w:space="0"/>
            </w:tcBorders>
            <w:noWrap w:val="0"/>
            <w:vAlign w:val="center"/>
          </w:tcPr>
          <w:p w14:paraId="491C70FD">
            <w:pPr>
              <w:widowControl/>
              <w:jc w:val="center"/>
              <w:rPr>
                <w:rFonts w:ascii="宋体" w:hAnsi="宋体" w:cs="宋体"/>
                <w:color w:val="auto"/>
                <w:kern w:val="0"/>
                <w:sz w:val="20"/>
                <w:szCs w:val="20"/>
              </w:rPr>
            </w:pPr>
            <w:r>
              <w:rPr>
                <w:rFonts w:hint="eastAsia" w:ascii="宋体" w:hAnsi="宋体" w:cs="宋体"/>
                <w:color w:val="auto"/>
                <w:kern w:val="0"/>
                <w:sz w:val="20"/>
                <w:szCs w:val="20"/>
              </w:rPr>
              <w:t>12</w:t>
            </w:r>
          </w:p>
        </w:tc>
        <w:tc>
          <w:tcPr>
            <w:tcW w:w="1116" w:type="dxa"/>
            <w:tcBorders>
              <w:top w:val="single" w:color="auto" w:sz="4" w:space="0"/>
              <w:left w:val="single" w:color="auto" w:sz="4" w:space="0"/>
              <w:bottom w:val="single" w:color="auto" w:sz="4" w:space="0"/>
              <w:right w:val="single" w:color="auto" w:sz="4" w:space="0"/>
            </w:tcBorders>
            <w:noWrap w:val="0"/>
            <w:vAlign w:val="center"/>
          </w:tcPr>
          <w:p w14:paraId="5A828F4D">
            <w:pPr>
              <w:widowControl/>
              <w:jc w:val="center"/>
              <w:rPr>
                <w:rFonts w:ascii="宋体" w:hAnsi="宋体" w:cs="宋体"/>
                <w:color w:val="auto"/>
                <w:kern w:val="0"/>
                <w:sz w:val="20"/>
                <w:szCs w:val="20"/>
              </w:rPr>
            </w:pPr>
            <w:r>
              <w:rPr>
                <w:rFonts w:hint="eastAsia" w:ascii="宋体" w:hAnsi="宋体" w:cs="宋体"/>
                <w:color w:val="auto"/>
                <w:kern w:val="0"/>
                <w:sz w:val="20"/>
                <w:szCs w:val="20"/>
              </w:rPr>
              <w:t>★A020910电视设备</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C5F9D63">
            <w:pPr>
              <w:widowControl/>
              <w:jc w:val="center"/>
              <w:rPr>
                <w:rFonts w:ascii="宋体" w:hAnsi="宋体" w:cs="宋体"/>
                <w:color w:val="auto"/>
                <w:kern w:val="0"/>
                <w:sz w:val="20"/>
                <w:szCs w:val="20"/>
              </w:rPr>
            </w:pPr>
            <w:r>
              <w:rPr>
                <w:rFonts w:hint="eastAsia" w:ascii="宋体" w:hAnsi="宋体" w:cs="宋体"/>
                <w:color w:val="auto"/>
                <w:kern w:val="0"/>
                <w:sz w:val="20"/>
                <w:szCs w:val="20"/>
              </w:rPr>
              <w:t>A02091001普通电视设备（电视机）</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46130DF0">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22F6CAE5">
            <w:pPr>
              <w:widowControl/>
              <w:jc w:val="left"/>
              <w:rPr>
                <w:rFonts w:ascii="宋体" w:hAnsi="宋体" w:cs="宋体"/>
                <w:color w:val="auto"/>
                <w:kern w:val="0"/>
                <w:sz w:val="20"/>
                <w:szCs w:val="20"/>
              </w:rPr>
            </w:pPr>
            <w:r>
              <w:rPr>
                <w:rFonts w:hint="eastAsia" w:ascii="宋体" w:hAnsi="宋体" w:cs="宋体"/>
                <w:color w:val="auto"/>
                <w:kern w:val="0"/>
                <w:sz w:val="20"/>
                <w:szCs w:val="20"/>
              </w:rPr>
              <w:t>《平板电视能效限定值及能效等级》（GB24850）</w:t>
            </w:r>
          </w:p>
        </w:tc>
      </w:tr>
      <w:tr w14:paraId="493BE4C5">
        <w:tblPrEx>
          <w:tblCellMar>
            <w:top w:w="0" w:type="dxa"/>
            <w:left w:w="108" w:type="dxa"/>
            <w:bottom w:w="0" w:type="dxa"/>
            <w:right w:w="108" w:type="dxa"/>
          </w:tblCellMar>
        </w:tblPrEx>
        <w:trPr>
          <w:trHeight w:val="975" w:hRule="atLeast"/>
        </w:trPr>
        <w:tc>
          <w:tcPr>
            <w:tcW w:w="879" w:type="dxa"/>
            <w:tcBorders>
              <w:top w:val="single" w:color="auto" w:sz="4" w:space="0"/>
              <w:left w:val="single" w:color="auto" w:sz="8" w:space="0"/>
              <w:bottom w:val="single" w:color="auto" w:sz="8" w:space="0"/>
              <w:right w:val="single" w:color="auto" w:sz="8" w:space="0"/>
            </w:tcBorders>
            <w:noWrap w:val="0"/>
            <w:vAlign w:val="center"/>
          </w:tcPr>
          <w:p w14:paraId="6A5C4B99">
            <w:pPr>
              <w:widowControl/>
              <w:jc w:val="center"/>
              <w:rPr>
                <w:rFonts w:ascii="宋体" w:hAnsi="宋体" w:cs="宋体"/>
                <w:color w:val="auto"/>
                <w:kern w:val="0"/>
                <w:sz w:val="20"/>
                <w:szCs w:val="20"/>
              </w:rPr>
            </w:pPr>
            <w:r>
              <w:rPr>
                <w:rFonts w:hint="eastAsia" w:ascii="宋体" w:hAnsi="宋体" w:cs="宋体"/>
                <w:color w:val="auto"/>
                <w:kern w:val="0"/>
                <w:sz w:val="20"/>
                <w:szCs w:val="20"/>
              </w:rPr>
              <w:t>13</w:t>
            </w:r>
          </w:p>
        </w:tc>
        <w:tc>
          <w:tcPr>
            <w:tcW w:w="1116" w:type="dxa"/>
            <w:tcBorders>
              <w:top w:val="single" w:color="auto" w:sz="4" w:space="0"/>
              <w:left w:val="nil"/>
              <w:bottom w:val="single" w:color="auto" w:sz="8" w:space="0"/>
              <w:right w:val="single" w:color="auto" w:sz="8" w:space="0"/>
            </w:tcBorders>
            <w:noWrap w:val="0"/>
            <w:vAlign w:val="center"/>
          </w:tcPr>
          <w:p w14:paraId="5ECCFB11">
            <w:pPr>
              <w:widowControl/>
              <w:jc w:val="center"/>
              <w:rPr>
                <w:rFonts w:ascii="宋体" w:hAnsi="宋体" w:cs="宋体"/>
                <w:color w:val="auto"/>
                <w:kern w:val="0"/>
                <w:sz w:val="20"/>
                <w:szCs w:val="20"/>
              </w:rPr>
            </w:pPr>
            <w:r>
              <w:rPr>
                <w:rFonts w:hint="eastAsia" w:ascii="宋体" w:hAnsi="宋体" w:cs="宋体"/>
                <w:color w:val="auto"/>
                <w:kern w:val="0"/>
                <w:sz w:val="20"/>
                <w:szCs w:val="20"/>
              </w:rPr>
              <w:t>★A020911视频设备</w:t>
            </w:r>
          </w:p>
        </w:tc>
        <w:tc>
          <w:tcPr>
            <w:tcW w:w="1516" w:type="dxa"/>
            <w:tcBorders>
              <w:top w:val="single" w:color="auto" w:sz="4" w:space="0"/>
              <w:left w:val="nil"/>
              <w:bottom w:val="single" w:color="auto" w:sz="8" w:space="0"/>
              <w:right w:val="single" w:color="auto" w:sz="8" w:space="0"/>
            </w:tcBorders>
            <w:noWrap w:val="0"/>
            <w:vAlign w:val="center"/>
          </w:tcPr>
          <w:p w14:paraId="0BAC5D71">
            <w:pPr>
              <w:widowControl/>
              <w:jc w:val="center"/>
              <w:rPr>
                <w:rFonts w:ascii="宋体" w:hAnsi="宋体" w:cs="宋体"/>
                <w:color w:val="auto"/>
                <w:kern w:val="0"/>
                <w:sz w:val="20"/>
                <w:szCs w:val="20"/>
              </w:rPr>
            </w:pPr>
            <w:r>
              <w:rPr>
                <w:rFonts w:hint="eastAsia" w:ascii="宋体" w:hAnsi="宋体" w:cs="宋体"/>
                <w:color w:val="auto"/>
                <w:kern w:val="0"/>
                <w:sz w:val="20"/>
                <w:szCs w:val="20"/>
              </w:rPr>
              <w:t>A02091107视频监控设备</w:t>
            </w:r>
          </w:p>
        </w:tc>
        <w:tc>
          <w:tcPr>
            <w:tcW w:w="1612" w:type="dxa"/>
            <w:tcBorders>
              <w:top w:val="single" w:color="auto" w:sz="4" w:space="0"/>
              <w:left w:val="nil"/>
              <w:bottom w:val="single" w:color="auto" w:sz="8" w:space="0"/>
              <w:right w:val="single" w:color="auto" w:sz="8" w:space="0"/>
            </w:tcBorders>
            <w:noWrap w:val="0"/>
            <w:vAlign w:val="center"/>
          </w:tcPr>
          <w:p w14:paraId="419AE0E3">
            <w:pPr>
              <w:widowControl/>
              <w:jc w:val="center"/>
              <w:rPr>
                <w:rFonts w:ascii="宋体" w:hAnsi="宋体" w:cs="宋体"/>
                <w:color w:val="auto"/>
                <w:kern w:val="0"/>
                <w:sz w:val="20"/>
                <w:szCs w:val="20"/>
              </w:rPr>
            </w:pPr>
            <w:r>
              <w:rPr>
                <w:rFonts w:hint="eastAsia" w:ascii="宋体" w:hAnsi="宋体" w:cs="宋体"/>
                <w:color w:val="auto"/>
                <w:kern w:val="0"/>
                <w:sz w:val="20"/>
                <w:szCs w:val="20"/>
              </w:rPr>
              <w:t>监视器</w:t>
            </w:r>
          </w:p>
        </w:tc>
        <w:tc>
          <w:tcPr>
            <w:tcW w:w="4335" w:type="dxa"/>
            <w:tcBorders>
              <w:top w:val="single" w:color="auto" w:sz="4" w:space="0"/>
              <w:left w:val="nil"/>
              <w:bottom w:val="single" w:color="auto" w:sz="8" w:space="0"/>
              <w:right w:val="single" w:color="auto" w:sz="8" w:space="0"/>
            </w:tcBorders>
            <w:noWrap w:val="0"/>
            <w:vAlign w:val="center"/>
          </w:tcPr>
          <w:p w14:paraId="2B650AAB">
            <w:pPr>
              <w:widowControl/>
              <w:jc w:val="left"/>
              <w:rPr>
                <w:rFonts w:ascii="宋体" w:hAnsi="宋体" w:cs="宋体"/>
                <w:color w:val="auto"/>
                <w:kern w:val="0"/>
                <w:sz w:val="20"/>
                <w:szCs w:val="20"/>
              </w:rPr>
            </w:pPr>
            <w:r>
              <w:rPr>
                <w:rFonts w:hint="eastAsia" w:ascii="宋体" w:hAnsi="宋体" w:cs="宋体"/>
                <w:color w:val="auto"/>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7A7A98F2">
        <w:tblPrEx>
          <w:tblCellMar>
            <w:top w:w="0" w:type="dxa"/>
            <w:left w:w="108" w:type="dxa"/>
            <w:bottom w:w="0" w:type="dxa"/>
            <w:right w:w="108" w:type="dxa"/>
          </w:tblCellMar>
        </w:tblPrEx>
        <w:trPr>
          <w:trHeight w:val="495" w:hRule="atLeast"/>
        </w:trPr>
        <w:tc>
          <w:tcPr>
            <w:tcW w:w="879" w:type="dxa"/>
            <w:tcBorders>
              <w:top w:val="nil"/>
              <w:left w:val="single" w:color="auto" w:sz="8" w:space="0"/>
              <w:bottom w:val="single" w:color="auto" w:sz="8" w:space="0"/>
              <w:right w:val="single" w:color="auto" w:sz="8" w:space="0"/>
            </w:tcBorders>
            <w:noWrap w:val="0"/>
            <w:vAlign w:val="center"/>
          </w:tcPr>
          <w:p w14:paraId="3EC472D8">
            <w:pPr>
              <w:widowControl/>
              <w:jc w:val="center"/>
              <w:rPr>
                <w:rFonts w:ascii="宋体" w:hAnsi="宋体" w:cs="宋体"/>
                <w:color w:val="auto"/>
                <w:kern w:val="0"/>
                <w:sz w:val="20"/>
                <w:szCs w:val="20"/>
              </w:rPr>
            </w:pPr>
            <w:r>
              <w:rPr>
                <w:rFonts w:hint="eastAsia" w:ascii="宋体" w:hAnsi="宋体" w:cs="宋体"/>
                <w:color w:val="auto"/>
                <w:kern w:val="0"/>
                <w:sz w:val="20"/>
                <w:szCs w:val="20"/>
              </w:rPr>
              <w:t>14</w:t>
            </w:r>
          </w:p>
        </w:tc>
        <w:tc>
          <w:tcPr>
            <w:tcW w:w="1116" w:type="dxa"/>
            <w:tcBorders>
              <w:top w:val="nil"/>
              <w:left w:val="nil"/>
              <w:bottom w:val="single" w:color="auto" w:sz="8" w:space="0"/>
              <w:right w:val="single" w:color="auto" w:sz="8" w:space="0"/>
            </w:tcBorders>
            <w:noWrap w:val="0"/>
            <w:vAlign w:val="center"/>
          </w:tcPr>
          <w:p w14:paraId="495C232A">
            <w:pPr>
              <w:widowControl/>
              <w:jc w:val="center"/>
              <w:rPr>
                <w:rFonts w:ascii="宋体" w:hAnsi="宋体" w:cs="宋体"/>
                <w:color w:val="auto"/>
                <w:kern w:val="0"/>
                <w:sz w:val="20"/>
                <w:szCs w:val="20"/>
              </w:rPr>
            </w:pPr>
            <w:r>
              <w:rPr>
                <w:rFonts w:hint="eastAsia" w:ascii="宋体" w:hAnsi="宋体" w:cs="宋体"/>
                <w:color w:val="auto"/>
                <w:kern w:val="0"/>
                <w:sz w:val="20"/>
                <w:szCs w:val="20"/>
              </w:rPr>
              <w:t>A031210饮食炊事机械</w:t>
            </w:r>
          </w:p>
        </w:tc>
        <w:tc>
          <w:tcPr>
            <w:tcW w:w="1516" w:type="dxa"/>
            <w:tcBorders>
              <w:top w:val="nil"/>
              <w:left w:val="nil"/>
              <w:bottom w:val="single" w:color="auto" w:sz="8" w:space="0"/>
              <w:right w:val="single" w:color="auto" w:sz="8" w:space="0"/>
            </w:tcBorders>
            <w:noWrap w:val="0"/>
            <w:vAlign w:val="center"/>
          </w:tcPr>
          <w:p w14:paraId="59091694">
            <w:pPr>
              <w:widowControl/>
              <w:jc w:val="center"/>
              <w:rPr>
                <w:rFonts w:ascii="宋体" w:hAnsi="宋体" w:cs="宋体"/>
                <w:color w:val="auto"/>
                <w:kern w:val="0"/>
                <w:sz w:val="20"/>
                <w:szCs w:val="20"/>
              </w:rPr>
            </w:pPr>
            <w:r>
              <w:rPr>
                <w:rFonts w:hint="eastAsia" w:ascii="宋体" w:hAnsi="宋体" w:cs="宋体"/>
                <w:color w:val="auto"/>
                <w:kern w:val="0"/>
                <w:sz w:val="20"/>
                <w:szCs w:val="20"/>
              </w:rPr>
              <w:t>商用燃气灶具</w:t>
            </w:r>
          </w:p>
        </w:tc>
        <w:tc>
          <w:tcPr>
            <w:tcW w:w="1612" w:type="dxa"/>
            <w:tcBorders>
              <w:top w:val="nil"/>
              <w:left w:val="nil"/>
              <w:bottom w:val="single" w:color="auto" w:sz="8" w:space="0"/>
              <w:right w:val="single" w:color="auto" w:sz="8" w:space="0"/>
            </w:tcBorders>
            <w:noWrap w:val="0"/>
            <w:vAlign w:val="center"/>
          </w:tcPr>
          <w:p w14:paraId="6AC4740A">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auto" w:sz="8" w:space="0"/>
              <w:right w:val="single" w:color="auto" w:sz="8" w:space="0"/>
            </w:tcBorders>
            <w:noWrap w:val="0"/>
            <w:vAlign w:val="center"/>
          </w:tcPr>
          <w:p w14:paraId="7087DE15">
            <w:pPr>
              <w:widowControl/>
              <w:jc w:val="left"/>
              <w:rPr>
                <w:rFonts w:ascii="宋体" w:hAnsi="宋体" w:cs="宋体"/>
                <w:color w:val="auto"/>
                <w:kern w:val="0"/>
                <w:sz w:val="20"/>
                <w:szCs w:val="20"/>
              </w:rPr>
            </w:pPr>
            <w:r>
              <w:rPr>
                <w:rFonts w:hint="eastAsia" w:ascii="宋体" w:hAnsi="宋体" w:cs="宋体"/>
                <w:color w:val="auto"/>
                <w:kern w:val="0"/>
                <w:sz w:val="20"/>
                <w:szCs w:val="20"/>
              </w:rPr>
              <w:t>《商用燃气灶具能效限定值及能效等级》（GB30531）</w:t>
            </w:r>
          </w:p>
        </w:tc>
      </w:tr>
      <w:tr w14:paraId="1161955D">
        <w:tblPrEx>
          <w:tblCellMar>
            <w:top w:w="0" w:type="dxa"/>
            <w:left w:w="108" w:type="dxa"/>
            <w:bottom w:w="0" w:type="dxa"/>
            <w:right w:w="108" w:type="dxa"/>
          </w:tblCellMar>
        </w:tblPrEx>
        <w:trPr>
          <w:trHeight w:val="285" w:hRule="atLeast"/>
        </w:trPr>
        <w:tc>
          <w:tcPr>
            <w:tcW w:w="879" w:type="dxa"/>
            <w:vMerge w:val="restart"/>
            <w:tcBorders>
              <w:top w:val="nil"/>
              <w:left w:val="single" w:color="auto" w:sz="8" w:space="0"/>
              <w:bottom w:val="single" w:color="auto" w:sz="8" w:space="0"/>
              <w:right w:val="single" w:color="auto" w:sz="8" w:space="0"/>
            </w:tcBorders>
            <w:noWrap w:val="0"/>
            <w:vAlign w:val="center"/>
          </w:tcPr>
          <w:p w14:paraId="6F50FD2A">
            <w:pPr>
              <w:widowControl/>
              <w:jc w:val="center"/>
              <w:rPr>
                <w:rFonts w:ascii="宋体" w:hAnsi="宋体" w:cs="宋体"/>
                <w:color w:val="auto"/>
                <w:kern w:val="0"/>
                <w:sz w:val="20"/>
                <w:szCs w:val="20"/>
              </w:rPr>
            </w:pPr>
            <w:r>
              <w:rPr>
                <w:rFonts w:hint="eastAsia" w:ascii="宋体" w:hAnsi="宋体" w:cs="宋体"/>
                <w:color w:val="auto"/>
                <w:kern w:val="0"/>
                <w:sz w:val="20"/>
                <w:szCs w:val="20"/>
              </w:rPr>
              <w:t>15</w:t>
            </w:r>
          </w:p>
        </w:tc>
        <w:tc>
          <w:tcPr>
            <w:tcW w:w="1116" w:type="dxa"/>
            <w:vMerge w:val="restart"/>
            <w:tcBorders>
              <w:top w:val="nil"/>
              <w:left w:val="single" w:color="auto" w:sz="8" w:space="0"/>
              <w:bottom w:val="single" w:color="000000" w:sz="8" w:space="0"/>
              <w:right w:val="single" w:color="auto" w:sz="8" w:space="0"/>
            </w:tcBorders>
            <w:noWrap w:val="0"/>
            <w:vAlign w:val="center"/>
          </w:tcPr>
          <w:p w14:paraId="0FCB7B57">
            <w:pPr>
              <w:widowControl/>
              <w:jc w:val="center"/>
              <w:rPr>
                <w:rFonts w:ascii="宋体" w:hAnsi="宋体" w:cs="宋体"/>
                <w:color w:val="auto"/>
                <w:kern w:val="0"/>
                <w:sz w:val="20"/>
                <w:szCs w:val="20"/>
              </w:rPr>
            </w:pPr>
            <w:r>
              <w:rPr>
                <w:rFonts w:hint="eastAsia" w:ascii="宋体" w:hAnsi="宋体" w:cs="宋体"/>
                <w:color w:val="auto"/>
                <w:kern w:val="0"/>
                <w:sz w:val="20"/>
                <w:szCs w:val="20"/>
              </w:rPr>
              <w:t>★A060805便器</w:t>
            </w:r>
          </w:p>
        </w:tc>
        <w:tc>
          <w:tcPr>
            <w:tcW w:w="1516" w:type="dxa"/>
            <w:tcBorders>
              <w:top w:val="nil"/>
              <w:left w:val="nil"/>
              <w:bottom w:val="single" w:color="auto" w:sz="8" w:space="0"/>
              <w:right w:val="single" w:color="auto" w:sz="8" w:space="0"/>
            </w:tcBorders>
            <w:noWrap w:val="0"/>
            <w:vAlign w:val="center"/>
          </w:tcPr>
          <w:p w14:paraId="3ECC9EA6">
            <w:pPr>
              <w:widowControl/>
              <w:jc w:val="center"/>
              <w:rPr>
                <w:rFonts w:ascii="宋体" w:hAnsi="宋体" w:cs="宋体"/>
                <w:color w:val="auto"/>
                <w:kern w:val="0"/>
                <w:sz w:val="20"/>
                <w:szCs w:val="20"/>
              </w:rPr>
            </w:pPr>
            <w:r>
              <w:rPr>
                <w:rFonts w:hint="eastAsia" w:ascii="宋体" w:hAnsi="宋体" w:cs="宋体"/>
                <w:color w:val="auto"/>
                <w:kern w:val="0"/>
                <w:sz w:val="20"/>
                <w:szCs w:val="20"/>
              </w:rPr>
              <w:t>坐便器</w:t>
            </w:r>
          </w:p>
        </w:tc>
        <w:tc>
          <w:tcPr>
            <w:tcW w:w="1612" w:type="dxa"/>
            <w:tcBorders>
              <w:top w:val="nil"/>
              <w:left w:val="nil"/>
              <w:bottom w:val="single" w:color="auto" w:sz="8" w:space="0"/>
              <w:right w:val="single" w:color="auto" w:sz="8" w:space="0"/>
            </w:tcBorders>
            <w:noWrap w:val="0"/>
            <w:vAlign w:val="center"/>
          </w:tcPr>
          <w:p w14:paraId="5B80A9C1">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auto" w:sz="8" w:space="0"/>
              <w:right w:val="single" w:color="auto" w:sz="8" w:space="0"/>
            </w:tcBorders>
            <w:noWrap w:val="0"/>
            <w:vAlign w:val="center"/>
          </w:tcPr>
          <w:p w14:paraId="22EA5E86">
            <w:pPr>
              <w:widowControl/>
              <w:jc w:val="left"/>
              <w:rPr>
                <w:rFonts w:ascii="宋体" w:hAnsi="宋体" w:cs="宋体"/>
                <w:color w:val="auto"/>
                <w:kern w:val="0"/>
                <w:sz w:val="20"/>
                <w:szCs w:val="20"/>
              </w:rPr>
            </w:pPr>
            <w:r>
              <w:rPr>
                <w:rFonts w:hint="eastAsia" w:ascii="宋体" w:hAnsi="宋体" w:cs="宋体"/>
                <w:color w:val="auto"/>
                <w:kern w:val="0"/>
                <w:sz w:val="20"/>
                <w:szCs w:val="20"/>
              </w:rPr>
              <w:t>《坐便器水效限定值及水效等级》（GB25502）</w:t>
            </w:r>
          </w:p>
        </w:tc>
      </w:tr>
      <w:tr w14:paraId="426D63DA">
        <w:tblPrEx>
          <w:tblCellMar>
            <w:top w:w="0" w:type="dxa"/>
            <w:left w:w="108" w:type="dxa"/>
            <w:bottom w:w="0" w:type="dxa"/>
            <w:right w:w="108" w:type="dxa"/>
          </w:tblCellMar>
        </w:tblPrEx>
        <w:trPr>
          <w:trHeight w:val="495" w:hRule="atLeast"/>
        </w:trPr>
        <w:tc>
          <w:tcPr>
            <w:tcW w:w="879" w:type="dxa"/>
            <w:vMerge w:val="continue"/>
            <w:tcBorders>
              <w:top w:val="nil"/>
              <w:left w:val="single" w:color="auto" w:sz="8" w:space="0"/>
              <w:bottom w:val="single" w:color="auto" w:sz="8" w:space="0"/>
              <w:right w:val="single" w:color="auto" w:sz="8" w:space="0"/>
            </w:tcBorders>
            <w:noWrap w:val="0"/>
            <w:vAlign w:val="center"/>
          </w:tcPr>
          <w:p w14:paraId="617A25B3">
            <w:pPr>
              <w:widowControl/>
              <w:jc w:val="left"/>
              <w:rPr>
                <w:rFonts w:ascii="宋体" w:hAnsi="宋体" w:cs="宋体"/>
                <w:color w:val="auto"/>
                <w:kern w:val="0"/>
                <w:sz w:val="20"/>
                <w:szCs w:val="20"/>
              </w:rPr>
            </w:pPr>
          </w:p>
        </w:tc>
        <w:tc>
          <w:tcPr>
            <w:tcW w:w="1116" w:type="dxa"/>
            <w:vMerge w:val="continue"/>
            <w:tcBorders>
              <w:top w:val="nil"/>
              <w:left w:val="single" w:color="auto" w:sz="8" w:space="0"/>
              <w:bottom w:val="single" w:color="000000" w:sz="8" w:space="0"/>
              <w:right w:val="single" w:color="auto" w:sz="8" w:space="0"/>
            </w:tcBorders>
            <w:noWrap w:val="0"/>
            <w:vAlign w:val="center"/>
          </w:tcPr>
          <w:p w14:paraId="4EFAAC7E">
            <w:pPr>
              <w:widowControl/>
              <w:jc w:val="left"/>
              <w:rPr>
                <w:rFonts w:ascii="宋体" w:hAnsi="宋体" w:cs="宋体"/>
                <w:color w:val="auto"/>
                <w:kern w:val="0"/>
                <w:sz w:val="20"/>
                <w:szCs w:val="20"/>
              </w:rPr>
            </w:pPr>
          </w:p>
        </w:tc>
        <w:tc>
          <w:tcPr>
            <w:tcW w:w="1516" w:type="dxa"/>
            <w:tcBorders>
              <w:top w:val="nil"/>
              <w:left w:val="nil"/>
              <w:bottom w:val="single" w:color="auto" w:sz="8" w:space="0"/>
              <w:right w:val="single" w:color="auto" w:sz="8" w:space="0"/>
            </w:tcBorders>
            <w:noWrap w:val="0"/>
            <w:vAlign w:val="center"/>
          </w:tcPr>
          <w:p w14:paraId="0F86E388">
            <w:pPr>
              <w:widowControl/>
              <w:jc w:val="center"/>
              <w:rPr>
                <w:rFonts w:ascii="宋体" w:hAnsi="宋体" w:cs="宋体"/>
                <w:color w:val="auto"/>
                <w:kern w:val="0"/>
                <w:sz w:val="20"/>
                <w:szCs w:val="20"/>
              </w:rPr>
            </w:pPr>
            <w:r>
              <w:rPr>
                <w:rFonts w:hint="eastAsia" w:ascii="宋体" w:hAnsi="宋体" w:cs="宋体"/>
                <w:color w:val="auto"/>
                <w:kern w:val="0"/>
                <w:sz w:val="20"/>
                <w:szCs w:val="20"/>
              </w:rPr>
              <w:t>蹲便器</w:t>
            </w:r>
          </w:p>
        </w:tc>
        <w:tc>
          <w:tcPr>
            <w:tcW w:w="1612" w:type="dxa"/>
            <w:tcBorders>
              <w:top w:val="nil"/>
              <w:left w:val="nil"/>
              <w:bottom w:val="single" w:color="auto" w:sz="8" w:space="0"/>
              <w:right w:val="single" w:color="auto" w:sz="8" w:space="0"/>
            </w:tcBorders>
            <w:noWrap w:val="0"/>
            <w:vAlign w:val="center"/>
          </w:tcPr>
          <w:p w14:paraId="7E317E41">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auto" w:sz="8" w:space="0"/>
              <w:right w:val="single" w:color="auto" w:sz="8" w:space="0"/>
            </w:tcBorders>
            <w:noWrap w:val="0"/>
            <w:vAlign w:val="center"/>
          </w:tcPr>
          <w:p w14:paraId="03E54C12">
            <w:pPr>
              <w:widowControl/>
              <w:jc w:val="left"/>
              <w:rPr>
                <w:rFonts w:ascii="宋体" w:hAnsi="宋体" w:cs="宋体"/>
                <w:color w:val="auto"/>
                <w:kern w:val="0"/>
                <w:sz w:val="20"/>
                <w:szCs w:val="20"/>
              </w:rPr>
            </w:pPr>
            <w:r>
              <w:rPr>
                <w:rFonts w:hint="eastAsia" w:ascii="宋体" w:hAnsi="宋体" w:cs="宋体"/>
                <w:color w:val="auto"/>
                <w:kern w:val="0"/>
                <w:sz w:val="20"/>
                <w:szCs w:val="20"/>
              </w:rPr>
              <w:t>《蹲便器用水效率限定值及用水效率等级》（GB30717）</w:t>
            </w:r>
          </w:p>
        </w:tc>
      </w:tr>
      <w:tr w14:paraId="5A65EF5A">
        <w:tblPrEx>
          <w:tblCellMar>
            <w:top w:w="0" w:type="dxa"/>
            <w:left w:w="108" w:type="dxa"/>
            <w:bottom w:w="0" w:type="dxa"/>
            <w:right w:w="108" w:type="dxa"/>
          </w:tblCellMar>
        </w:tblPrEx>
        <w:trPr>
          <w:trHeight w:val="495" w:hRule="atLeast"/>
        </w:trPr>
        <w:tc>
          <w:tcPr>
            <w:tcW w:w="879" w:type="dxa"/>
            <w:vMerge w:val="continue"/>
            <w:tcBorders>
              <w:top w:val="nil"/>
              <w:left w:val="single" w:color="auto" w:sz="8" w:space="0"/>
              <w:bottom w:val="single" w:color="auto" w:sz="8" w:space="0"/>
              <w:right w:val="single" w:color="auto" w:sz="8" w:space="0"/>
            </w:tcBorders>
            <w:noWrap w:val="0"/>
            <w:vAlign w:val="center"/>
          </w:tcPr>
          <w:p w14:paraId="553A908F">
            <w:pPr>
              <w:widowControl/>
              <w:jc w:val="left"/>
              <w:rPr>
                <w:rFonts w:ascii="宋体" w:hAnsi="宋体" w:cs="宋体"/>
                <w:color w:val="auto"/>
                <w:kern w:val="0"/>
                <w:sz w:val="20"/>
                <w:szCs w:val="20"/>
              </w:rPr>
            </w:pPr>
          </w:p>
        </w:tc>
        <w:tc>
          <w:tcPr>
            <w:tcW w:w="1116" w:type="dxa"/>
            <w:vMerge w:val="continue"/>
            <w:tcBorders>
              <w:top w:val="nil"/>
              <w:left w:val="single" w:color="auto" w:sz="8" w:space="0"/>
              <w:bottom w:val="single" w:color="000000" w:sz="8" w:space="0"/>
              <w:right w:val="single" w:color="auto" w:sz="8" w:space="0"/>
            </w:tcBorders>
            <w:noWrap w:val="0"/>
            <w:vAlign w:val="center"/>
          </w:tcPr>
          <w:p w14:paraId="7A2FC903">
            <w:pPr>
              <w:widowControl/>
              <w:jc w:val="left"/>
              <w:rPr>
                <w:rFonts w:ascii="宋体" w:hAnsi="宋体" w:cs="宋体"/>
                <w:color w:val="auto"/>
                <w:kern w:val="0"/>
                <w:sz w:val="20"/>
                <w:szCs w:val="20"/>
              </w:rPr>
            </w:pPr>
          </w:p>
        </w:tc>
        <w:tc>
          <w:tcPr>
            <w:tcW w:w="1516" w:type="dxa"/>
            <w:tcBorders>
              <w:top w:val="nil"/>
              <w:left w:val="nil"/>
              <w:bottom w:val="single" w:color="auto" w:sz="8" w:space="0"/>
              <w:right w:val="single" w:color="auto" w:sz="8" w:space="0"/>
            </w:tcBorders>
            <w:noWrap w:val="0"/>
            <w:vAlign w:val="center"/>
          </w:tcPr>
          <w:p w14:paraId="7230597C">
            <w:pPr>
              <w:widowControl/>
              <w:jc w:val="center"/>
              <w:rPr>
                <w:rFonts w:ascii="宋体" w:hAnsi="宋体" w:cs="宋体"/>
                <w:color w:val="auto"/>
                <w:kern w:val="0"/>
                <w:sz w:val="20"/>
                <w:szCs w:val="20"/>
              </w:rPr>
            </w:pPr>
            <w:r>
              <w:rPr>
                <w:rFonts w:hint="eastAsia" w:ascii="宋体" w:hAnsi="宋体" w:cs="宋体"/>
                <w:color w:val="auto"/>
                <w:kern w:val="0"/>
                <w:sz w:val="20"/>
                <w:szCs w:val="20"/>
              </w:rPr>
              <w:t>小便器</w:t>
            </w:r>
          </w:p>
        </w:tc>
        <w:tc>
          <w:tcPr>
            <w:tcW w:w="1612" w:type="dxa"/>
            <w:tcBorders>
              <w:top w:val="nil"/>
              <w:left w:val="nil"/>
              <w:bottom w:val="single" w:color="auto" w:sz="8" w:space="0"/>
              <w:right w:val="single" w:color="auto" w:sz="8" w:space="0"/>
            </w:tcBorders>
            <w:noWrap w:val="0"/>
            <w:vAlign w:val="center"/>
          </w:tcPr>
          <w:p w14:paraId="72B42A25">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auto" w:sz="8" w:space="0"/>
              <w:right w:val="single" w:color="auto" w:sz="8" w:space="0"/>
            </w:tcBorders>
            <w:noWrap w:val="0"/>
            <w:vAlign w:val="center"/>
          </w:tcPr>
          <w:p w14:paraId="74A3F5F5">
            <w:pPr>
              <w:widowControl/>
              <w:jc w:val="left"/>
              <w:rPr>
                <w:rFonts w:ascii="宋体" w:hAnsi="宋体" w:cs="宋体"/>
                <w:color w:val="auto"/>
                <w:kern w:val="0"/>
                <w:sz w:val="20"/>
                <w:szCs w:val="20"/>
              </w:rPr>
            </w:pPr>
            <w:r>
              <w:rPr>
                <w:rFonts w:hint="eastAsia" w:ascii="宋体" w:hAnsi="宋体" w:cs="宋体"/>
                <w:color w:val="auto"/>
                <w:kern w:val="0"/>
                <w:sz w:val="20"/>
                <w:szCs w:val="20"/>
              </w:rPr>
              <w:t>《小便器用水效率限定值及用水效率等级》（GB28377）</w:t>
            </w:r>
          </w:p>
        </w:tc>
      </w:tr>
      <w:tr w14:paraId="15C05B79">
        <w:tblPrEx>
          <w:tblCellMar>
            <w:top w:w="0" w:type="dxa"/>
            <w:left w:w="108" w:type="dxa"/>
            <w:bottom w:w="0" w:type="dxa"/>
            <w:right w:w="108" w:type="dxa"/>
          </w:tblCellMar>
        </w:tblPrEx>
        <w:trPr>
          <w:trHeight w:val="495" w:hRule="atLeast"/>
        </w:trPr>
        <w:tc>
          <w:tcPr>
            <w:tcW w:w="879" w:type="dxa"/>
            <w:tcBorders>
              <w:top w:val="nil"/>
              <w:left w:val="single" w:color="000000" w:sz="8" w:space="0"/>
              <w:bottom w:val="single" w:color="auto" w:sz="4" w:space="0"/>
              <w:right w:val="single" w:color="000000" w:sz="8" w:space="0"/>
            </w:tcBorders>
            <w:noWrap w:val="0"/>
            <w:vAlign w:val="center"/>
          </w:tcPr>
          <w:p w14:paraId="4CE4E571">
            <w:pPr>
              <w:widowControl/>
              <w:jc w:val="center"/>
              <w:rPr>
                <w:rFonts w:ascii="宋体" w:hAnsi="宋体" w:cs="宋体"/>
                <w:color w:val="auto"/>
                <w:kern w:val="0"/>
                <w:sz w:val="20"/>
                <w:szCs w:val="20"/>
              </w:rPr>
            </w:pPr>
            <w:r>
              <w:rPr>
                <w:rFonts w:hint="eastAsia" w:ascii="宋体" w:hAnsi="宋体" w:cs="宋体"/>
                <w:color w:val="auto"/>
                <w:kern w:val="0"/>
                <w:sz w:val="20"/>
                <w:szCs w:val="20"/>
              </w:rPr>
              <w:t>16</w:t>
            </w:r>
          </w:p>
        </w:tc>
        <w:tc>
          <w:tcPr>
            <w:tcW w:w="1116" w:type="dxa"/>
            <w:tcBorders>
              <w:top w:val="nil"/>
              <w:left w:val="nil"/>
              <w:bottom w:val="single" w:color="auto" w:sz="4" w:space="0"/>
              <w:right w:val="single" w:color="000000" w:sz="8" w:space="0"/>
            </w:tcBorders>
            <w:noWrap w:val="0"/>
            <w:vAlign w:val="center"/>
          </w:tcPr>
          <w:p w14:paraId="2F15A4D1">
            <w:pPr>
              <w:widowControl/>
              <w:jc w:val="center"/>
              <w:rPr>
                <w:rFonts w:ascii="宋体" w:hAnsi="宋体" w:cs="宋体"/>
                <w:color w:val="auto"/>
                <w:kern w:val="0"/>
                <w:sz w:val="20"/>
                <w:szCs w:val="20"/>
              </w:rPr>
            </w:pPr>
            <w:r>
              <w:rPr>
                <w:rFonts w:hint="eastAsia" w:ascii="宋体" w:hAnsi="宋体" w:cs="宋体"/>
                <w:color w:val="auto"/>
                <w:kern w:val="0"/>
                <w:sz w:val="20"/>
                <w:szCs w:val="20"/>
              </w:rPr>
              <w:t>★A060806水嘴</w:t>
            </w:r>
          </w:p>
        </w:tc>
        <w:tc>
          <w:tcPr>
            <w:tcW w:w="1516" w:type="dxa"/>
            <w:tcBorders>
              <w:top w:val="nil"/>
              <w:left w:val="nil"/>
              <w:bottom w:val="single" w:color="auto" w:sz="4" w:space="0"/>
              <w:right w:val="single" w:color="000000" w:sz="8" w:space="0"/>
            </w:tcBorders>
            <w:noWrap w:val="0"/>
            <w:vAlign w:val="center"/>
          </w:tcPr>
          <w:p w14:paraId="3AB273BD">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12" w:type="dxa"/>
            <w:tcBorders>
              <w:top w:val="nil"/>
              <w:left w:val="nil"/>
              <w:bottom w:val="single" w:color="auto" w:sz="4" w:space="0"/>
              <w:right w:val="single" w:color="000000" w:sz="8" w:space="0"/>
            </w:tcBorders>
            <w:noWrap w:val="0"/>
            <w:vAlign w:val="center"/>
          </w:tcPr>
          <w:p w14:paraId="651EF488">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nil"/>
              <w:left w:val="nil"/>
              <w:bottom w:val="single" w:color="auto" w:sz="4" w:space="0"/>
              <w:right w:val="single" w:color="000000" w:sz="8" w:space="0"/>
            </w:tcBorders>
            <w:noWrap w:val="0"/>
            <w:vAlign w:val="center"/>
          </w:tcPr>
          <w:p w14:paraId="425893A0">
            <w:pPr>
              <w:widowControl/>
              <w:jc w:val="left"/>
              <w:rPr>
                <w:rFonts w:ascii="宋体" w:hAnsi="宋体" w:cs="宋体"/>
                <w:color w:val="auto"/>
                <w:kern w:val="0"/>
                <w:sz w:val="20"/>
                <w:szCs w:val="20"/>
              </w:rPr>
            </w:pPr>
            <w:r>
              <w:rPr>
                <w:rFonts w:hint="eastAsia" w:ascii="宋体" w:hAnsi="宋体" w:cs="宋体"/>
                <w:color w:val="auto"/>
                <w:kern w:val="0"/>
                <w:sz w:val="20"/>
                <w:szCs w:val="20"/>
              </w:rPr>
              <w:t>《水嘴用水效率限定值及用水效率等级》（GB 25501）</w:t>
            </w:r>
          </w:p>
        </w:tc>
      </w:tr>
      <w:tr w14:paraId="248BF84F">
        <w:tblPrEx>
          <w:tblCellMar>
            <w:top w:w="0" w:type="dxa"/>
            <w:left w:w="108" w:type="dxa"/>
            <w:bottom w:w="0" w:type="dxa"/>
            <w:right w:w="108" w:type="dxa"/>
          </w:tblCellMar>
        </w:tblPrEx>
        <w:trPr>
          <w:trHeight w:val="495" w:hRule="atLeast"/>
        </w:trPr>
        <w:tc>
          <w:tcPr>
            <w:tcW w:w="879" w:type="dxa"/>
            <w:tcBorders>
              <w:top w:val="single" w:color="auto" w:sz="4" w:space="0"/>
              <w:left w:val="single" w:color="auto" w:sz="4" w:space="0"/>
              <w:bottom w:val="single" w:color="auto" w:sz="4" w:space="0"/>
              <w:right w:val="single" w:color="auto" w:sz="4" w:space="0"/>
            </w:tcBorders>
            <w:noWrap w:val="0"/>
            <w:vAlign w:val="center"/>
          </w:tcPr>
          <w:p w14:paraId="28123BB4">
            <w:pPr>
              <w:widowControl/>
              <w:jc w:val="center"/>
              <w:rPr>
                <w:rFonts w:ascii="宋体" w:hAnsi="宋体" w:cs="宋体"/>
                <w:color w:val="auto"/>
                <w:kern w:val="0"/>
                <w:sz w:val="20"/>
                <w:szCs w:val="20"/>
              </w:rPr>
            </w:pPr>
            <w:r>
              <w:rPr>
                <w:rFonts w:hint="eastAsia" w:ascii="宋体" w:hAnsi="宋体" w:cs="宋体"/>
                <w:color w:val="auto"/>
                <w:kern w:val="0"/>
                <w:sz w:val="20"/>
                <w:szCs w:val="20"/>
              </w:rPr>
              <w:t>17</w:t>
            </w:r>
          </w:p>
        </w:tc>
        <w:tc>
          <w:tcPr>
            <w:tcW w:w="1116" w:type="dxa"/>
            <w:tcBorders>
              <w:top w:val="single" w:color="auto" w:sz="4" w:space="0"/>
              <w:left w:val="single" w:color="auto" w:sz="4" w:space="0"/>
              <w:bottom w:val="single" w:color="auto" w:sz="4" w:space="0"/>
              <w:right w:val="single" w:color="auto" w:sz="4" w:space="0"/>
            </w:tcBorders>
            <w:noWrap w:val="0"/>
            <w:vAlign w:val="center"/>
          </w:tcPr>
          <w:p w14:paraId="7B01E7B3">
            <w:pPr>
              <w:widowControl/>
              <w:jc w:val="center"/>
              <w:rPr>
                <w:rFonts w:ascii="宋体" w:hAnsi="宋体" w:cs="宋体"/>
                <w:color w:val="auto"/>
                <w:kern w:val="0"/>
                <w:sz w:val="20"/>
                <w:szCs w:val="20"/>
              </w:rPr>
            </w:pPr>
            <w:r>
              <w:rPr>
                <w:rFonts w:hint="eastAsia" w:ascii="宋体" w:hAnsi="宋体" w:cs="宋体"/>
                <w:color w:val="auto"/>
                <w:kern w:val="0"/>
                <w:sz w:val="20"/>
                <w:szCs w:val="20"/>
              </w:rPr>
              <w:t>A060807便器冲洗阀</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5B47EA91">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5DA80891">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single" w:color="auto" w:sz="4" w:space="0"/>
              <w:bottom w:val="single" w:color="auto" w:sz="4" w:space="0"/>
              <w:right w:val="single" w:color="auto" w:sz="4" w:space="0"/>
            </w:tcBorders>
            <w:noWrap w:val="0"/>
            <w:vAlign w:val="center"/>
          </w:tcPr>
          <w:p w14:paraId="6D33C695">
            <w:pPr>
              <w:widowControl/>
              <w:jc w:val="left"/>
              <w:rPr>
                <w:rFonts w:ascii="宋体" w:hAnsi="宋体" w:cs="宋体"/>
                <w:color w:val="auto"/>
                <w:kern w:val="0"/>
                <w:sz w:val="20"/>
                <w:szCs w:val="20"/>
              </w:rPr>
            </w:pPr>
            <w:r>
              <w:rPr>
                <w:rFonts w:hint="eastAsia" w:ascii="宋体" w:hAnsi="宋体" w:cs="宋体"/>
                <w:color w:val="auto"/>
                <w:kern w:val="0"/>
                <w:sz w:val="20"/>
                <w:szCs w:val="20"/>
              </w:rPr>
              <w:t>《便器冲洗阀用水效率限定值及用水效率等级》（GB28379）</w:t>
            </w:r>
          </w:p>
        </w:tc>
      </w:tr>
      <w:tr w14:paraId="3CA9D193">
        <w:tblPrEx>
          <w:tblCellMar>
            <w:top w:w="0" w:type="dxa"/>
            <w:left w:w="108" w:type="dxa"/>
            <w:bottom w:w="0" w:type="dxa"/>
            <w:right w:w="108" w:type="dxa"/>
          </w:tblCellMar>
        </w:tblPrEx>
        <w:trPr>
          <w:trHeight w:val="495" w:hRule="atLeast"/>
        </w:trPr>
        <w:tc>
          <w:tcPr>
            <w:tcW w:w="879" w:type="dxa"/>
            <w:tcBorders>
              <w:top w:val="single" w:color="auto" w:sz="4" w:space="0"/>
              <w:left w:val="single" w:color="000000" w:sz="8" w:space="0"/>
              <w:bottom w:val="single" w:color="000000" w:sz="8" w:space="0"/>
              <w:right w:val="single" w:color="000000" w:sz="8" w:space="0"/>
            </w:tcBorders>
            <w:noWrap w:val="0"/>
            <w:vAlign w:val="center"/>
          </w:tcPr>
          <w:p w14:paraId="083ECF7E">
            <w:pPr>
              <w:widowControl/>
              <w:jc w:val="center"/>
              <w:rPr>
                <w:rFonts w:ascii="宋体" w:hAnsi="宋体" w:cs="宋体"/>
                <w:color w:val="auto"/>
                <w:kern w:val="0"/>
                <w:sz w:val="20"/>
                <w:szCs w:val="20"/>
              </w:rPr>
            </w:pPr>
            <w:r>
              <w:rPr>
                <w:rFonts w:hint="eastAsia" w:ascii="宋体" w:hAnsi="宋体" w:cs="宋体"/>
                <w:color w:val="auto"/>
                <w:kern w:val="0"/>
                <w:sz w:val="20"/>
                <w:szCs w:val="20"/>
              </w:rPr>
              <w:t>18</w:t>
            </w:r>
          </w:p>
        </w:tc>
        <w:tc>
          <w:tcPr>
            <w:tcW w:w="1116" w:type="dxa"/>
            <w:tcBorders>
              <w:top w:val="single" w:color="auto" w:sz="4" w:space="0"/>
              <w:left w:val="nil"/>
              <w:bottom w:val="single" w:color="000000" w:sz="8" w:space="0"/>
              <w:right w:val="single" w:color="000000" w:sz="8" w:space="0"/>
            </w:tcBorders>
            <w:noWrap w:val="0"/>
            <w:vAlign w:val="center"/>
          </w:tcPr>
          <w:p w14:paraId="75426199">
            <w:pPr>
              <w:widowControl/>
              <w:jc w:val="center"/>
              <w:rPr>
                <w:rFonts w:ascii="宋体" w:hAnsi="宋体" w:cs="宋体"/>
                <w:color w:val="auto"/>
                <w:kern w:val="0"/>
                <w:sz w:val="20"/>
                <w:szCs w:val="20"/>
              </w:rPr>
            </w:pPr>
            <w:r>
              <w:rPr>
                <w:rFonts w:hint="eastAsia" w:ascii="宋体" w:hAnsi="宋体" w:cs="宋体"/>
                <w:color w:val="auto"/>
                <w:kern w:val="0"/>
                <w:sz w:val="20"/>
                <w:szCs w:val="20"/>
              </w:rPr>
              <w:t>A060810淋浴器</w:t>
            </w:r>
          </w:p>
        </w:tc>
        <w:tc>
          <w:tcPr>
            <w:tcW w:w="1516" w:type="dxa"/>
            <w:tcBorders>
              <w:top w:val="single" w:color="auto" w:sz="4" w:space="0"/>
              <w:left w:val="nil"/>
              <w:bottom w:val="single" w:color="000000" w:sz="8" w:space="0"/>
              <w:right w:val="single" w:color="000000" w:sz="8" w:space="0"/>
            </w:tcBorders>
            <w:noWrap w:val="0"/>
            <w:vAlign w:val="center"/>
          </w:tcPr>
          <w:p w14:paraId="7F316BD9">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1612" w:type="dxa"/>
            <w:tcBorders>
              <w:top w:val="single" w:color="auto" w:sz="4" w:space="0"/>
              <w:left w:val="nil"/>
              <w:bottom w:val="single" w:color="000000" w:sz="8" w:space="0"/>
              <w:right w:val="single" w:color="000000" w:sz="8" w:space="0"/>
            </w:tcBorders>
            <w:noWrap w:val="0"/>
            <w:vAlign w:val="center"/>
          </w:tcPr>
          <w:p w14:paraId="34E3C4C3">
            <w:pPr>
              <w:widowControl/>
              <w:jc w:val="center"/>
              <w:rPr>
                <w:rFonts w:ascii="宋体" w:hAnsi="宋体" w:cs="宋体"/>
                <w:color w:val="auto"/>
                <w:kern w:val="0"/>
                <w:sz w:val="20"/>
                <w:szCs w:val="20"/>
              </w:rPr>
            </w:pPr>
            <w:r>
              <w:rPr>
                <w:rFonts w:hint="eastAsia" w:ascii="宋体" w:hAnsi="宋体" w:cs="宋体"/>
                <w:color w:val="auto"/>
                <w:kern w:val="0"/>
                <w:sz w:val="20"/>
                <w:szCs w:val="20"/>
              </w:rPr>
              <w:t>　</w:t>
            </w:r>
          </w:p>
        </w:tc>
        <w:tc>
          <w:tcPr>
            <w:tcW w:w="4335" w:type="dxa"/>
            <w:tcBorders>
              <w:top w:val="single" w:color="auto" w:sz="4" w:space="0"/>
              <w:left w:val="nil"/>
              <w:bottom w:val="single" w:color="000000" w:sz="8" w:space="0"/>
              <w:right w:val="single" w:color="000000" w:sz="8" w:space="0"/>
            </w:tcBorders>
            <w:noWrap w:val="0"/>
            <w:vAlign w:val="center"/>
          </w:tcPr>
          <w:p w14:paraId="1F543877">
            <w:pPr>
              <w:widowControl/>
              <w:jc w:val="left"/>
              <w:rPr>
                <w:rFonts w:ascii="宋体" w:hAnsi="宋体" w:cs="宋体"/>
                <w:color w:val="auto"/>
                <w:kern w:val="0"/>
                <w:sz w:val="20"/>
                <w:szCs w:val="20"/>
              </w:rPr>
            </w:pPr>
            <w:r>
              <w:rPr>
                <w:rFonts w:hint="eastAsia" w:ascii="宋体" w:hAnsi="宋体" w:cs="宋体"/>
                <w:color w:val="auto"/>
                <w:kern w:val="0"/>
                <w:sz w:val="20"/>
                <w:szCs w:val="20"/>
              </w:rPr>
              <w:t>《淋浴器用水效率限定值及用水效率等级》（GB28378）</w:t>
            </w:r>
          </w:p>
        </w:tc>
      </w:tr>
    </w:tbl>
    <w:p w14:paraId="28ABD2E8">
      <w:pPr>
        <w:spacing w:after="120" w:line="360" w:lineRule="auto"/>
        <w:rPr>
          <w:rFonts w:hint="eastAsia" w:ascii="Times New Roman" w:hAnsi="Times New Roman"/>
          <w:color w:val="auto"/>
          <w:spacing w:val="-3"/>
          <w:kern w:val="0"/>
          <w:sz w:val="20"/>
          <w:szCs w:val="21"/>
        </w:rPr>
      </w:pPr>
    </w:p>
    <w:p w14:paraId="2CE893C3">
      <w:pPr>
        <w:spacing w:after="120" w:line="360" w:lineRule="auto"/>
        <w:rPr>
          <w:rFonts w:hint="eastAsia" w:ascii="Times New Roman" w:hAnsi="Times New Roman"/>
          <w:color w:val="auto"/>
          <w:spacing w:val="-3"/>
          <w:kern w:val="0"/>
          <w:sz w:val="20"/>
          <w:szCs w:val="21"/>
        </w:rPr>
      </w:pPr>
    </w:p>
    <w:p w14:paraId="7AFAC7E7">
      <w:pPr>
        <w:spacing w:after="120" w:line="360" w:lineRule="auto"/>
        <w:rPr>
          <w:rFonts w:hint="eastAsia" w:ascii="宋体" w:hAnsi="宋体"/>
          <w:color w:val="auto"/>
          <w:kern w:val="0"/>
          <w:sz w:val="20"/>
          <w:szCs w:val="21"/>
        </w:rPr>
      </w:pPr>
      <w:r>
        <w:rPr>
          <w:rFonts w:hint="eastAsia" w:ascii="Times New Roman" w:hAnsi="Times New Roman"/>
          <w:color w:val="auto"/>
          <w:spacing w:val="-3"/>
          <w:kern w:val="0"/>
          <w:sz w:val="20"/>
          <w:szCs w:val="21"/>
        </w:rPr>
        <w:t>注：</w:t>
      </w:r>
      <w:r>
        <w:rPr>
          <w:rFonts w:ascii="Times New Roman" w:hAnsi="Times New Roman"/>
          <w:color w:val="auto"/>
          <w:spacing w:val="-3"/>
          <w:kern w:val="0"/>
          <w:sz w:val="20"/>
          <w:szCs w:val="21"/>
        </w:rPr>
        <w:t>1.</w:t>
      </w:r>
      <w:r>
        <w:rPr>
          <w:rFonts w:hint="eastAsia" w:ascii="Times New Roman" w:hAnsi="Times New Roman"/>
          <w:color w:val="auto"/>
          <w:spacing w:val="-3"/>
          <w:kern w:val="0"/>
          <w:sz w:val="20"/>
          <w:szCs w:val="21"/>
        </w:rPr>
        <w:t>节能产品认证应依据相关国家标准的最新版本，依据国家标准中二级能效（水效）</w:t>
      </w:r>
      <w:r>
        <w:rPr>
          <w:rFonts w:hint="eastAsia" w:ascii="Times New Roman" w:hAnsi="Times New Roman"/>
          <w:color w:val="auto"/>
          <w:kern w:val="0"/>
          <w:sz w:val="20"/>
          <w:szCs w:val="21"/>
        </w:rPr>
        <w:t>指标。</w:t>
      </w:r>
    </w:p>
    <w:p w14:paraId="5B31DD98">
      <w:pPr>
        <w:spacing w:after="120" w:line="360" w:lineRule="auto"/>
        <w:rPr>
          <w:rFonts w:hint="eastAsia" w:ascii="Times New Roman" w:hAnsi="Times New Roman"/>
          <w:b/>
          <w:bCs/>
          <w:color w:val="auto"/>
          <w:kern w:val="0"/>
          <w:sz w:val="20"/>
          <w:szCs w:val="21"/>
        </w:rPr>
      </w:pPr>
      <w:r>
        <w:rPr>
          <w:rFonts w:hint="eastAsia" w:ascii="宋体" w:hAnsi="宋体"/>
          <w:color w:val="auto"/>
          <w:kern w:val="0"/>
          <w:sz w:val="20"/>
          <w:szCs w:val="21"/>
        </w:rPr>
        <w:t xml:space="preserve">    </w:t>
      </w:r>
      <w:r>
        <w:rPr>
          <w:rFonts w:ascii="Times New Roman" w:hAnsi="Times New Roman"/>
          <w:color w:val="auto"/>
          <w:kern w:val="0"/>
          <w:sz w:val="20"/>
          <w:szCs w:val="21"/>
        </w:rPr>
        <w:t>2</w:t>
      </w:r>
      <w:r>
        <w:rPr>
          <w:rFonts w:ascii="Times New Roman" w:hAnsi="Times New Roman"/>
          <w:b/>
          <w:bCs/>
          <w:color w:val="auto"/>
          <w:kern w:val="0"/>
          <w:sz w:val="20"/>
          <w:szCs w:val="21"/>
        </w:rPr>
        <w:t>.</w:t>
      </w:r>
      <w:r>
        <w:rPr>
          <w:rFonts w:hint="eastAsia" w:ascii="Times New Roman" w:hAnsi="Times New Roman"/>
          <w:b/>
          <w:bCs/>
          <w:color w:val="auto"/>
          <w:kern w:val="0"/>
          <w:sz w:val="20"/>
          <w:szCs w:val="21"/>
        </w:rPr>
        <w:t>以</w:t>
      </w:r>
      <w:r>
        <w:rPr>
          <w:rFonts w:ascii="Times New Roman" w:hAnsi="Times New Roman"/>
          <w:b/>
          <w:bCs/>
          <w:color w:val="auto"/>
          <w:kern w:val="0"/>
          <w:sz w:val="20"/>
          <w:szCs w:val="21"/>
        </w:rPr>
        <w:t>“</w:t>
      </w:r>
      <w:r>
        <w:rPr>
          <w:rFonts w:hint="eastAsia" w:ascii="宋体" w:hAnsi="宋体" w:cs="宋体"/>
          <w:color w:val="auto"/>
          <w:kern w:val="0"/>
          <w:sz w:val="20"/>
          <w:szCs w:val="20"/>
        </w:rPr>
        <w:t>★</w:t>
      </w:r>
      <w:r>
        <w:rPr>
          <w:rFonts w:ascii="Times New Roman" w:hAnsi="Times New Roman"/>
          <w:b/>
          <w:bCs/>
          <w:color w:val="auto"/>
          <w:kern w:val="0"/>
          <w:sz w:val="20"/>
          <w:szCs w:val="21"/>
        </w:rPr>
        <w:t>”</w:t>
      </w:r>
      <w:r>
        <w:rPr>
          <w:rFonts w:hint="eastAsia" w:ascii="Times New Roman" w:hAnsi="Times New Roman"/>
          <w:b/>
          <w:bCs/>
          <w:color w:val="auto"/>
          <w:kern w:val="0"/>
          <w:sz w:val="20"/>
          <w:szCs w:val="21"/>
        </w:rPr>
        <w:t>标注的为政府强制采购产品。</w:t>
      </w:r>
    </w:p>
    <w:bookmarkEnd w:id="2"/>
    <w:p w14:paraId="5613C147">
      <w:pPr>
        <w:spacing w:line="360" w:lineRule="auto"/>
        <w:ind w:firstLine="800" w:firstLineChars="250"/>
        <w:rPr>
          <w:rFonts w:hint="eastAsia" w:ascii="黑体" w:hAnsi="黑体" w:eastAsia="黑体" w:cs="黑体"/>
          <w:b w:val="0"/>
          <w:bCs w:val="0"/>
          <w:color w:val="auto"/>
          <w:sz w:val="32"/>
          <w:szCs w:val="32"/>
          <w:highlight w:val="none"/>
        </w:rPr>
      </w:pPr>
      <w:r>
        <w:rPr>
          <w:rFonts w:hint="eastAsia" w:ascii="微软雅黑" w:hAnsi="微软雅黑" w:eastAsia="微软雅黑" w:cs="微软雅黑"/>
          <w:color w:val="auto"/>
          <w:kern w:val="0"/>
          <w:sz w:val="32"/>
          <w:szCs w:val="32"/>
        </w:rPr>
        <w:br w:type="page"/>
      </w:r>
    </w:p>
    <w:p w14:paraId="36E24C8A">
      <w:pPr>
        <w:keepNext w:val="0"/>
        <w:keepLines w:val="0"/>
        <w:widowControl/>
        <w:suppressLineNumbers w:val="0"/>
        <w:jc w:val="center"/>
        <w:rPr>
          <w:rFonts w:hint="eastAsia" w:ascii="宋体" w:hAnsi="宋体" w:eastAsia="宋体" w:cs="宋体"/>
          <w:sz w:val="24"/>
          <w:szCs w:val="24"/>
        </w:rPr>
      </w:pPr>
      <w:r>
        <w:rPr>
          <w:rFonts w:hint="eastAsia" w:ascii="宋体" w:hAnsi="宋体" w:cs="宋体"/>
          <w:b/>
          <w:bCs/>
          <w:color w:val="000000"/>
          <w:kern w:val="0"/>
          <w:sz w:val="30"/>
          <w:szCs w:val="30"/>
          <w:lang w:val="en-US" w:eastAsia="zh-CN" w:bidi="ar"/>
        </w:rPr>
        <w:t xml:space="preserve">第三章  </w:t>
      </w:r>
      <w:r>
        <w:rPr>
          <w:rFonts w:hint="eastAsia" w:ascii="宋体" w:hAnsi="宋体" w:eastAsia="宋体" w:cs="宋体"/>
          <w:b/>
          <w:bCs/>
          <w:color w:val="000000"/>
          <w:kern w:val="0"/>
          <w:sz w:val="30"/>
          <w:szCs w:val="30"/>
          <w:lang w:val="en-US" w:eastAsia="zh-CN" w:bidi="ar"/>
        </w:rPr>
        <w:t>响应文件的编制</w:t>
      </w:r>
    </w:p>
    <w:p w14:paraId="01AA2DAC">
      <w:pPr>
        <w:spacing w:line="360" w:lineRule="auto"/>
        <w:rPr>
          <w:rFonts w:hint="eastAsia" w:ascii="宋体" w:hAnsi="宋体" w:eastAsia="宋体" w:cs="宋体"/>
          <w:sz w:val="24"/>
          <w:szCs w:val="24"/>
        </w:rPr>
      </w:pPr>
      <w:r>
        <w:rPr>
          <w:rFonts w:hint="eastAsia" w:ascii="宋体" w:hAnsi="宋体" w:eastAsia="宋体" w:cs="宋体"/>
          <w:sz w:val="24"/>
          <w:szCs w:val="24"/>
        </w:rPr>
        <w:t>1.响应文件编写的注意事项</w:t>
      </w:r>
    </w:p>
    <w:p w14:paraId="7DE10C8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1.1报价人应认真阅读询价采购文件，按照询价采购文件的要求编制响应文件。如果没有按照询价采购文件要求提交响应文件，没有对询价采购文件提出的实质性要求和条件作出响应，该报价将被拒绝。</w:t>
      </w:r>
    </w:p>
    <w:p w14:paraId="6523FAC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1.2对询价采购文件提出的实质性要求和条件作出响应是指报价人必须对询价采购项目</w:t>
      </w:r>
    </w:p>
    <w:p w14:paraId="7BB5D92E">
      <w:pPr>
        <w:spacing w:line="360" w:lineRule="auto"/>
        <w:rPr>
          <w:rFonts w:hint="eastAsia" w:ascii="宋体" w:hAnsi="宋体" w:eastAsia="宋体" w:cs="宋体"/>
          <w:sz w:val="24"/>
          <w:szCs w:val="24"/>
        </w:rPr>
      </w:pPr>
      <w:r>
        <w:rPr>
          <w:rFonts w:hint="eastAsia" w:ascii="宋体" w:hAnsi="宋体" w:eastAsia="宋体" w:cs="宋体"/>
          <w:sz w:val="24"/>
          <w:szCs w:val="24"/>
        </w:rPr>
        <w:t>的价格、技术参数计性能配置、数量及其他要求、合同条款等内容作出响应。</w:t>
      </w:r>
    </w:p>
    <w:p w14:paraId="487FA25D">
      <w:pPr>
        <w:spacing w:line="360" w:lineRule="auto"/>
        <w:rPr>
          <w:rFonts w:hint="eastAsia" w:ascii="宋体" w:hAnsi="宋体" w:eastAsia="宋体" w:cs="宋体"/>
          <w:sz w:val="24"/>
          <w:szCs w:val="24"/>
        </w:rPr>
      </w:pPr>
      <w:r>
        <w:rPr>
          <w:rFonts w:hint="eastAsia" w:ascii="宋体" w:hAnsi="宋体" w:eastAsia="宋体" w:cs="宋体"/>
          <w:sz w:val="24"/>
          <w:szCs w:val="24"/>
        </w:rPr>
        <w:t>2.响应文件的构成</w:t>
      </w:r>
    </w:p>
    <w:p w14:paraId="6692296C">
      <w:pPr>
        <w:spacing w:line="360" w:lineRule="auto"/>
        <w:ind w:firstLine="480" w:firstLineChars="200"/>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sz w:val="24"/>
          <w:szCs w:val="24"/>
        </w:rPr>
        <w:t>2.1报价人编写的且在响应文件递交截止时间前递交的响应文件必须包括下列内容（报价人须按下列顺序自行编制目录、标注页码并装订成册，同时在系统附件上传响应文件；响应文件须为PDF格式并逐页加盖供应商公章，包含但不限于以下内容。未按要求提供响应文件的，竞标无效。）</w:t>
      </w:r>
    </w:p>
    <w:p w14:paraId="4FF22C34">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 xml:space="preserve">（1）采 购 声 明 函； </w:t>
      </w:r>
    </w:p>
    <w:p w14:paraId="65F3BF74">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 xml:space="preserve">（2）营业执照复印件（要求证件有效并清晰反映企业法人）； </w:t>
      </w:r>
    </w:p>
    <w:p w14:paraId="6C5AA4FB">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 xml:space="preserve">（3）法定代表人身份证复印件； </w:t>
      </w:r>
    </w:p>
    <w:p w14:paraId="1B1191EC">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highlight w:val="none"/>
          <w:lang w:val="en-US" w:eastAsia="zh-CN" w:bidi="ar"/>
        </w:rPr>
        <w:t>（4）法定代表人授权书原件和委托代理人身份证复印件（</w:t>
      </w:r>
      <w:r>
        <w:rPr>
          <w:rFonts w:hint="eastAsia" w:ascii="宋体" w:hAnsi="宋体" w:eastAsia="宋体" w:cs="宋体"/>
          <w:b/>
          <w:bCs/>
          <w:color w:val="000000"/>
          <w:kern w:val="0"/>
          <w:sz w:val="24"/>
          <w:szCs w:val="24"/>
          <w:highlight w:val="none"/>
          <w:lang w:val="en-US" w:eastAsia="zh-CN" w:bidi="ar"/>
        </w:rPr>
        <w:t>委托代理时必须提供，否则将可能视为报价无效</w:t>
      </w:r>
      <w:r>
        <w:rPr>
          <w:rFonts w:hint="eastAsia" w:ascii="宋体" w:hAnsi="宋体" w:eastAsia="宋体" w:cs="宋体"/>
          <w:color w:val="000000"/>
          <w:kern w:val="0"/>
          <w:sz w:val="24"/>
          <w:szCs w:val="24"/>
          <w:highlight w:val="none"/>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564C97F8">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 xml:space="preserve">）参加政府采购活动前三年内在经营活动中没有重大违法记录的书面声明； </w:t>
      </w:r>
    </w:p>
    <w:p w14:paraId="196EF0FA">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信用中国网站（https：//www.creditchina.gov.cn/）、中国政府采购网&lt;www.ccgp.gov.cn&gt;等网站查询供应商相关主体信用记录、失信被执行人、重大税收违法案件当事人名单、政府采购严重违法失信行为记录名单查询结果或界面截图</w:t>
      </w:r>
    </w:p>
    <w:p w14:paraId="4C2E3E41">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）供应商必须实质性响应本项目所有技术要求，不允许负偏离。竞标时，供应商所投产品须满足或优于技术参数配置要求【需提供《报价表》</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 xml:space="preserve">《商务、技术响应、偏离情况说明表》），并加盖供应商的单位公章，以上材料加盖供应商公章】； </w:t>
      </w:r>
    </w:p>
    <w:p w14:paraId="2AB356DF">
      <w:pPr>
        <w:keepNext w:val="0"/>
        <w:keepLines w:val="0"/>
        <w:widowControl/>
        <w:suppressLineNumbers w:val="0"/>
        <w:spacing w:line="360" w:lineRule="auto"/>
        <w:ind w:firstLine="240" w:firstLineChars="1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highlight w:val="none"/>
          <w:lang w:val="en-US" w:eastAsia="zh-CN" w:bidi="ar"/>
        </w:rPr>
        <w:t>（</w:t>
      </w:r>
      <w:r>
        <w:rPr>
          <w:rFonts w:hint="eastAsia" w:ascii="Times New Roman" w:hAnsi="Times New Roman" w:cs="Times New Roman"/>
          <w:color w:val="000000"/>
          <w:kern w:val="0"/>
          <w:sz w:val="24"/>
          <w:szCs w:val="24"/>
          <w:highlight w:val="none"/>
          <w:lang w:val="en-US" w:eastAsia="zh-CN" w:bidi="ar"/>
        </w:rPr>
        <w:t>8</w:t>
      </w:r>
      <w:r>
        <w:rPr>
          <w:rFonts w:hint="eastAsia" w:ascii="宋体" w:hAnsi="宋体" w:eastAsia="宋体" w:cs="宋体"/>
          <w:color w:val="000000"/>
          <w:kern w:val="0"/>
          <w:sz w:val="24"/>
          <w:szCs w:val="24"/>
          <w:highlight w:val="none"/>
          <w:lang w:val="en-US" w:eastAsia="zh-CN" w:bidi="ar"/>
        </w:rPr>
        <w:t>）售后服务实施方案承诺</w:t>
      </w:r>
      <w:r>
        <w:rPr>
          <w:rFonts w:hint="eastAsia" w:ascii="宋体" w:hAnsi="宋体" w:eastAsia="宋体" w:cs="宋体"/>
          <w:color w:val="000000"/>
          <w:kern w:val="0"/>
          <w:sz w:val="24"/>
          <w:szCs w:val="24"/>
          <w:lang w:val="en-US" w:eastAsia="zh-CN" w:bidi="ar"/>
        </w:rPr>
        <w:t>书；</w:t>
      </w:r>
    </w:p>
    <w:p w14:paraId="29219E11">
      <w:pPr>
        <w:keepNext w:val="0"/>
        <w:keepLines w:val="0"/>
        <w:widowControl/>
        <w:suppressLineNumbers w:val="0"/>
        <w:spacing w:line="360" w:lineRule="auto"/>
        <w:ind w:firstLine="240" w:firstLineChars="100"/>
        <w:jc w:val="left"/>
        <w:rPr>
          <w:sz w:val="24"/>
          <w:szCs w:val="24"/>
        </w:rPr>
      </w:pP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9</w:t>
      </w:r>
      <w:r>
        <w:rPr>
          <w:rFonts w:hint="eastAsia" w:ascii="宋体" w:hAnsi="宋体" w:eastAsia="宋体" w:cs="宋体"/>
          <w:color w:val="000000"/>
          <w:kern w:val="0"/>
          <w:sz w:val="24"/>
          <w:szCs w:val="24"/>
          <w:lang w:val="en-US" w:eastAsia="zh-CN" w:bidi="ar"/>
        </w:rPr>
        <w:t xml:space="preserve">）报价人认为必要提供的声明及文件资料。 </w:t>
      </w:r>
    </w:p>
    <w:p w14:paraId="3F19912E">
      <w:pPr>
        <w:keepNext w:val="0"/>
        <w:keepLines w:val="0"/>
        <w:widowControl/>
        <w:suppressLineNumbers w:val="0"/>
        <w:spacing w:line="360" w:lineRule="auto"/>
        <w:jc w:val="left"/>
        <w:rPr>
          <w:sz w:val="24"/>
          <w:szCs w:val="24"/>
        </w:rPr>
      </w:pPr>
      <w:r>
        <w:rPr>
          <w:rFonts w:hint="eastAsia" w:ascii="宋体" w:hAnsi="宋体" w:eastAsia="宋体" w:cs="宋体"/>
          <w:b/>
          <w:bCs/>
          <w:color w:val="000000"/>
          <w:kern w:val="0"/>
          <w:sz w:val="24"/>
          <w:szCs w:val="24"/>
          <w:lang w:val="en-US" w:eastAsia="zh-CN" w:bidi="ar"/>
        </w:rPr>
        <w:t>说明：以上（1）-（</w:t>
      </w:r>
      <w:r>
        <w:rPr>
          <w:rFonts w:hint="eastAsia" w:ascii="宋体" w:hAnsi="宋体" w:cs="宋体"/>
          <w:b/>
          <w:bCs/>
          <w:color w:val="000000"/>
          <w:kern w:val="0"/>
          <w:sz w:val="24"/>
          <w:szCs w:val="24"/>
          <w:lang w:val="en-US" w:eastAsia="zh-CN" w:bidi="ar"/>
        </w:rPr>
        <w:t>8</w:t>
      </w:r>
      <w:r>
        <w:rPr>
          <w:rFonts w:hint="eastAsia" w:ascii="宋体" w:hAnsi="宋体" w:eastAsia="宋体" w:cs="宋体"/>
          <w:b/>
          <w:bCs/>
          <w:color w:val="000000"/>
          <w:kern w:val="0"/>
          <w:sz w:val="24"/>
          <w:szCs w:val="24"/>
          <w:lang w:val="en-US" w:eastAsia="zh-CN" w:bidi="ar"/>
        </w:rPr>
        <w:t xml:space="preserve">）项必须提供。 </w:t>
      </w:r>
    </w:p>
    <w:p w14:paraId="104922A9">
      <w:pPr>
        <w:keepNext w:val="0"/>
        <w:keepLines w:val="0"/>
        <w:widowControl/>
        <w:suppressLineNumbers w:val="0"/>
        <w:spacing w:line="360" w:lineRule="auto"/>
        <w:jc w:val="left"/>
        <w:rPr>
          <w:sz w:val="24"/>
          <w:szCs w:val="24"/>
        </w:rPr>
      </w:pPr>
      <w:r>
        <w:rPr>
          <w:rFonts w:hint="eastAsia" w:ascii="宋体" w:hAnsi="宋体" w:eastAsia="宋体" w:cs="宋体"/>
          <w:b/>
          <w:bCs/>
          <w:color w:val="000000"/>
          <w:kern w:val="0"/>
          <w:sz w:val="24"/>
          <w:szCs w:val="24"/>
          <w:lang w:val="en-US" w:eastAsia="zh-CN" w:bidi="ar"/>
        </w:rPr>
        <w:t xml:space="preserve">3.响应文件的语言及计量单位 </w:t>
      </w:r>
    </w:p>
    <w:p w14:paraId="2845082A">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3.1 报价人的响应文件的所有来往的函电统一使用中文（</w:t>
      </w:r>
      <w:r>
        <w:rPr>
          <w:rFonts w:hint="eastAsia" w:ascii="宋体" w:hAnsi="宋体" w:eastAsia="宋体" w:cs="宋体"/>
          <w:b/>
          <w:bCs/>
          <w:color w:val="000000"/>
          <w:kern w:val="0"/>
          <w:sz w:val="24"/>
          <w:szCs w:val="24"/>
          <w:lang w:val="en-US" w:eastAsia="zh-CN" w:bidi="ar"/>
        </w:rPr>
        <w:t>特别规定除外</w:t>
      </w:r>
      <w:r>
        <w:rPr>
          <w:rFonts w:hint="eastAsia" w:ascii="宋体" w:hAnsi="宋体" w:eastAsia="宋体" w:cs="宋体"/>
          <w:color w:val="000000"/>
          <w:kern w:val="0"/>
          <w:sz w:val="24"/>
          <w:szCs w:val="24"/>
          <w:lang w:val="en-US" w:eastAsia="zh-CN" w:bidi="ar"/>
        </w:rPr>
        <w:t xml:space="preserve">）。 </w:t>
      </w:r>
    </w:p>
    <w:p w14:paraId="12F58F2F">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 xml:space="preserve">3.2 响应文件中使用的计量单位除询价采购文件中有特殊规定外，一律使用法定计量单位。 </w:t>
      </w:r>
    </w:p>
    <w:p w14:paraId="61192CDB">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 xml:space="preserve">4.响应文件格式 </w:t>
      </w:r>
    </w:p>
    <w:p w14:paraId="7EE26075">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4.1 报价人应按询价采购文件提供的报价表等格式详细完整地填写各项内容，</w:t>
      </w:r>
      <w:r>
        <w:rPr>
          <w:rFonts w:hint="eastAsia" w:ascii="宋体" w:hAnsi="宋体" w:eastAsia="宋体" w:cs="宋体"/>
          <w:b/>
          <w:bCs/>
          <w:color w:val="000000"/>
          <w:kern w:val="0"/>
          <w:sz w:val="24"/>
          <w:szCs w:val="24"/>
          <w:lang w:val="en-US" w:eastAsia="zh-CN" w:bidi="ar"/>
        </w:rPr>
        <w:t xml:space="preserve">且报价不得超过各分项预算价。 </w:t>
      </w:r>
    </w:p>
    <w:p w14:paraId="423938BB">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 xml:space="preserve">5.报价 </w:t>
      </w:r>
    </w:p>
    <w:p w14:paraId="655B9250">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5.1 报价：报价人应就《货物需求一览表》中的货物内容作完整报价。 </w:t>
      </w:r>
    </w:p>
    <w:p w14:paraId="09645C96">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5.2 报价人报价表上大写金额和小写金额不一致的，以大写金额为准，对不同文字文本 响应文件的解释发生异议的，以中文文本为准。如果报价人不接受对其错误的更正，其报价 将被拒绝。 </w:t>
      </w:r>
    </w:p>
    <w:p w14:paraId="31E7D3B5">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5.3 报价指本次采购的各种费用和售后服务、税金及其他所有成本费用的总和。 </w:t>
      </w:r>
    </w:p>
    <w:p w14:paraId="188D14A6">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 xml:space="preserve">6.报价货币 </w:t>
      </w:r>
    </w:p>
    <w:p w14:paraId="561A1457">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6.1 报价应以人民币报价。 </w:t>
      </w:r>
    </w:p>
    <w:p w14:paraId="26793317">
      <w:pPr>
        <w:keepNext w:val="0"/>
        <w:keepLines w:val="0"/>
        <w:widowControl/>
        <w:suppressLineNumbers w:val="0"/>
        <w:jc w:val="left"/>
      </w:pPr>
      <w:r>
        <w:rPr>
          <w:rFonts w:hint="eastAsia" w:ascii="宋体" w:hAnsi="宋体" w:eastAsia="宋体" w:cs="宋体"/>
          <w:b/>
          <w:bCs/>
          <w:color w:val="000000"/>
          <w:kern w:val="0"/>
          <w:sz w:val="24"/>
          <w:szCs w:val="24"/>
          <w:lang w:val="en-US" w:eastAsia="zh-CN" w:bidi="ar"/>
        </w:rPr>
        <w:t xml:space="preserve">7.响应文件书写及签名、盖章要求 </w:t>
      </w:r>
    </w:p>
    <w:p w14:paraId="73CA2A4E">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7.1 响应文件正本必须用不褪色的墨水工整书写或打印，修改处应由法定代表人或委托代理人签名和盖公章，否则其报价无效。 </w:t>
      </w:r>
    </w:p>
    <w:p w14:paraId="224EBB8C">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 xml:space="preserve">7.2 字迹潦草、表达不清或未按要求填写的响应文件可能将被认定为无效的报价。 </w:t>
      </w:r>
    </w:p>
    <w:p w14:paraId="367E2EBE">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7.3 响应文件应由法定代表人或委托代理人在凡规定签章处逐一签名和盖公章，否则其报价无效。</w:t>
      </w:r>
    </w:p>
    <w:p w14:paraId="3AC93052">
      <w:pPr>
        <w:keepNext w:val="0"/>
        <w:keepLines w:val="0"/>
        <w:pageBreakBefore w:val="0"/>
        <w:widowControl w:val="0"/>
        <w:tabs>
          <w:tab w:val="left" w:pos="2115"/>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b w:val="0"/>
          <w:bCs w:val="0"/>
          <w:color w:val="auto"/>
          <w:sz w:val="21"/>
          <w:szCs w:val="21"/>
          <w:highlight w:val="none"/>
          <w:lang w:val="en-US" w:eastAsia="zh-CN"/>
        </w:rPr>
        <w:tab/>
      </w:r>
    </w:p>
    <w:p w14:paraId="71A60D98">
      <w:pPr>
        <w:keepNext w:val="0"/>
        <w:keepLines w:val="0"/>
        <w:pageBreakBefore w:val="0"/>
        <w:widowControl w:val="0"/>
        <w:tabs>
          <w:tab w:val="left" w:pos="2115"/>
        </w:tabs>
        <w:kinsoku/>
        <w:wordWrap/>
        <w:overflowPunct/>
        <w:topLinePunct w:val="0"/>
        <w:autoSpaceDE/>
        <w:autoSpaceDN/>
        <w:bidi w:val="0"/>
        <w:adjustRightInd/>
        <w:snapToGrid/>
        <w:spacing w:line="360" w:lineRule="auto"/>
        <w:ind w:firstLine="643" w:firstLineChars="200"/>
        <w:jc w:val="center"/>
        <w:textAlignment w:val="auto"/>
        <w:rPr>
          <w:rFonts w:hint="eastAsia"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第</w:t>
      </w:r>
      <w:r>
        <w:rPr>
          <w:rFonts w:hint="eastAsia" w:ascii="宋体" w:hAnsi="宋体" w:eastAsia="宋体" w:cs="宋体"/>
          <w:b/>
          <w:bCs/>
          <w:color w:val="auto"/>
          <w:sz w:val="32"/>
          <w:szCs w:val="32"/>
          <w:highlight w:val="none"/>
          <w:lang w:val="en-US" w:eastAsia="zh-CN"/>
        </w:rPr>
        <w:t>四</w:t>
      </w:r>
      <w:r>
        <w:rPr>
          <w:rFonts w:hint="eastAsia" w:ascii="宋体" w:hAnsi="宋体" w:cs="宋体"/>
          <w:b/>
          <w:bCs/>
          <w:color w:val="auto"/>
          <w:sz w:val="32"/>
          <w:szCs w:val="32"/>
          <w:highlight w:val="none"/>
          <w:lang w:val="en-US" w:eastAsia="zh-CN"/>
        </w:rPr>
        <w:t xml:space="preserve">章  </w:t>
      </w:r>
      <w:r>
        <w:rPr>
          <w:rFonts w:hint="eastAsia" w:ascii="宋体" w:hAnsi="宋体" w:eastAsia="宋体" w:cs="宋体"/>
          <w:b/>
          <w:bCs/>
          <w:color w:val="auto"/>
          <w:sz w:val="32"/>
          <w:szCs w:val="32"/>
          <w:highlight w:val="none"/>
          <w:lang w:val="en-US" w:eastAsia="zh-CN"/>
        </w:rPr>
        <w:t>响应文件格式</w:t>
      </w:r>
    </w:p>
    <w:p w14:paraId="21C4BF29">
      <w:pPr>
        <w:bidi w:val="0"/>
        <w:rPr>
          <w:rFonts w:hint="default" w:asciiTheme="minorHAnsi" w:hAnsiTheme="minorHAnsi" w:eastAsiaTheme="minorEastAsia" w:cstheme="minorBidi"/>
          <w:kern w:val="2"/>
          <w:sz w:val="21"/>
          <w:szCs w:val="24"/>
          <w:lang w:val="en-US" w:eastAsia="zh-CN" w:bidi="ar-SA"/>
        </w:rPr>
      </w:pPr>
    </w:p>
    <w:p w14:paraId="5840293E">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b/>
          <w:color w:val="auto"/>
          <w:sz w:val="36"/>
          <w:szCs w:val="36"/>
          <w:highlight w:val="none"/>
        </w:rPr>
      </w:pPr>
      <w:r>
        <w:rPr>
          <w:rFonts w:hint="eastAsia" w:ascii="宋体" w:hAnsi="宋体"/>
          <w:b/>
          <w:color w:val="auto"/>
          <w:sz w:val="36"/>
          <w:szCs w:val="36"/>
          <w:highlight w:val="none"/>
          <w:lang w:val="en-US" w:eastAsia="zh-CN"/>
        </w:rPr>
        <w:t>采 购 声 明</w:t>
      </w:r>
      <w:r>
        <w:rPr>
          <w:rFonts w:hint="eastAsia" w:ascii="宋体" w:hAnsi="宋体"/>
          <w:b/>
          <w:color w:val="auto"/>
          <w:sz w:val="36"/>
          <w:szCs w:val="36"/>
          <w:highlight w:val="none"/>
        </w:rPr>
        <w:t xml:space="preserve"> 函（格式）</w:t>
      </w:r>
    </w:p>
    <w:p w14:paraId="0B9FB3FF">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b/>
          <w:color w:val="auto"/>
          <w:szCs w:val="21"/>
          <w:highlight w:val="none"/>
        </w:rPr>
      </w:pPr>
    </w:p>
    <w:p w14:paraId="0D869F22">
      <w:pPr>
        <w:snapToGrid w:val="0"/>
        <w:spacing w:line="360" w:lineRule="auto"/>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Courier New" w:cs="Courier New"/>
          <w:color w:val="auto"/>
          <w:sz w:val="24"/>
          <w:szCs w:val="24"/>
          <w:highlight w:val="none"/>
        </w:rPr>
        <w:t>（采购</w:t>
      </w:r>
      <w:r>
        <w:rPr>
          <w:rFonts w:hint="eastAsia" w:ascii="宋体" w:hAnsi="Courier New" w:cs="Courier New"/>
          <w:color w:val="auto"/>
          <w:sz w:val="24"/>
          <w:szCs w:val="24"/>
          <w:highlight w:val="none"/>
          <w:lang w:val="en-US" w:eastAsia="zh-CN"/>
        </w:rPr>
        <w:t>单位</w:t>
      </w:r>
      <w:r>
        <w:rPr>
          <w:rFonts w:hint="eastAsia" w:ascii="宋体" w:hAnsi="Courier New" w:cs="Courier New"/>
          <w:color w:val="auto"/>
          <w:sz w:val="24"/>
          <w:szCs w:val="24"/>
          <w:highlight w:val="none"/>
        </w:rPr>
        <w:t>）</w:t>
      </w:r>
    </w:p>
    <w:p w14:paraId="68270D95">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我方已仔细阅读了贵方组织的</w:t>
      </w:r>
      <w:r>
        <w:rPr>
          <w:rFonts w:hint="eastAsia" w:ascii="宋体" w:hAnsi="Courier New" w:cs="Courier New"/>
          <w:color w:val="auto"/>
          <w:sz w:val="24"/>
          <w:szCs w:val="24"/>
          <w:highlight w:val="none"/>
          <w:u w:val="single"/>
        </w:rPr>
        <w:t xml:space="preserve">     (项目名称)</w:t>
      </w:r>
      <w:r>
        <w:rPr>
          <w:rFonts w:hint="eastAsia" w:ascii="宋体" w:hAnsi="Courier New" w:cs="Courier New"/>
          <w:color w:val="auto"/>
          <w:sz w:val="24"/>
          <w:szCs w:val="24"/>
          <w:highlight w:val="none"/>
        </w:rPr>
        <w:t>的采购</w:t>
      </w:r>
      <w:r>
        <w:rPr>
          <w:rFonts w:hint="eastAsia" w:ascii="宋体" w:hAnsi="Courier New" w:cs="Courier New"/>
          <w:color w:val="auto"/>
          <w:sz w:val="24"/>
          <w:szCs w:val="24"/>
          <w:highlight w:val="none"/>
          <w:lang w:val="en-US" w:eastAsia="zh-CN"/>
        </w:rPr>
        <w:t>要求</w:t>
      </w:r>
      <w:r>
        <w:rPr>
          <w:rFonts w:hint="eastAsia" w:ascii="宋体" w:hAnsi="Courier New" w:cs="Courier New"/>
          <w:color w:val="auto"/>
          <w:sz w:val="24"/>
          <w:szCs w:val="24"/>
          <w:highlight w:val="none"/>
        </w:rPr>
        <w:t>的全部内容，现正式递交下述文件参加贵方组织的本次采购活动：</w:t>
      </w:r>
    </w:p>
    <w:p w14:paraId="0A2CD357">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据此函，签字人兹宣布：</w:t>
      </w:r>
    </w:p>
    <w:p w14:paraId="0CC12C0A">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1、我方愿意以（大写）人民币</w:t>
      </w:r>
      <w:r>
        <w:rPr>
          <w:rFonts w:hint="eastAsia" w:ascii="宋体" w:hAnsi="Courier New" w:cs="Courier New"/>
          <w:color w:val="auto"/>
          <w:sz w:val="24"/>
          <w:szCs w:val="24"/>
          <w:highlight w:val="none"/>
          <w:u w:val="single"/>
        </w:rPr>
        <w:t xml:space="preserve">        </w:t>
      </w:r>
      <w:r>
        <w:rPr>
          <w:rFonts w:hint="eastAsia" w:ascii="宋体" w:hAnsi="Courier New" w:cs="Courier New"/>
          <w:color w:val="auto"/>
          <w:sz w:val="24"/>
          <w:szCs w:val="24"/>
          <w:highlight w:val="none"/>
        </w:rPr>
        <w:t>（￥</w:t>
      </w:r>
      <w:r>
        <w:rPr>
          <w:rFonts w:hint="eastAsia" w:ascii="宋体" w:hAnsi="Courier New" w:cs="Courier New"/>
          <w:color w:val="auto"/>
          <w:sz w:val="24"/>
          <w:szCs w:val="24"/>
          <w:highlight w:val="none"/>
          <w:u w:val="single"/>
        </w:rPr>
        <w:t xml:space="preserve">    </w:t>
      </w:r>
      <w:r>
        <w:rPr>
          <w:rFonts w:hint="eastAsia" w:ascii="宋体" w:hAnsi="Courier New" w:cs="Courier New"/>
          <w:color w:val="auto"/>
          <w:sz w:val="24"/>
          <w:szCs w:val="24"/>
          <w:highlight w:val="none"/>
        </w:rPr>
        <w:t>元)的报价，提供本项目</w:t>
      </w:r>
      <w:r>
        <w:rPr>
          <w:rFonts w:hint="eastAsia" w:ascii="宋体" w:hAnsi="Courier New" w:cs="Courier New"/>
          <w:color w:val="auto"/>
          <w:sz w:val="24"/>
          <w:szCs w:val="24"/>
          <w:highlight w:val="none"/>
          <w:lang w:val="en-US" w:eastAsia="zh-CN"/>
        </w:rPr>
        <w:t>采购要求</w:t>
      </w:r>
      <w:r>
        <w:rPr>
          <w:rFonts w:hint="eastAsia" w:ascii="宋体" w:hAnsi="Courier New" w:cs="Courier New"/>
          <w:color w:val="auto"/>
          <w:sz w:val="24"/>
          <w:szCs w:val="24"/>
          <w:highlight w:val="none"/>
        </w:rPr>
        <w:t>中全部内容。</w:t>
      </w:r>
    </w:p>
    <w:p w14:paraId="34D3AF3C">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2、我方同意</w:t>
      </w:r>
      <w:r>
        <w:rPr>
          <w:rFonts w:hint="eastAsia" w:ascii="宋体" w:hAnsi="Courier New" w:cs="Courier New"/>
          <w:color w:val="auto"/>
          <w:sz w:val="24"/>
          <w:szCs w:val="24"/>
          <w:highlight w:val="none"/>
          <w:lang w:val="en-US" w:eastAsia="zh-CN"/>
        </w:rPr>
        <w:t>按</w:t>
      </w:r>
      <w:r>
        <w:rPr>
          <w:rFonts w:hint="eastAsia" w:ascii="宋体" w:hAnsi="Courier New" w:cs="Courier New"/>
          <w:color w:val="auto"/>
          <w:sz w:val="24"/>
          <w:szCs w:val="24"/>
          <w:highlight w:val="none"/>
        </w:rPr>
        <w:t>项目</w:t>
      </w:r>
      <w:r>
        <w:rPr>
          <w:rFonts w:hint="eastAsia" w:ascii="宋体" w:hAnsi="Courier New" w:cs="Courier New"/>
          <w:color w:val="auto"/>
          <w:sz w:val="24"/>
          <w:szCs w:val="24"/>
          <w:highlight w:val="none"/>
          <w:lang w:val="en-US" w:eastAsia="zh-CN"/>
        </w:rPr>
        <w:t>采购要求</w:t>
      </w:r>
      <w:r>
        <w:rPr>
          <w:rFonts w:hint="eastAsia" w:ascii="宋体" w:hAnsi="Courier New" w:cs="Courier New"/>
          <w:color w:val="auto"/>
          <w:sz w:val="24"/>
          <w:szCs w:val="24"/>
          <w:highlight w:val="none"/>
        </w:rPr>
        <w:t>规定</w:t>
      </w:r>
      <w:r>
        <w:rPr>
          <w:rFonts w:hint="eastAsia" w:ascii="宋体" w:hAnsi="Courier New" w:cs="Courier New"/>
          <w:color w:val="auto"/>
          <w:sz w:val="24"/>
          <w:szCs w:val="24"/>
          <w:highlight w:val="none"/>
          <w:lang w:val="en-US" w:eastAsia="zh-CN"/>
        </w:rPr>
        <w:t>递交全部要求资料，</w:t>
      </w:r>
      <w:r>
        <w:rPr>
          <w:rFonts w:hint="eastAsia" w:ascii="宋体" w:hAnsi="Courier New" w:cs="Courier New"/>
          <w:color w:val="auto"/>
          <w:sz w:val="24"/>
          <w:szCs w:val="24"/>
          <w:highlight w:val="none"/>
        </w:rPr>
        <w:t>并承诺</w:t>
      </w:r>
      <w:r>
        <w:rPr>
          <w:rFonts w:hint="eastAsia" w:ascii="宋体" w:hAnsi="Courier New" w:cs="Courier New"/>
          <w:color w:val="auto"/>
          <w:sz w:val="24"/>
          <w:szCs w:val="24"/>
          <w:highlight w:val="none"/>
          <w:lang w:val="en-US" w:eastAsia="zh-CN"/>
        </w:rPr>
        <w:t>在竞价</w:t>
      </w:r>
      <w:r>
        <w:rPr>
          <w:rFonts w:hint="eastAsia" w:ascii="宋体" w:hAnsi="Courier New" w:cs="Courier New"/>
          <w:color w:val="auto"/>
          <w:sz w:val="24"/>
          <w:szCs w:val="24"/>
          <w:highlight w:val="none"/>
        </w:rPr>
        <w:t>有效期内不修改、撤销</w:t>
      </w:r>
      <w:r>
        <w:rPr>
          <w:rFonts w:hint="eastAsia" w:ascii="宋体" w:hAnsi="Courier New" w:cs="Courier New"/>
          <w:color w:val="auto"/>
          <w:sz w:val="24"/>
          <w:szCs w:val="24"/>
          <w:highlight w:val="none"/>
          <w:lang w:val="en-US" w:eastAsia="zh-CN"/>
        </w:rPr>
        <w:t>申报递交的</w:t>
      </w:r>
      <w:r>
        <w:rPr>
          <w:rFonts w:hint="eastAsia" w:ascii="宋体" w:hAnsi="Courier New" w:cs="Courier New"/>
          <w:color w:val="auto"/>
          <w:sz w:val="24"/>
          <w:szCs w:val="24"/>
          <w:highlight w:val="none"/>
        </w:rPr>
        <w:t>文件。</w:t>
      </w:r>
    </w:p>
    <w:p w14:paraId="13B67F30">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3、我方在此声明，所递交的响应文件及有关资料内容完整、真实和准确。</w:t>
      </w:r>
    </w:p>
    <w:p w14:paraId="11E3D863">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4、如本项目采购内容涉及须符合国家强制规定的，我方承诺我方本次</w:t>
      </w:r>
      <w:r>
        <w:rPr>
          <w:rFonts w:hint="eastAsia" w:ascii="宋体" w:hAnsi="Courier New" w:cs="Courier New"/>
          <w:color w:val="auto"/>
          <w:sz w:val="24"/>
          <w:szCs w:val="24"/>
          <w:highlight w:val="none"/>
          <w:lang w:val="en-US" w:eastAsia="zh-CN"/>
        </w:rPr>
        <w:t>竞价</w:t>
      </w:r>
      <w:r>
        <w:rPr>
          <w:rFonts w:hint="eastAsia" w:ascii="宋体" w:hAnsi="Courier New" w:cs="Courier New"/>
          <w:color w:val="auto"/>
          <w:sz w:val="24"/>
          <w:szCs w:val="24"/>
          <w:highlight w:val="none"/>
        </w:rPr>
        <w:t>均符合国家有关强制规定。</w:t>
      </w:r>
    </w:p>
    <w:p w14:paraId="3272EB2E">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5、如我方成交，我方承诺在收到成交通知后，在成交通知书规定的期限内，根据</w:t>
      </w:r>
      <w:r>
        <w:rPr>
          <w:rFonts w:hint="eastAsia" w:ascii="宋体" w:hAnsi="Courier New" w:cs="Courier New"/>
          <w:color w:val="auto"/>
          <w:sz w:val="24"/>
          <w:szCs w:val="24"/>
          <w:highlight w:val="none"/>
          <w:lang w:val="en-US" w:eastAsia="zh-CN"/>
        </w:rPr>
        <w:t>采购</w:t>
      </w:r>
      <w:r>
        <w:rPr>
          <w:rFonts w:hint="eastAsia" w:ascii="宋体" w:hAnsi="Courier New" w:cs="Courier New"/>
          <w:color w:val="auto"/>
          <w:sz w:val="24"/>
          <w:szCs w:val="24"/>
          <w:highlight w:val="none"/>
        </w:rPr>
        <w:t>文件</w:t>
      </w:r>
      <w:r>
        <w:rPr>
          <w:rFonts w:hint="eastAsia" w:ascii="宋体" w:hAnsi="Courier New" w:cs="Courier New"/>
          <w:color w:val="auto"/>
          <w:sz w:val="24"/>
          <w:szCs w:val="24"/>
          <w:highlight w:val="none"/>
          <w:lang w:val="en-US" w:eastAsia="zh-CN"/>
        </w:rPr>
        <w:t>要求</w:t>
      </w:r>
      <w:r>
        <w:rPr>
          <w:rFonts w:hint="eastAsia" w:ascii="宋体" w:hAnsi="Courier New" w:cs="Courier New"/>
          <w:color w:val="auto"/>
          <w:sz w:val="24"/>
          <w:szCs w:val="24"/>
          <w:highlight w:val="none"/>
        </w:rPr>
        <w:t>、我方的响应</w:t>
      </w:r>
      <w:r>
        <w:rPr>
          <w:rFonts w:hint="eastAsia" w:ascii="宋体" w:hAnsi="Courier New" w:cs="Courier New"/>
          <w:color w:val="auto"/>
          <w:sz w:val="24"/>
          <w:szCs w:val="24"/>
          <w:highlight w:val="none"/>
          <w:lang w:val="en-US" w:eastAsia="zh-CN"/>
        </w:rPr>
        <w:t>资料</w:t>
      </w:r>
      <w:r>
        <w:rPr>
          <w:rFonts w:hint="eastAsia" w:ascii="宋体" w:hAnsi="Courier New" w:cs="Courier New"/>
          <w:color w:val="auto"/>
          <w:sz w:val="24"/>
          <w:szCs w:val="24"/>
          <w:highlight w:val="none"/>
        </w:rPr>
        <w:t>文件及有关澄清承诺书的要求与采购人订立书面合同，并按照合同约定承担完成合同的责任和义务。</w:t>
      </w:r>
    </w:p>
    <w:p w14:paraId="040FE81D">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6、我方已详细审核</w:t>
      </w:r>
      <w:r>
        <w:rPr>
          <w:rFonts w:hint="eastAsia" w:ascii="宋体" w:hAnsi="Courier New" w:cs="Courier New"/>
          <w:color w:val="auto"/>
          <w:sz w:val="24"/>
          <w:szCs w:val="24"/>
          <w:highlight w:val="none"/>
          <w:lang w:val="en-US" w:eastAsia="zh-CN"/>
        </w:rPr>
        <w:t>采购要求</w:t>
      </w:r>
      <w:r>
        <w:rPr>
          <w:rFonts w:hint="eastAsia" w:ascii="宋体" w:hAnsi="Courier New" w:cs="Courier New"/>
          <w:color w:val="auto"/>
          <w:sz w:val="24"/>
          <w:szCs w:val="24"/>
          <w:highlight w:val="none"/>
        </w:rPr>
        <w:t>文件，我方知道必须放弃提出含糊不清或误解问题的权利。</w:t>
      </w:r>
    </w:p>
    <w:p w14:paraId="53B89407">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7、如我方有</w:t>
      </w:r>
      <w:r>
        <w:rPr>
          <w:rFonts w:hint="eastAsia" w:ascii="宋体" w:hAnsi="Courier New" w:cs="Courier New"/>
          <w:color w:val="auto"/>
          <w:sz w:val="24"/>
          <w:szCs w:val="24"/>
          <w:highlight w:val="none"/>
          <w:lang w:val="en-US" w:eastAsia="zh-CN"/>
        </w:rPr>
        <w:t>不满足</w:t>
      </w:r>
      <w:r>
        <w:rPr>
          <w:rFonts w:hint="eastAsia" w:ascii="宋体" w:hAnsi="Courier New" w:cs="Courier New"/>
          <w:color w:val="auto"/>
          <w:sz w:val="24"/>
          <w:szCs w:val="24"/>
          <w:highlight w:val="none"/>
        </w:rPr>
        <w:t>本项目</w:t>
      </w:r>
      <w:r>
        <w:rPr>
          <w:rFonts w:hint="eastAsia" w:ascii="宋体" w:hAnsi="Courier New" w:cs="Courier New"/>
          <w:color w:val="auto"/>
          <w:sz w:val="24"/>
          <w:szCs w:val="24"/>
          <w:highlight w:val="none"/>
          <w:lang w:val="en-US" w:eastAsia="zh-CN"/>
        </w:rPr>
        <w:t>采购文件要求或国家相关规定</w:t>
      </w:r>
      <w:r>
        <w:rPr>
          <w:rFonts w:hint="eastAsia" w:ascii="宋体" w:hAnsi="Courier New" w:cs="Courier New"/>
          <w:color w:val="auto"/>
          <w:sz w:val="24"/>
          <w:szCs w:val="24"/>
          <w:highlight w:val="none"/>
        </w:rPr>
        <w:t>的情形之一的，贵方有权</w:t>
      </w:r>
      <w:r>
        <w:rPr>
          <w:rFonts w:hint="eastAsia" w:ascii="宋体" w:hAnsi="Courier New" w:cs="Courier New"/>
          <w:color w:val="auto"/>
          <w:sz w:val="24"/>
          <w:szCs w:val="24"/>
          <w:highlight w:val="none"/>
          <w:lang w:val="en-US" w:eastAsia="zh-CN"/>
        </w:rPr>
        <w:t>中止</w:t>
      </w:r>
      <w:r>
        <w:rPr>
          <w:rFonts w:hint="eastAsia" w:ascii="宋体" w:hAnsi="Courier New" w:cs="Courier New"/>
          <w:color w:val="auto"/>
          <w:sz w:val="24"/>
          <w:szCs w:val="24"/>
          <w:highlight w:val="none"/>
        </w:rPr>
        <w:t>我方</w:t>
      </w:r>
      <w:r>
        <w:rPr>
          <w:rFonts w:hint="eastAsia" w:ascii="宋体" w:hAnsi="Courier New" w:cs="Courier New"/>
          <w:color w:val="auto"/>
          <w:sz w:val="24"/>
          <w:szCs w:val="24"/>
          <w:highlight w:val="none"/>
          <w:lang w:val="en-US" w:eastAsia="zh-CN"/>
        </w:rPr>
        <w:t>竞价资格。</w:t>
      </w:r>
    </w:p>
    <w:p w14:paraId="3E9DF677">
      <w:pPr>
        <w:snapToGrid w:val="0"/>
        <w:spacing w:line="360" w:lineRule="auto"/>
        <w:ind w:firstLine="480" w:firstLineChars="200"/>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lang w:val="en-US" w:eastAsia="zh-CN"/>
        </w:rPr>
        <w:t>8</w:t>
      </w:r>
      <w:r>
        <w:rPr>
          <w:rFonts w:hint="eastAsia" w:ascii="宋体" w:hAnsi="Courier New" w:cs="Courier New"/>
          <w:color w:val="auto"/>
          <w:sz w:val="24"/>
          <w:szCs w:val="24"/>
          <w:highlight w:val="none"/>
        </w:rPr>
        <w:t>、我方同意应贵方要求提供与本</w:t>
      </w:r>
      <w:r>
        <w:rPr>
          <w:rFonts w:hint="eastAsia" w:ascii="宋体" w:hAnsi="Courier New" w:cs="Courier New"/>
          <w:color w:val="auto"/>
          <w:sz w:val="24"/>
          <w:szCs w:val="24"/>
          <w:highlight w:val="none"/>
          <w:lang w:val="en-US" w:eastAsia="zh-CN"/>
        </w:rPr>
        <w:t>次采购</w:t>
      </w:r>
      <w:r>
        <w:rPr>
          <w:rFonts w:hint="eastAsia" w:ascii="宋体" w:hAnsi="Courier New" w:cs="Courier New"/>
          <w:color w:val="auto"/>
          <w:sz w:val="24"/>
          <w:szCs w:val="24"/>
          <w:highlight w:val="none"/>
        </w:rPr>
        <w:t>有关的任何数据或资料。若贵方需要，我方愿意提供我方作出的一切承诺的证明材料。</w:t>
      </w:r>
    </w:p>
    <w:p w14:paraId="35127CBB">
      <w:pPr>
        <w:snapToGrid w:val="0"/>
        <w:spacing w:line="360" w:lineRule="auto"/>
        <w:ind w:firstLine="480" w:firstLineChars="200"/>
        <w:rPr>
          <w:rFonts w:hint="eastAsia" w:ascii="宋体" w:hAnsi="Courier New" w:cs="Courier New"/>
          <w:color w:val="auto"/>
          <w:sz w:val="24"/>
          <w:szCs w:val="24"/>
          <w:highlight w:val="none"/>
        </w:rPr>
      </w:pPr>
    </w:p>
    <w:p w14:paraId="38547316">
      <w:pPr>
        <w:keepNext w:val="0"/>
        <w:keepLines w:val="0"/>
        <w:pageBreakBefore w:val="0"/>
        <w:widowControl w:val="0"/>
        <w:kinsoku/>
        <w:wordWrap/>
        <w:overflowPunct/>
        <w:topLinePunct w:val="0"/>
        <w:autoSpaceDE/>
        <w:autoSpaceDN/>
        <w:bidi w:val="0"/>
        <w:snapToGrid w:val="0"/>
        <w:spacing w:line="360" w:lineRule="auto"/>
        <w:ind w:firstLine="3360" w:firstLineChars="1400"/>
        <w:textAlignment w:val="auto"/>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lang w:eastAsia="zh-CN"/>
        </w:rPr>
        <w:t>投标人</w:t>
      </w:r>
      <w:r>
        <w:rPr>
          <w:rFonts w:hint="eastAsia" w:ascii="宋体" w:hAnsi="Courier New" w:cs="Courier New"/>
          <w:color w:val="auto"/>
          <w:sz w:val="24"/>
          <w:szCs w:val="24"/>
          <w:highlight w:val="none"/>
        </w:rPr>
        <w:t>（公章）：</w:t>
      </w:r>
    </w:p>
    <w:p w14:paraId="11E25E8F">
      <w:pPr>
        <w:keepNext w:val="0"/>
        <w:keepLines w:val="0"/>
        <w:pageBreakBefore w:val="0"/>
        <w:widowControl w:val="0"/>
        <w:kinsoku/>
        <w:wordWrap/>
        <w:overflowPunct/>
        <w:topLinePunct w:val="0"/>
        <w:autoSpaceDE/>
        <w:autoSpaceDN/>
        <w:bidi w:val="0"/>
        <w:snapToGrid w:val="0"/>
        <w:spacing w:line="360" w:lineRule="auto"/>
        <w:ind w:firstLine="3360" w:firstLineChars="1400"/>
        <w:textAlignment w:val="auto"/>
        <w:rPr>
          <w:rFonts w:hint="eastAsia" w:ascii="宋体" w:hAnsi="Courier New" w:cs="Courier New"/>
          <w:color w:val="auto"/>
          <w:sz w:val="24"/>
          <w:szCs w:val="24"/>
          <w:highlight w:val="none"/>
        </w:rPr>
      </w:pPr>
      <w:r>
        <w:rPr>
          <w:rFonts w:hint="eastAsia" w:ascii="宋体" w:hAnsi="Courier New" w:cs="Courier New"/>
          <w:color w:val="auto"/>
          <w:sz w:val="24"/>
          <w:szCs w:val="24"/>
          <w:highlight w:val="none"/>
        </w:rPr>
        <w:t>法定代表人（签字</w:t>
      </w:r>
      <w:r>
        <w:rPr>
          <w:rFonts w:hint="eastAsia" w:ascii="宋体" w:hAnsi="Courier New" w:cs="Courier New"/>
          <w:color w:val="auto"/>
          <w:sz w:val="24"/>
          <w:szCs w:val="24"/>
          <w:highlight w:val="none"/>
          <w:lang w:val="en-US" w:eastAsia="zh-CN"/>
        </w:rPr>
        <w:t>或盖章</w:t>
      </w:r>
      <w:r>
        <w:rPr>
          <w:rFonts w:hint="eastAsia" w:ascii="宋体" w:hAnsi="Courier New" w:cs="Courier New"/>
          <w:color w:val="auto"/>
          <w:sz w:val="24"/>
          <w:szCs w:val="24"/>
          <w:highlight w:val="none"/>
        </w:rPr>
        <w:t>）：</w:t>
      </w:r>
    </w:p>
    <w:p w14:paraId="40C053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rPr>
      </w:pPr>
      <w:r>
        <w:rPr>
          <w:rFonts w:hint="eastAsia" w:ascii="宋体" w:hAnsi="Courier New" w:cs="Courier New"/>
          <w:color w:val="auto"/>
          <w:sz w:val="24"/>
          <w:szCs w:val="24"/>
          <w:highlight w:val="none"/>
          <w:lang w:val="en-US" w:eastAsia="zh-CN"/>
        </w:rPr>
        <w:t xml:space="preserve">                                日期：     </w:t>
      </w:r>
      <w:r>
        <w:rPr>
          <w:rFonts w:hint="eastAsia" w:ascii="宋体" w:hAnsi="Courier New" w:cs="Courier New"/>
          <w:color w:val="auto"/>
          <w:sz w:val="24"/>
          <w:szCs w:val="24"/>
          <w:highlight w:val="none"/>
        </w:rPr>
        <w:t>年   月   日</w:t>
      </w:r>
    </w:p>
    <w:p w14:paraId="70229BB3">
      <w:pPr>
        <w:bidi w:val="0"/>
        <w:rPr>
          <w:rFonts w:hint="default"/>
          <w:lang w:val="en-US" w:eastAsia="zh-CN"/>
        </w:rPr>
      </w:pPr>
    </w:p>
    <w:p w14:paraId="3C831C66">
      <w:pPr>
        <w:tabs>
          <w:tab w:val="left" w:pos="1147"/>
        </w:tabs>
        <w:bidi w:val="0"/>
        <w:jc w:val="left"/>
        <w:rPr>
          <w:rFonts w:hint="default"/>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lang w:val="en-US" w:eastAsia="zh-CN"/>
        </w:rPr>
        <w:tab/>
      </w:r>
    </w:p>
    <w:p w14:paraId="46D27AED">
      <w:pPr>
        <w:spacing w:line="500" w:lineRule="exact"/>
        <w:jc w:val="center"/>
        <w:rPr>
          <w:rFonts w:hint="eastAsia" w:ascii="仿宋" w:hAnsi="仿宋" w:eastAsia="仿宋" w:cs="仿宋_GB2312"/>
          <w:b/>
          <w:color w:val="auto"/>
          <w:sz w:val="30"/>
          <w:szCs w:val="30"/>
        </w:rPr>
      </w:pPr>
      <w:r>
        <w:rPr>
          <w:rFonts w:hint="eastAsia" w:ascii="仿宋" w:hAnsi="仿宋" w:eastAsia="仿宋" w:cs="仿宋_GB2312"/>
          <w:b/>
          <w:color w:val="auto"/>
          <w:sz w:val="36"/>
          <w:szCs w:val="36"/>
        </w:rPr>
        <w:t>报价表</w:t>
      </w:r>
    </w:p>
    <w:p w14:paraId="4B242EFB">
      <w:pPr>
        <w:spacing w:line="500" w:lineRule="exact"/>
        <w:rPr>
          <w:rFonts w:hint="default" w:ascii="宋体" w:hAnsi="宋体" w:eastAsiaTheme="minorEastAsia"/>
          <w:color w:val="auto"/>
          <w:sz w:val="24"/>
          <w:u w:val="single"/>
          <w:lang w:val="en-US" w:eastAsia="zh-CN"/>
        </w:rPr>
      </w:pPr>
      <w:r>
        <w:rPr>
          <w:rFonts w:hint="eastAsia" w:ascii="宋体" w:hAnsi="宋体"/>
          <w:color w:val="auto"/>
          <w:sz w:val="24"/>
        </w:rPr>
        <w:t>项目名称：</w:t>
      </w:r>
      <w:r>
        <w:rPr>
          <w:rFonts w:hint="eastAsia" w:ascii="宋体" w:hAnsi="宋体"/>
          <w:color w:val="auto"/>
          <w:sz w:val="24"/>
          <w:u w:val="single"/>
          <w:lang w:val="en-US" w:eastAsia="zh-CN"/>
        </w:rPr>
        <w:t xml:space="preserve">           </w:t>
      </w:r>
    </w:p>
    <w:p w14:paraId="619FC2BF">
      <w:pPr>
        <w:snapToGrid w:val="0"/>
        <w:spacing w:before="50" w:after="50" w:line="360" w:lineRule="auto"/>
        <w:rPr>
          <w:rFonts w:hint="default" w:ascii="宋体" w:hAnsi="宋体" w:eastAsia="宋体"/>
          <w:color w:val="auto"/>
          <w:sz w:val="24"/>
          <w:u w:val="single"/>
          <w:lang w:val="en-US" w:eastAsia="zh-CN"/>
        </w:rPr>
      </w:pPr>
      <w:r>
        <w:rPr>
          <w:rFonts w:hint="eastAsia" w:ascii="宋体" w:hAnsi="宋体"/>
          <w:color w:val="auto"/>
          <w:sz w:val="24"/>
        </w:rPr>
        <w:t>项目编号</w:t>
      </w:r>
      <w:r>
        <w:rPr>
          <w:rFonts w:hint="eastAsia" w:ascii="宋体" w:hAnsi="宋体"/>
          <w:color w:val="auto"/>
          <w:sz w:val="24"/>
          <w:lang w:eastAsia="zh-CN"/>
        </w:rPr>
        <w:t>：</w:t>
      </w:r>
      <w:r>
        <w:rPr>
          <w:rFonts w:hint="eastAsia" w:ascii="宋体" w:hAnsi="宋体"/>
          <w:color w:val="auto"/>
          <w:sz w:val="24"/>
          <w:u w:val="single"/>
          <w:lang w:val="en-US" w:eastAsia="zh-CN"/>
        </w:rPr>
        <w:t xml:space="preserve">             </w:t>
      </w:r>
    </w:p>
    <w:tbl>
      <w:tblPr>
        <w:tblStyle w:val="6"/>
        <w:tblpPr w:leftFromText="180" w:rightFromText="180" w:vertAnchor="text" w:horzAnchor="page" w:tblpX="1117" w:tblpY="528"/>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83"/>
        <w:gridCol w:w="1611"/>
        <w:gridCol w:w="1532"/>
        <w:gridCol w:w="1080"/>
        <w:gridCol w:w="954"/>
        <w:gridCol w:w="1570"/>
        <w:gridCol w:w="1085"/>
      </w:tblGrid>
      <w:tr w14:paraId="2674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48077405">
            <w:pPr>
              <w:jc w:val="center"/>
              <w:rPr>
                <w:rFonts w:hint="eastAsia" w:ascii="宋体" w:hAnsi="宋体"/>
                <w:color w:val="auto"/>
                <w:szCs w:val="22"/>
              </w:rPr>
            </w:pPr>
            <w:r>
              <w:rPr>
                <w:rFonts w:hint="eastAsia" w:ascii="宋体" w:hAnsi="宋体"/>
                <w:color w:val="auto"/>
                <w:szCs w:val="22"/>
              </w:rPr>
              <w:t>序号</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02C1AE33">
            <w:pPr>
              <w:jc w:val="center"/>
              <w:rPr>
                <w:rFonts w:hint="eastAsia" w:ascii="宋体" w:hAnsi="宋体"/>
                <w:color w:val="auto"/>
                <w:szCs w:val="22"/>
              </w:rPr>
            </w:pPr>
            <w:r>
              <w:rPr>
                <w:rFonts w:hint="eastAsia" w:ascii="宋体" w:hAnsi="宋体"/>
                <w:color w:val="auto"/>
                <w:szCs w:val="22"/>
              </w:rPr>
              <w:t>货物名称</w:t>
            </w:r>
          </w:p>
        </w:tc>
        <w:tc>
          <w:tcPr>
            <w:tcW w:w="1611" w:type="dxa"/>
            <w:tcBorders>
              <w:top w:val="single" w:color="auto" w:sz="4" w:space="0"/>
              <w:left w:val="single" w:color="auto" w:sz="4" w:space="0"/>
              <w:bottom w:val="single" w:color="auto" w:sz="4" w:space="0"/>
              <w:right w:val="single" w:color="auto" w:sz="4" w:space="0"/>
            </w:tcBorders>
            <w:noWrap w:val="0"/>
            <w:vAlign w:val="center"/>
          </w:tcPr>
          <w:p w14:paraId="68316FF3">
            <w:pPr>
              <w:jc w:val="center"/>
              <w:rPr>
                <w:rFonts w:hint="eastAsia" w:ascii="宋体" w:hAnsi="宋体"/>
                <w:color w:val="auto"/>
                <w:szCs w:val="22"/>
              </w:rPr>
            </w:pPr>
            <w:r>
              <w:rPr>
                <w:rFonts w:hint="eastAsia" w:ascii="宋体" w:hAnsi="宋体"/>
                <w:color w:val="auto"/>
                <w:szCs w:val="22"/>
              </w:rPr>
              <w:t>货物规格型号</w:t>
            </w:r>
          </w:p>
        </w:tc>
        <w:tc>
          <w:tcPr>
            <w:tcW w:w="1532" w:type="dxa"/>
            <w:tcBorders>
              <w:top w:val="single" w:color="auto" w:sz="4" w:space="0"/>
              <w:left w:val="single" w:color="auto" w:sz="4" w:space="0"/>
              <w:bottom w:val="single" w:color="auto" w:sz="4" w:space="0"/>
              <w:right w:val="single" w:color="auto" w:sz="4" w:space="0"/>
            </w:tcBorders>
            <w:noWrap w:val="0"/>
            <w:vAlign w:val="center"/>
          </w:tcPr>
          <w:p w14:paraId="602D4E48">
            <w:pPr>
              <w:jc w:val="center"/>
              <w:rPr>
                <w:rFonts w:ascii="宋体" w:hAnsi="宋体"/>
                <w:color w:val="auto"/>
                <w:szCs w:val="22"/>
              </w:rPr>
            </w:pPr>
            <w:r>
              <w:rPr>
                <w:rFonts w:ascii="宋体" w:hAnsi="宋体"/>
                <w:color w:val="auto"/>
                <w:szCs w:val="22"/>
              </w:rPr>
              <w:t>品牌（如有）</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A488435">
            <w:pPr>
              <w:jc w:val="center"/>
              <w:rPr>
                <w:rFonts w:hint="eastAsia" w:ascii="宋体" w:hAnsi="宋体"/>
                <w:color w:val="auto"/>
                <w:szCs w:val="22"/>
              </w:rPr>
            </w:pPr>
            <w:r>
              <w:rPr>
                <w:rFonts w:hint="eastAsia" w:ascii="宋体" w:hAnsi="宋体"/>
                <w:color w:val="auto"/>
                <w:szCs w:val="22"/>
              </w:rPr>
              <w:t>数量①</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5FF4A3A3">
            <w:pPr>
              <w:jc w:val="center"/>
              <w:rPr>
                <w:rFonts w:hint="eastAsia" w:ascii="宋体" w:hAnsi="宋体"/>
                <w:color w:val="auto"/>
                <w:szCs w:val="22"/>
              </w:rPr>
            </w:pPr>
            <w:r>
              <w:rPr>
                <w:rFonts w:hint="eastAsia" w:ascii="宋体" w:hAnsi="宋体"/>
                <w:color w:val="auto"/>
                <w:szCs w:val="22"/>
              </w:rPr>
              <w:t>单价(元)②</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32BD1AB9">
            <w:pPr>
              <w:jc w:val="center"/>
              <w:rPr>
                <w:rFonts w:hint="eastAsia" w:ascii="宋体" w:hAnsi="宋体"/>
                <w:color w:val="auto"/>
                <w:szCs w:val="22"/>
              </w:rPr>
            </w:pPr>
            <w:r>
              <w:rPr>
                <w:rFonts w:hint="eastAsia" w:ascii="宋体" w:hAnsi="宋体"/>
                <w:color w:val="auto"/>
                <w:szCs w:val="22"/>
              </w:rPr>
              <w:t>单项合价（元）</w:t>
            </w:r>
          </w:p>
          <w:p w14:paraId="1BB3CFD1">
            <w:pPr>
              <w:jc w:val="center"/>
              <w:rPr>
                <w:rFonts w:hint="eastAsia" w:ascii="宋体" w:hAnsi="宋体"/>
                <w:color w:val="auto"/>
                <w:szCs w:val="22"/>
              </w:rPr>
            </w:pPr>
            <w:r>
              <w:rPr>
                <w:rFonts w:hint="eastAsia" w:ascii="宋体" w:hAnsi="宋体"/>
                <w:color w:val="auto"/>
                <w:szCs w:val="22"/>
              </w:rPr>
              <w:t>③＝①×②</w:t>
            </w:r>
          </w:p>
        </w:tc>
        <w:tc>
          <w:tcPr>
            <w:tcW w:w="1085" w:type="dxa"/>
            <w:tcBorders>
              <w:top w:val="single" w:color="auto" w:sz="4" w:space="0"/>
              <w:left w:val="single" w:color="auto" w:sz="4" w:space="0"/>
              <w:bottom w:val="single" w:color="auto" w:sz="4" w:space="0"/>
              <w:right w:val="single" w:color="auto" w:sz="4" w:space="0"/>
            </w:tcBorders>
            <w:noWrap w:val="0"/>
            <w:vAlign w:val="center"/>
          </w:tcPr>
          <w:p w14:paraId="7578B215">
            <w:pPr>
              <w:jc w:val="center"/>
              <w:rPr>
                <w:rFonts w:hint="eastAsia" w:ascii="宋体" w:hAnsi="宋体"/>
                <w:color w:val="auto"/>
                <w:szCs w:val="22"/>
              </w:rPr>
            </w:pPr>
            <w:r>
              <w:rPr>
                <w:rFonts w:hint="eastAsia" w:ascii="宋体" w:hAnsi="宋体"/>
                <w:color w:val="auto"/>
                <w:szCs w:val="22"/>
              </w:rPr>
              <w:t>备注</w:t>
            </w:r>
          </w:p>
        </w:tc>
      </w:tr>
      <w:tr w14:paraId="7C1B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53122788">
            <w:pPr>
              <w:jc w:val="center"/>
              <w:rPr>
                <w:rFonts w:hint="eastAsia" w:ascii="宋体" w:hAnsi="宋体"/>
                <w:color w:val="auto"/>
                <w:szCs w:val="22"/>
              </w:rPr>
            </w:pPr>
            <w:r>
              <w:rPr>
                <w:rFonts w:hint="eastAsia" w:ascii="宋体" w:hAnsi="宋体"/>
                <w:color w:val="auto"/>
                <w:szCs w:val="22"/>
              </w:rPr>
              <w:t>1</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48340040">
            <w:pPr>
              <w:rPr>
                <w:rFonts w:hint="eastAsia" w:ascii="宋体" w:hAnsi="宋体"/>
                <w:color w:val="auto"/>
                <w:szCs w:val="22"/>
              </w:rPr>
            </w:pPr>
          </w:p>
        </w:tc>
        <w:tc>
          <w:tcPr>
            <w:tcW w:w="1611" w:type="dxa"/>
            <w:tcBorders>
              <w:top w:val="single" w:color="auto" w:sz="4" w:space="0"/>
              <w:left w:val="single" w:color="auto" w:sz="4" w:space="0"/>
              <w:bottom w:val="single" w:color="auto" w:sz="4" w:space="0"/>
              <w:right w:val="single" w:color="auto" w:sz="4" w:space="0"/>
            </w:tcBorders>
            <w:noWrap w:val="0"/>
            <w:vAlign w:val="center"/>
          </w:tcPr>
          <w:p w14:paraId="5E7CF889">
            <w:pPr>
              <w:rPr>
                <w:rFonts w:hint="eastAsia" w:ascii="宋体" w:hAnsi="宋体"/>
                <w:color w:val="auto"/>
                <w:szCs w:val="22"/>
              </w:rPr>
            </w:pPr>
          </w:p>
        </w:tc>
        <w:tc>
          <w:tcPr>
            <w:tcW w:w="1532" w:type="dxa"/>
            <w:tcBorders>
              <w:top w:val="single" w:color="auto" w:sz="4" w:space="0"/>
              <w:left w:val="single" w:color="auto" w:sz="4" w:space="0"/>
              <w:bottom w:val="single" w:color="auto" w:sz="4" w:space="0"/>
              <w:right w:val="single" w:color="auto" w:sz="4" w:space="0"/>
            </w:tcBorders>
            <w:noWrap w:val="0"/>
            <w:vAlign w:val="center"/>
          </w:tcPr>
          <w:p w14:paraId="4B9495BC">
            <w:pPr>
              <w:rPr>
                <w:rFonts w:hint="eastAsia" w:ascii="宋体" w:hAnsi="宋体"/>
                <w:color w:val="auto"/>
                <w:szCs w:val="22"/>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C6AB346">
            <w:pPr>
              <w:rPr>
                <w:rFonts w:hint="eastAsia" w:ascii="宋体" w:hAnsi="宋体"/>
                <w:color w:val="auto"/>
                <w:szCs w:val="22"/>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46286334">
            <w:pPr>
              <w:rPr>
                <w:rFonts w:hint="eastAsia" w:ascii="宋体" w:hAnsi="宋体"/>
                <w:color w:val="auto"/>
                <w:szCs w:val="22"/>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6FB3AA91">
            <w:pPr>
              <w:rPr>
                <w:rFonts w:hint="eastAsia" w:ascii="宋体" w:hAnsi="宋体"/>
                <w:color w:val="auto"/>
                <w:szCs w:val="22"/>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60E64B56">
            <w:pPr>
              <w:rPr>
                <w:rFonts w:hint="eastAsia" w:ascii="宋体" w:hAnsi="宋体"/>
                <w:color w:val="auto"/>
                <w:szCs w:val="22"/>
              </w:rPr>
            </w:pPr>
          </w:p>
        </w:tc>
      </w:tr>
      <w:tr w14:paraId="4910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3A76C97D">
            <w:pPr>
              <w:jc w:val="center"/>
              <w:rPr>
                <w:rFonts w:hint="eastAsia" w:ascii="宋体" w:hAnsi="宋体"/>
                <w:color w:val="auto"/>
                <w:szCs w:val="22"/>
              </w:rPr>
            </w:pPr>
            <w:r>
              <w:rPr>
                <w:rFonts w:hint="eastAsia" w:ascii="宋体" w:hAnsi="宋体"/>
                <w:color w:val="auto"/>
                <w:szCs w:val="22"/>
              </w:rPr>
              <w:t>2</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589F13D6">
            <w:pPr>
              <w:rPr>
                <w:rFonts w:hint="eastAsia" w:ascii="宋体" w:hAnsi="宋体"/>
                <w:color w:val="auto"/>
                <w:szCs w:val="22"/>
              </w:rPr>
            </w:pPr>
          </w:p>
        </w:tc>
        <w:tc>
          <w:tcPr>
            <w:tcW w:w="1611" w:type="dxa"/>
            <w:tcBorders>
              <w:top w:val="single" w:color="auto" w:sz="4" w:space="0"/>
              <w:left w:val="single" w:color="auto" w:sz="4" w:space="0"/>
              <w:bottom w:val="single" w:color="auto" w:sz="4" w:space="0"/>
              <w:right w:val="single" w:color="auto" w:sz="4" w:space="0"/>
            </w:tcBorders>
            <w:noWrap w:val="0"/>
            <w:vAlign w:val="center"/>
          </w:tcPr>
          <w:p w14:paraId="742932E4">
            <w:pPr>
              <w:rPr>
                <w:rFonts w:hint="eastAsia" w:ascii="宋体" w:hAnsi="宋体"/>
                <w:color w:val="auto"/>
                <w:szCs w:val="22"/>
              </w:rPr>
            </w:pPr>
          </w:p>
        </w:tc>
        <w:tc>
          <w:tcPr>
            <w:tcW w:w="1532" w:type="dxa"/>
            <w:tcBorders>
              <w:top w:val="single" w:color="auto" w:sz="4" w:space="0"/>
              <w:left w:val="single" w:color="auto" w:sz="4" w:space="0"/>
              <w:bottom w:val="single" w:color="auto" w:sz="4" w:space="0"/>
              <w:right w:val="single" w:color="auto" w:sz="4" w:space="0"/>
            </w:tcBorders>
            <w:noWrap w:val="0"/>
            <w:vAlign w:val="center"/>
          </w:tcPr>
          <w:p w14:paraId="030F0713">
            <w:pPr>
              <w:rPr>
                <w:rFonts w:hint="eastAsia" w:ascii="宋体" w:hAnsi="宋体"/>
                <w:color w:val="auto"/>
                <w:szCs w:val="22"/>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ED64888">
            <w:pPr>
              <w:rPr>
                <w:rFonts w:hint="eastAsia" w:ascii="宋体" w:hAnsi="宋体"/>
                <w:color w:val="auto"/>
                <w:szCs w:val="22"/>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6D03BD75">
            <w:pPr>
              <w:rPr>
                <w:rFonts w:hint="eastAsia" w:ascii="宋体" w:hAnsi="宋体"/>
                <w:color w:val="auto"/>
                <w:szCs w:val="22"/>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667504DB">
            <w:pPr>
              <w:rPr>
                <w:rFonts w:hint="eastAsia" w:ascii="宋体" w:hAnsi="宋体"/>
                <w:color w:val="auto"/>
                <w:szCs w:val="22"/>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0D9EDF58">
            <w:pPr>
              <w:rPr>
                <w:rFonts w:hint="eastAsia" w:ascii="宋体" w:hAnsi="宋体"/>
                <w:color w:val="auto"/>
                <w:szCs w:val="22"/>
              </w:rPr>
            </w:pPr>
          </w:p>
        </w:tc>
      </w:tr>
      <w:tr w14:paraId="57FF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595" w:type="dxa"/>
            <w:tcBorders>
              <w:top w:val="single" w:color="auto" w:sz="4" w:space="0"/>
              <w:left w:val="single" w:color="auto" w:sz="4" w:space="0"/>
              <w:bottom w:val="single" w:color="auto" w:sz="4" w:space="0"/>
              <w:right w:val="single" w:color="auto" w:sz="4" w:space="0"/>
            </w:tcBorders>
            <w:noWrap w:val="0"/>
            <w:vAlign w:val="center"/>
          </w:tcPr>
          <w:p w14:paraId="14892ACE">
            <w:pPr>
              <w:rPr>
                <w:rFonts w:hint="eastAsia" w:ascii="宋体" w:hAnsi="宋体"/>
                <w:color w:val="auto"/>
                <w:szCs w:val="22"/>
              </w:rPr>
            </w:pPr>
            <w:r>
              <w:rPr>
                <w:rFonts w:hint="eastAsia" w:ascii="宋体" w:hAnsi="宋体"/>
                <w:color w:val="auto"/>
                <w:szCs w:val="22"/>
              </w:rPr>
              <w:t>...</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55946E14">
            <w:pPr>
              <w:rPr>
                <w:rFonts w:hint="eastAsia" w:ascii="宋体" w:hAnsi="宋体"/>
                <w:color w:val="auto"/>
                <w:szCs w:val="22"/>
              </w:rPr>
            </w:pPr>
          </w:p>
        </w:tc>
        <w:tc>
          <w:tcPr>
            <w:tcW w:w="1611" w:type="dxa"/>
            <w:tcBorders>
              <w:top w:val="single" w:color="auto" w:sz="4" w:space="0"/>
              <w:left w:val="single" w:color="auto" w:sz="4" w:space="0"/>
              <w:bottom w:val="single" w:color="auto" w:sz="4" w:space="0"/>
              <w:right w:val="single" w:color="auto" w:sz="4" w:space="0"/>
            </w:tcBorders>
            <w:noWrap w:val="0"/>
            <w:vAlign w:val="center"/>
          </w:tcPr>
          <w:p w14:paraId="276B94AB">
            <w:pPr>
              <w:rPr>
                <w:rFonts w:hint="eastAsia" w:ascii="宋体" w:hAnsi="宋体"/>
                <w:color w:val="auto"/>
                <w:szCs w:val="22"/>
              </w:rPr>
            </w:pPr>
          </w:p>
        </w:tc>
        <w:tc>
          <w:tcPr>
            <w:tcW w:w="1532" w:type="dxa"/>
            <w:tcBorders>
              <w:top w:val="single" w:color="auto" w:sz="4" w:space="0"/>
              <w:left w:val="single" w:color="auto" w:sz="4" w:space="0"/>
              <w:bottom w:val="single" w:color="auto" w:sz="4" w:space="0"/>
              <w:right w:val="single" w:color="auto" w:sz="4" w:space="0"/>
            </w:tcBorders>
            <w:noWrap w:val="0"/>
            <w:vAlign w:val="center"/>
          </w:tcPr>
          <w:p w14:paraId="46A933A7">
            <w:pPr>
              <w:rPr>
                <w:rFonts w:hint="eastAsia" w:ascii="宋体" w:hAnsi="宋体"/>
                <w:color w:val="auto"/>
                <w:szCs w:val="22"/>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728F784">
            <w:pPr>
              <w:rPr>
                <w:rFonts w:hint="eastAsia" w:ascii="宋体" w:hAnsi="宋体"/>
                <w:color w:val="auto"/>
                <w:szCs w:val="22"/>
              </w:rPr>
            </w:pPr>
          </w:p>
        </w:tc>
        <w:tc>
          <w:tcPr>
            <w:tcW w:w="954" w:type="dxa"/>
            <w:tcBorders>
              <w:top w:val="single" w:color="auto" w:sz="4" w:space="0"/>
              <w:left w:val="single" w:color="auto" w:sz="4" w:space="0"/>
              <w:bottom w:val="single" w:color="auto" w:sz="4" w:space="0"/>
              <w:right w:val="single" w:color="auto" w:sz="4" w:space="0"/>
            </w:tcBorders>
            <w:noWrap w:val="0"/>
            <w:vAlign w:val="center"/>
          </w:tcPr>
          <w:p w14:paraId="0267C9B3">
            <w:pPr>
              <w:rPr>
                <w:rFonts w:hint="eastAsia" w:ascii="宋体" w:hAnsi="宋体"/>
                <w:color w:val="auto"/>
                <w:szCs w:val="22"/>
              </w:rPr>
            </w:pPr>
          </w:p>
        </w:tc>
        <w:tc>
          <w:tcPr>
            <w:tcW w:w="1570" w:type="dxa"/>
            <w:tcBorders>
              <w:top w:val="single" w:color="auto" w:sz="4" w:space="0"/>
              <w:left w:val="single" w:color="auto" w:sz="4" w:space="0"/>
              <w:bottom w:val="single" w:color="auto" w:sz="4" w:space="0"/>
              <w:right w:val="single" w:color="auto" w:sz="4" w:space="0"/>
            </w:tcBorders>
            <w:noWrap w:val="0"/>
            <w:vAlign w:val="center"/>
          </w:tcPr>
          <w:p w14:paraId="35948EEF">
            <w:pPr>
              <w:rPr>
                <w:rFonts w:hint="eastAsia" w:ascii="宋体" w:hAnsi="宋体"/>
                <w:color w:val="auto"/>
                <w:szCs w:val="22"/>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7FFA1C56">
            <w:pPr>
              <w:rPr>
                <w:rFonts w:hint="eastAsia" w:ascii="宋体" w:hAnsi="宋体"/>
                <w:color w:val="auto"/>
                <w:szCs w:val="22"/>
              </w:rPr>
            </w:pPr>
          </w:p>
        </w:tc>
      </w:tr>
      <w:tr w14:paraId="2380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0"/>
            <w:vAlign w:val="top"/>
          </w:tcPr>
          <w:p w14:paraId="05D68D07">
            <w:pPr>
              <w:rPr>
                <w:rFonts w:hint="eastAsia" w:ascii="宋体" w:hAnsi="宋体"/>
                <w:color w:val="auto"/>
                <w:szCs w:val="22"/>
              </w:rPr>
            </w:pPr>
            <w:r>
              <w:rPr>
                <w:rFonts w:hint="eastAsia" w:ascii="宋体" w:hAnsi="宋体"/>
                <w:color w:val="auto"/>
                <w:szCs w:val="22"/>
              </w:rPr>
              <w:t>报价合计（包含税费等所有费用）：（大写）人民币                                       （￥                元）</w:t>
            </w:r>
          </w:p>
        </w:tc>
      </w:tr>
    </w:tbl>
    <w:p w14:paraId="53F2245F">
      <w:pPr>
        <w:keepNext w:val="0"/>
        <w:keepLines w:val="0"/>
        <w:pageBreakBefore w:val="0"/>
        <w:widowControl w:val="0"/>
        <w:tabs>
          <w:tab w:val="left" w:pos="2115"/>
        </w:tabs>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sz w:val="21"/>
          <w:szCs w:val="21"/>
          <w:highlight w:val="none"/>
          <w:lang w:val="en-US" w:eastAsia="zh-CN"/>
        </w:rPr>
      </w:pPr>
    </w:p>
    <w:p w14:paraId="76F629F5">
      <w:pPr>
        <w:bidi w:val="0"/>
        <w:ind w:firstLine="301" w:firstLineChars="0"/>
        <w:jc w:val="left"/>
        <w:rPr>
          <w:rFonts w:hint="eastAsia"/>
          <w:lang w:val="en-US" w:eastAsia="zh-CN"/>
        </w:rPr>
      </w:pPr>
    </w:p>
    <w:p w14:paraId="1B79CA63">
      <w:pPr>
        <w:bidi w:val="0"/>
        <w:rPr>
          <w:rFonts w:hint="eastAsia" w:asciiTheme="minorHAnsi" w:hAnsiTheme="minorHAnsi" w:eastAsiaTheme="minorEastAsia" w:cstheme="minorBidi"/>
          <w:kern w:val="2"/>
          <w:sz w:val="21"/>
          <w:szCs w:val="24"/>
          <w:lang w:val="en-US" w:eastAsia="zh-CN" w:bidi="ar-SA"/>
        </w:rPr>
      </w:pPr>
    </w:p>
    <w:p w14:paraId="26FA686A">
      <w:pPr>
        <w:snapToGrid w:val="0"/>
        <w:spacing w:before="50" w:after="50" w:line="360" w:lineRule="auto"/>
        <w:jc w:val="left"/>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en-US" w:eastAsia="zh-CN"/>
        </w:rPr>
        <w:t>注：</w:t>
      </w:r>
      <w:r>
        <w:rPr>
          <w:rFonts w:hint="eastAsia" w:ascii="仿宋_GB2312" w:hAnsi="仿宋" w:eastAsia="仿宋_GB2312" w:cs="仿宋_GB2312"/>
          <w:color w:val="auto"/>
          <w:kern w:val="0"/>
          <w:sz w:val="24"/>
          <w:lang w:val="zh-CN"/>
        </w:rPr>
        <w:t>1、 供应商需按本表格式填写，不得自行更改，也不得留空, 如有多分标，按分标分别提供响应报价表</w:t>
      </w:r>
      <w:r>
        <w:rPr>
          <w:rFonts w:hint="eastAsia" w:ascii="仿宋_GB2312" w:hAnsi="仿宋" w:eastAsia="仿宋_GB2312" w:cs="仿宋_GB2312"/>
          <w:b/>
          <w:color w:val="auto"/>
          <w:kern w:val="0"/>
          <w:sz w:val="24"/>
          <w:lang w:val="zh-CN"/>
        </w:rPr>
        <w:t>。</w:t>
      </w:r>
    </w:p>
    <w:p w14:paraId="23135823">
      <w:pPr>
        <w:snapToGrid w:val="0"/>
        <w:spacing w:before="50" w:after="50" w:line="360" w:lineRule="auto"/>
        <w:ind w:firstLine="480" w:firstLineChars="200"/>
        <w:jc w:val="left"/>
        <w:rPr>
          <w:rFonts w:hint="eastAsia" w:ascii="仿宋_GB2312" w:hAnsi="仿宋" w:eastAsia="仿宋_GB2312" w:cs="仿宋_GB2312"/>
          <w:b/>
          <w:color w:val="auto"/>
          <w:kern w:val="0"/>
          <w:sz w:val="24"/>
          <w:lang w:val="zh-CN"/>
        </w:rPr>
      </w:pPr>
      <w:r>
        <w:rPr>
          <w:rFonts w:hint="eastAsia" w:ascii="仿宋_GB2312" w:hAnsi="仿宋" w:eastAsia="仿宋_GB2312" w:cs="仿宋_GB2312"/>
          <w:color w:val="auto"/>
          <w:kern w:val="0"/>
          <w:sz w:val="24"/>
          <w:lang w:val="zh-CN"/>
        </w:rPr>
        <w:t>2、如为联合体响应的，“供应商名称”处必须列明联合体各方名称，并标注联合体牵头人名称，且盖章处须加盖联合体各方公章，</w:t>
      </w:r>
      <w:r>
        <w:rPr>
          <w:rFonts w:hint="eastAsia" w:ascii="仿宋_GB2312" w:hAnsi="仿宋" w:eastAsia="仿宋_GB2312" w:cs="仿宋_GB2312"/>
          <w:b/>
          <w:color w:val="auto"/>
          <w:kern w:val="0"/>
          <w:sz w:val="24"/>
          <w:lang w:val="zh-CN"/>
        </w:rPr>
        <w:t>否则其响应作无效响应处理。</w:t>
      </w:r>
    </w:p>
    <w:p w14:paraId="492BF8D4">
      <w:pPr>
        <w:snapToGrid w:val="0"/>
        <w:spacing w:before="50" w:after="50" w:line="360" w:lineRule="auto"/>
        <w:ind w:firstLine="480" w:firstLineChars="200"/>
        <w:jc w:val="left"/>
        <w:rPr>
          <w:rFonts w:hint="eastAsia" w:ascii="仿宋_GB2312" w:hAnsi="仿宋" w:eastAsia="仿宋_GB2312" w:cs="仿宋_GB2312"/>
          <w:b/>
          <w:color w:val="auto"/>
          <w:kern w:val="0"/>
          <w:sz w:val="24"/>
          <w:lang w:val="zh-CN"/>
        </w:rPr>
      </w:pPr>
      <w:r>
        <w:rPr>
          <w:rFonts w:hint="eastAsia" w:ascii="仿宋_GB2312" w:hAnsi="仿宋" w:eastAsia="仿宋_GB2312" w:cs="仿宋_GB2312"/>
          <w:color w:val="auto"/>
          <w:kern w:val="0"/>
          <w:sz w:val="24"/>
          <w:lang w:val="zh-CN"/>
        </w:rPr>
        <w:t>3、以上表格要求细分项目及报价，在“货物名称”一栏中，填写具体货物，</w:t>
      </w:r>
      <w:r>
        <w:rPr>
          <w:rFonts w:hint="eastAsia" w:ascii="仿宋_GB2312" w:hAnsi="仿宋" w:eastAsia="仿宋_GB2312" w:cs="仿宋_GB2312"/>
          <w:b/>
          <w:color w:val="auto"/>
          <w:kern w:val="0"/>
          <w:sz w:val="24"/>
          <w:lang w:val="zh-CN"/>
        </w:rPr>
        <w:t>否则其响应作无效响应处理。</w:t>
      </w:r>
    </w:p>
    <w:p w14:paraId="45DFF557">
      <w:pPr>
        <w:snapToGrid w:val="0"/>
        <w:spacing w:before="50" w:after="50" w:line="360" w:lineRule="auto"/>
        <w:ind w:firstLine="480" w:firstLineChars="200"/>
        <w:jc w:val="left"/>
        <w:rPr>
          <w:rFonts w:hint="eastAsia" w:ascii="仿宋_GB2312" w:hAnsi="仿宋" w:eastAsia="仿宋_GB2312" w:cs="仿宋_GB2312"/>
          <w:b/>
          <w:color w:val="auto"/>
          <w:kern w:val="0"/>
          <w:sz w:val="24"/>
          <w:lang w:val="zh-CN"/>
        </w:rPr>
      </w:pPr>
      <w:r>
        <w:rPr>
          <w:rFonts w:hint="eastAsia" w:ascii="仿宋_GB2312" w:hAnsi="仿宋" w:eastAsia="仿宋_GB2312" w:cs="仿宋_GB2312"/>
          <w:color w:val="auto"/>
          <w:kern w:val="0"/>
          <w:sz w:val="24"/>
          <w:lang w:val="zh-CN"/>
        </w:rPr>
        <w:t>4、投标人填报要求：开标一览表（或报价表）要求细分的单价及单项合价，不得超过采购文件《第</w:t>
      </w:r>
      <w:r>
        <w:rPr>
          <w:rFonts w:hint="eastAsia" w:ascii="仿宋_GB2312" w:hAnsi="仿宋" w:eastAsia="仿宋_GB2312" w:cs="仿宋_GB2312"/>
          <w:color w:val="auto"/>
          <w:kern w:val="0"/>
          <w:sz w:val="24"/>
          <w:lang w:val="en-US" w:eastAsia="zh-CN"/>
        </w:rPr>
        <w:t>一</w:t>
      </w:r>
      <w:r>
        <w:rPr>
          <w:rFonts w:hint="eastAsia" w:ascii="仿宋_GB2312" w:hAnsi="仿宋" w:eastAsia="仿宋_GB2312" w:cs="仿宋_GB2312"/>
          <w:color w:val="auto"/>
          <w:kern w:val="0"/>
          <w:sz w:val="24"/>
          <w:lang w:val="zh-CN"/>
        </w:rPr>
        <w:t>章</w:t>
      </w:r>
      <w:r>
        <w:rPr>
          <w:rFonts w:ascii="仿宋_GB2312" w:hAnsi="仿宋" w:eastAsia="仿宋_GB2312" w:cs="仿宋_GB2312"/>
          <w:color w:val="auto"/>
          <w:kern w:val="0"/>
          <w:sz w:val="24"/>
          <w:lang w:val="zh-CN"/>
        </w:rPr>
        <w:t xml:space="preserve"> </w:t>
      </w:r>
      <w:r>
        <w:rPr>
          <w:rFonts w:hint="eastAsia" w:ascii="仿宋_GB2312" w:hAnsi="仿宋" w:eastAsia="仿宋_GB2312" w:cs="仿宋_GB2312"/>
          <w:color w:val="auto"/>
          <w:kern w:val="0"/>
          <w:sz w:val="24"/>
          <w:lang w:val="zh-CN"/>
        </w:rPr>
        <w:t>采购需求》规定的各分项单价及分项采购预算（或者分项最高限价），否则其投标（或响应）作无效投标处理（或无效响应处理）。</w:t>
      </w:r>
    </w:p>
    <w:p w14:paraId="609F5DD1">
      <w:pPr>
        <w:autoSpaceDE w:val="0"/>
        <w:autoSpaceDN w:val="0"/>
        <w:spacing w:line="360" w:lineRule="auto"/>
        <w:ind w:firstLine="3600" w:firstLineChars="1500"/>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供应商名称（</w:t>
      </w:r>
      <w:r>
        <w:rPr>
          <w:rFonts w:hint="eastAsia" w:ascii="宋体" w:hAnsi="Courier New" w:cs="Courier New"/>
          <w:color w:val="auto"/>
          <w:sz w:val="24"/>
          <w:szCs w:val="24"/>
          <w:highlight w:val="none"/>
          <w:lang w:val="en-US" w:eastAsia="zh-CN"/>
        </w:rPr>
        <w:t>盖章</w:t>
      </w:r>
      <w:r>
        <w:rPr>
          <w:rFonts w:hint="eastAsia" w:ascii="仿宋_GB2312" w:hAnsi="仿宋" w:eastAsia="仿宋_GB2312" w:cs="仿宋_GB2312"/>
          <w:color w:val="auto"/>
          <w:kern w:val="0"/>
          <w:sz w:val="24"/>
        </w:rPr>
        <w:t>）：</w:t>
      </w:r>
      <w:r>
        <w:rPr>
          <w:rFonts w:hint="eastAsia" w:ascii="仿宋_GB2312" w:hAnsi="仿宋" w:eastAsia="仿宋_GB2312" w:cs="仿宋_GB2312"/>
          <w:color w:val="auto"/>
          <w:kern w:val="0"/>
          <w:sz w:val="24"/>
          <w:u w:val="single"/>
          <w:lang w:val="zh-CN"/>
        </w:rPr>
        <w:t xml:space="preserve">                </w:t>
      </w:r>
    </w:p>
    <w:p w14:paraId="15837E63">
      <w:pPr>
        <w:autoSpaceDE w:val="0"/>
        <w:autoSpaceDN w:val="0"/>
        <w:spacing w:line="360" w:lineRule="auto"/>
        <w:ind w:firstLine="3600" w:firstLineChars="1500"/>
        <w:rPr>
          <w:rFonts w:hint="eastAsia" w:ascii="仿宋_GB2312" w:hAnsi="仿宋" w:eastAsia="仿宋_GB2312" w:cs="仿宋_GB2312"/>
          <w:color w:val="auto"/>
          <w:kern w:val="0"/>
          <w:sz w:val="24"/>
          <w:lang w:val="zh-CN"/>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 w:eastAsia="仿宋_GB2312" w:cs="仿宋_GB2312"/>
          <w:color w:val="auto"/>
          <w:kern w:val="0"/>
          <w:sz w:val="24"/>
          <w:lang w:val="zh-CN"/>
        </w:rPr>
        <w:t>日期：  年  月   日</w:t>
      </w:r>
    </w:p>
    <w:p w14:paraId="6FA4856D">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31"/>
          <w:szCs w:val="31"/>
          <w:lang w:val="en-US" w:eastAsia="zh-CN" w:bidi="ar"/>
        </w:rPr>
        <w:t>商务、技术响应、偏离情况说明表</w:t>
      </w:r>
    </w:p>
    <w:p w14:paraId="7FE04C67">
      <w:pPr>
        <w:spacing w:line="500" w:lineRule="exact"/>
        <w:rPr>
          <w:rFonts w:hint="default" w:ascii="宋体" w:hAnsi="宋体" w:eastAsiaTheme="minorEastAsia"/>
          <w:color w:val="auto"/>
          <w:sz w:val="21"/>
          <w:szCs w:val="21"/>
          <w:u w:val="single"/>
          <w:lang w:val="en-US" w:eastAsia="zh-CN"/>
        </w:rPr>
      </w:pPr>
      <w:r>
        <w:rPr>
          <w:rFonts w:hint="eastAsia" w:ascii="宋体" w:hAnsi="宋体"/>
          <w:color w:val="auto"/>
          <w:sz w:val="21"/>
          <w:szCs w:val="21"/>
        </w:rPr>
        <w:t>项目名称：</w:t>
      </w:r>
      <w:r>
        <w:rPr>
          <w:rFonts w:hint="eastAsia" w:ascii="宋体" w:hAnsi="宋体"/>
          <w:color w:val="auto"/>
          <w:sz w:val="21"/>
          <w:szCs w:val="21"/>
          <w:u w:val="single"/>
          <w:lang w:val="en-US" w:eastAsia="zh-CN"/>
        </w:rPr>
        <w:t xml:space="preserve">           </w:t>
      </w:r>
    </w:p>
    <w:p w14:paraId="52E9F3E3">
      <w:pPr>
        <w:autoSpaceDE w:val="0"/>
        <w:autoSpaceDN w:val="0"/>
        <w:spacing w:line="360" w:lineRule="auto"/>
        <w:rPr>
          <w:rFonts w:hint="eastAsia" w:ascii="仿宋_GB2312" w:hAnsi="仿宋" w:eastAsia="仿宋_GB2312" w:cs="仿宋_GB2312"/>
          <w:color w:val="auto"/>
          <w:kern w:val="0"/>
          <w:sz w:val="21"/>
          <w:szCs w:val="21"/>
          <w:lang w:val="zh-CN"/>
        </w:rPr>
      </w:pPr>
      <w:r>
        <w:rPr>
          <w:rFonts w:hint="eastAsia" w:ascii="宋体" w:hAnsi="宋体"/>
          <w:color w:val="auto"/>
          <w:sz w:val="21"/>
          <w:szCs w:val="21"/>
        </w:rPr>
        <w:t>项目编号</w:t>
      </w:r>
      <w:r>
        <w:rPr>
          <w:rFonts w:hint="eastAsia" w:ascii="宋体" w:hAnsi="宋体"/>
          <w:color w:val="auto"/>
          <w:sz w:val="21"/>
          <w:szCs w:val="21"/>
          <w:lang w:eastAsia="zh-CN"/>
        </w:rPr>
        <w:t>：</w:t>
      </w:r>
      <w:r>
        <w:rPr>
          <w:rFonts w:hint="eastAsia" w:ascii="宋体" w:hAnsi="宋体"/>
          <w:color w:val="auto"/>
          <w:sz w:val="21"/>
          <w:szCs w:val="21"/>
          <w:u w:val="single"/>
          <w:lang w:val="en-US" w:eastAsia="zh-CN"/>
        </w:rPr>
        <w:t xml:space="preserve">             </w:t>
      </w:r>
    </w:p>
    <w:p w14:paraId="361237ED">
      <w:pPr>
        <w:tabs>
          <w:tab w:val="left" w:pos="588"/>
        </w:tabs>
        <w:bidi w:val="0"/>
        <w:jc w:val="left"/>
        <w:rPr>
          <w:rFonts w:hint="eastAsia" w:asciiTheme="minorHAnsi" w:hAnsiTheme="minorHAnsi" w:eastAsiaTheme="minorEastAsia" w:cstheme="minorBidi"/>
          <w:kern w:val="2"/>
          <w:sz w:val="21"/>
          <w:szCs w:val="24"/>
          <w:vertAlign w:val="baseline"/>
          <w:lang w:val="zh-CN" w:eastAsia="zh-CN" w:bidi="ar-SA"/>
        </w:rPr>
      </w:pPr>
      <w:r>
        <w:rPr>
          <w:rFonts w:hint="eastAsia" w:cstheme="minorBidi"/>
          <w:kern w:val="2"/>
          <w:sz w:val="21"/>
          <w:szCs w:val="24"/>
          <w:lang w:val="zh-CN" w:eastAsia="zh-CN" w:bidi="ar-SA"/>
        </w:rPr>
        <w:tab/>
      </w:r>
    </w:p>
    <w:tbl>
      <w:tblPr>
        <w:tblStyle w:val="7"/>
        <w:tblW w:w="91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1083"/>
        <w:gridCol w:w="2605"/>
        <w:gridCol w:w="2753"/>
        <w:gridCol w:w="1241"/>
        <w:gridCol w:w="709"/>
      </w:tblGrid>
      <w:tr w14:paraId="23B3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773" w:type="dxa"/>
            <w:vAlign w:val="center"/>
          </w:tcPr>
          <w:p w14:paraId="03840C0C">
            <w:pPr>
              <w:tabs>
                <w:tab w:val="left" w:pos="588"/>
              </w:tabs>
              <w:bidi w:val="0"/>
              <w:jc w:val="cente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序号</w:t>
            </w:r>
          </w:p>
        </w:tc>
        <w:tc>
          <w:tcPr>
            <w:tcW w:w="1083" w:type="dxa"/>
            <w:vAlign w:val="center"/>
          </w:tcPr>
          <w:p w14:paraId="48F4B9AF">
            <w:pPr>
              <w:tabs>
                <w:tab w:val="left" w:pos="588"/>
              </w:tabs>
              <w:bidi w:val="0"/>
              <w:jc w:val="cente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货物名称</w:t>
            </w:r>
          </w:p>
        </w:tc>
        <w:tc>
          <w:tcPr>
            <w:tcW w:w="2605" w:type="dxa"/>
            <w:vAlign w:val="center"/>
          </w:tcPr>
          <w:p w14:paraId="4A6678DD">
            <w:pPr>
              <w:keepNext w:val="0"/>
              <w:keepLines w:val="0"/>
              <w:widowControl/>
              <w:suppressLineNumbers w:val="0"/>
              <w:jc w:val="center"/>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采购文件要求</w:t>
            </w:r>
          </w:p>
        </w:tc>
        <w:tc>
          <w:tcPr>
            <w:tcW w:w="2753" w:type="dxa"/>
            <w:vAlign w:val="center"/>
          </w:tcPr>
          <w:p w14:paraId="68A0534E">
            <w:pPr>
              <w:keepNext w:val="0"/>
              <w:keepLines w:val="0"/>
              <w:widowControl/>
              <w:suppressLineNumbers w:val="0"/>
              <w:jc w:val="center"/>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响应文件具体响应</w:t>
            </w:r>
          </w:p>
        </w:tc>
        <w:tc>
          <w:tcPr>
            <w:tcW w:w="1241" w:type="dxa"/>
            <w:vAlign w:val="center"/>
          </w:tcPr>
          <w:p w14:paraId="0A912D1C">
            <w:pPr>
              <w:keepNext w:val="0"/>
              <w:keepLines w:val="0"/>
              <w:widowControl/>
              <w:suppressLineNumbers w:val="0"/>
              <w:jc w:val="center"/>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响应/偏离</w:t>
            </w:r>
          </w:p>
        </w:tc>
        <w:tc>
          <w:tcPr>
            <w:tcW w:w="709" w:type="dxa"/>
            <w:vAlign w:val="center"/>
          </w:tcPr>
          <w:p w14:paraId="3C005D5F">
            <w:pPr>
              <w:tabs>
                <w:tab w:val="left" w:pos="588"/>
              </w:tabs>
              <w:bidi w:val="0"/>
              <w:jc w:val="center"/>
              <w:rPr>
                <w:rFonts w:hint="default"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说明</w:t>
            </w:r>
          </w:p>
        </w:tc>
      </w:tr>
      <w:tr w14:paraId="1918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5" w:type="dxa"/>
            <w:gridSpan w:val="5"/>
            <w:vAlign w:val="center"/>
          </w:tcPr>
          <w:p w14:paraId="18DE8B5A">
            <w:pPr>
              <w:keepNext w:val="0"/>
              <w:keepLines w:val="0"/>
              <w:widowControl/>
              <w:suppressLineNumbers w:val="0"/>
              <w:jc w:val="center"/>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商务部分（商务条款）</w:t>
            </w:r>
          </w:p>
        </w:tc>
        <w:tc>
          <w:tcPr>
            <w:tcW w:w="709" w:type="dxa"/>
            <w:vAlign w:val="center"/>
          </w:tcPr>
          <w:p w14:paraId="3FFA13DA">
            <w:pPr>
              <w:tabs>
                <w:tab w:val="left" w:pos="588"/>
              </w:tabs>
              <w:bidi w:val="0"/>
              <w:jc w:val="center"/>
              <w:rPr>
                <w:rFonts w:hint="eastAsia" w:ascii="宋体" w:hAnsi="宋体" w:eastAsia="宋体" w:cs="宋体"/>
                <w:kern w:val="2"/>
                <w:sz w:val="21"/>
                <w:szCs w:val="24"/>
                <w:vertAlign w:val="baseline"/>
                <w:lang w:val="zh-CN" w:eastAsia="zh-CN" w:bidi="ar-SA"/>
              </w:rPr>
            </w:pPr>
          </w:p>
        </w:tc>
      </w:tr>
      <w:tr w14:paraId="25AE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618990AC">
            <w:pPr>
              <w:tabs>
                <w:tab w:val="left" w:pos="588"/>
              </w:tabs>
              <w:bidi w:val="0"/>
              <w:jc w:val="cente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1</w:t>
            </w:r>
          </w:p>
        </w:tc>
        <w:tc>
          <w:tcPr>
            <w:tcW w:w="1083" w:type="dxa"/>
          </w:tcPr>
          <w:p w14:paraId="00751FF4">
            <w:pPr>
              <w:tabs>
                <w:tab w:val="left" w:pos="588"/>
              </w:tabs>
              <w:bidi w:val="0"/>
              <w:jc w:val="left"/>
              <w:rPr>
                <w:rFonts w:hint="eastAsia" w:ascii="宋体" w:hAnsi="宋体" w:eastAsia="宋体" w:cs="宋体"/>
                <w:kern w:val="2"/>
                <w:sz w:val="21"/>
                <w:szCs w:val="24"/>
                <w:vertAlign w:val="baseline"/>
                <w:lang w:val="zh-CN" w:eastAsia="zh-CN" w:bidi="ar-SA"/>
              </w:rPr>
            </w:pPr>
          </w:p>
        </w:tc>
        <w:tc>
          <w:tcPr>
            <w:tcW w:w="2605" w:type="dxa"/>
          </w:tcPr>
          <w:p w14:paraId="259FFAE6">
            <w:pPr>
              <w:tabs>
                <w:tab w:val="left" w:pos="588"/>
              </w:tabs>
              <w:bidi w:val="0"/>
              <w:jc w:val="left"/>
              <w:rPr>
                <w:rFonts w:hint="eastAsia" w:ascii="宋体" w:hAnsi="宋体" w:eastAsia="宋体" w:cs="宋体"/>
                <w:kern w:val="2"/>
                <w:sz w:val="21"/>
                <w:szCs w:val="24"/>
                <w:vertAlign w:val="baseline"/>
                <w:lang w:val="zh-CN" w:eastAsia="zh-CN" w:bidi="ar-SA"/>
              </w:rPr>
            </w:pPr>
          </w:p>
        </w:tc>
        <w:tc>
          <w:tcPr>
            <w:tcW w:w="2753" w:type="dxa"/>
          </w:tcPr>
          <w:p w14:paraId="319B0118">
            <w:pPr>
              <w:tabs>
                <w:tab w:val="left" w:pos="588"/>
              </w:tabs>
              <w:bidi w:val="0"/>
              <w:jc w:val="left"/>
              <w:rPr>
                <w:rFonts w:hint="eastAsia" w:ascii="宋体" w:hAnsi="宋体" w:eastAsia="宋体" w:cs="宋体"/>
                <w:kern w:val="2"/>
                <w:sz w:val="21"/>
                <w:szCs w:val="24"/>
                <w:vertAlign w:val="baseline"/>
                <w:lang w:val="zh-CN" w:eastAsia="zh-CN" w:bidi="ar-SA"/>
              </w:rPr>
            </w:pPr>
          </w:p>
        </w:tc>
        <w:tc>
          <w:tcPr>
            <w:tcW w:w="1241" w:type="dxa"/>
          </w:tcPr>
          <w:p w14:paraId="3B151D51">
            <w:pPr>
              <w:tabs>
                <w:tab w:val="left" w:pos="588"/>
              </w:tabs>
              <w:bidi w:val="0"/>
              <w:jc w:val="left"/>
              <w:rPr>
                <w:rFonts w:hint="eastAsia" w:ascii="宋体" w:hAnsi="宋体" w:eastAsia="宋体" w:cs="宋体"/>
                <w:kern w:val="2"/>
                <w:sz w:val="21"/>
                <w:szCs w:val="24"/>
                <w:vertAlign w:val="baseline"/>
                <w:lang w:val="zh-CN" w:eastAsia="zh-CN" w:bidi="ar-SA"/>
              </w:rPr>
            </w:pPr>
          </w:p>
        </w:tc>
        <w:tc>
          <w:tcPr>
            <w:tcW w:w="709" w:type="dxa"/>
          </w:tcPr>
          <w:p w14:paraId="50C2FC5B">
            <w:pPr>
              <w:tabs>
                <w:tab w:val="left" w:pos="588"/>
              </w:tabs>
              <w:bidi w:val="0"/>
              <w:jc w:val="left"/>
              <w:rPr>
                <w:rFonts w:hint="eastAsia" w:ascii="宋体" w:hAnsi="宋体" w:eastAsia="宋体" w:cs="宋体"/>
                <w:kern w:val="2"/>
                <w:sz w:val="21"/>
                <w:szCs w:val="24"/>
                <w:vertAlign w:val="baseline"/>
                <w:lang w:val="zh-CN" w:eastAsia="zh-CN" w:bidi="ar-SA"/>
              </w:rPr>
            </w:pPr>
          </w:p>
        </w:tc>
      </w:tr>
      <w:tr w14:paraId="7477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174C2EAD">
            <w:pPr>
              <w:tabs>
                <w:tab w:val="left" w:pos="588"/>
              </w:tabs>
              <w:bidi w:val="0"/>
              <w:jc w:val="cente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2</w:t>
            </w:r>
          </w:p>
        </w:tc>
        <w:tc>
          <w:tcPr>
            <w:tcW w:w="1083" w:type="dxa"/>
          </w:tcPr>
          <w:p w14:paraId="1A3B254E">
            <w:pPr>
              <w:tabs>
                <w:tab w:val="left" w:pos="588"/>
              </w:tabs>
              <w:bidi w:val="0"/>
              <w:jc w:val="left"/>
              <w:rPr>
                <w:rFonts w:hint="eastAsia" w:ascii="宋体" w:hAnsi="宋体" w:eastAsia="宋体" w:cs="宋体"/>
                <w:kern w:val="2"/>
                <w:sz w:val="21"/>
                <w:szCs w:val="24"/>
                <w:vertAlign w:val="baseline"/>
                <w:lang w:val="zh-CN" w:eastAsia="zh-CN" w:bidi="ar-SA"/>
              </w:rPr>
            </w:pPr>
          </w:p>
        </w:tc>
        <w:tc>
          <w:tcPr>
            <w:tcW w:w="2605" w:type="dxa"/>
          </w:tcPr>
          <w:p w14:paraId="7A9F9CEF">
            <w:pPr>
              <w:tabs>
                <w:tab w:val="left" w:pos="588"/>
              </w:tabs>
              <w:bidi w:val="0"/>
              <w:jc w:val="left"/>
              <w:rPr>
                <w:rFonts w:hint="eastAsia" w:ascii="宋体" w:hAnsi="宋体" w:eastAsia="宋体" w:cs="宋体"/>
                <w:kern w:val="2"/>
                <w:sz w:val="21"/>
                <w:szCs w:val="24"/>
                <w:vertAlign w:val="baseline"/>
                <w:lang w:val="zh-CN" w:eastAsia="zh-CN" w:bidi="ar-SA"/>
              </w:rPr>
            </w:pPr>
          </w:p>
        </w:tc>
        <w:tc>
          <w:tcPr>
            <w:tcW w:w="2753" w:type="dxa"/>
          </w:tcPr>
          <w:p w14:paraId="5AF9F080">
            <w:pPr>
              <w:tabs>
                <w:tab w:val="left" w:pos="588"/>
              </w:tabs>
              <w:bidi w:val="0"/>
              <w:jc w:val="left"/>
              <w:rPr>
                <w:rFonts w:hint="eastAsia" w:ascii="宋体" w:hAnsi="宋体" w:eastAsia="宋体" w:cs="宋体"/>
                <w:kern w:val="2"/>
                <w:sz w:val="21"/>
                <w:szCs w:val="24"/>
                <w:vertAlign w:val="baseline"/>
                <w:lang w:val="zh-CN" w:eastAsia="zh-CN" w:bidi="ar-SA"/>
              </w:rPr>
            </w:pPr>
          </w:p>
        </w:tc>
        <w:tc>
          <w:tcPr>
            <w:tcW w:w="1241" w:type="dxa"/>
          </w:tcPr>
          <w:p w14:paraId="6F767DB4">
            <w:pPr>
              <w:tabs>
                <w:tab w:val="left" w:pos="588"/>
              </w:tabs>
              <w:bidi w:val="0"/>
              <w:jc w:val="left"/>
              <w:rPr>
                <w:rFonts w:hint="eastAsia" w:ascii="宋体" w:hAnsi="宋体" w:eastAsia="宋体" w:cs="宋体"/>
                <w:kern w:val="2"/>
                <w:sz w:val="21"/>
                <w:szCs w:val="24"/>
                <w:vertAlign w:val="baseline"/>
                <w:lang w:val="zh-CN" w:eastAsia="zh-CN" w:bidi="ar-SA"/>
              </w:rPr>
            </w:pPr>
          </w:p>
        </w:tc>
        <w:tc>
          <w:tcPr>
            <w:tcW w:w="709" w:type="dxa"/>
          </w:tcPr>
          <w:p w14:paraId="32A8359C">
            <w:pPr>
              <w:tabs>
                <w:tab w:val="left" w:pos="588"/>
              </w:tabs>
              <w:bidi w:val="0"/>
              <w:jc w:val="left"/>
              <w:rPr>
                <w:rFonts w:hint="eastAsia" w:ascii="宋体" w:hAnsi="宋体" w:eastAsia="宋体" w:cs="宋体"/>
                <w:kern w:val="2"/>
                <w:sz w:val="21"/>
                <w:szCs w:val="24"/>
                <w:vertAlign w:val="baseline"/>
                <w:lang w:val="zh-CN" w:eastAsia="zh-CN" w:bidi="ar-SA"/>
              </w:rPr>
            </w:pPr>
          </w:p>
        </w:tc>
      </w:tr>
      <w:tr w14:paraId="32EF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68B7C3B8">
            <w:pPr>
              <w:tabs>
                <w:tab w:val="left" w:pos="588"/>
              </w:tabs>
              <w:bidi w:val="0"/>
              <w:jc w:val="center"/>
              <w:rPr>
                <w:rFonts w:hint="eastAsia" w:ascii="宋体" w:hAnsi="宋体" w:eastAsia="宋体" w:cs="宋体"/>
                <w:kern w:val="2"/>
                <w:sz w:val="21"/>
                <w:szCs w:val="24"/>
                <w:vertAlign w:val="baseline"/>
                <w:lang w:val="en-US" w:eastAsia="zh-CN" w:bidi="ar-SA"/>
              </w:rPr>
            </w:pPr>
            <w:r>
              <w:rPr>
                <w:rFonts w:hint="eastAsia" w:ascii="宋体" w:hAnsi="宋体" w:eastAsia="宋体" w:cs="宋体"/>
                <w:kern w:val="2"/>
                <w:sz w:val="21"/>
                <w:szCs w:val="24"/>
                <w:vertAlign w:val="baseline"/>
                <w:lang w:val="en-US" w:eastAsia="zh-CN" w:bidi="ar-SA"/>
              </w:rPr>
              <w:t>3</w:t>
            </w:r>
          </w:p>
        </w:tc>
        <w:tc>
          <w:tcPr>
            <w:tcW w:w="1083" w:type="dxa"/>
          </w:tcPr>
          <w:p w14:paraId="198099D2">
            <w:pPr>
              <w:tabs>
                <w:tab w:val="left" w:pos="588"/>
              </w:tabs>
              <w:bidi w:val="0"/>
              <w:jc w:val="left"/>
              <w:rPr>
                <w:rFonts w:hint="eastAsia" w:ascii="宋体" w:hAnsi="宋体" w:eastAsia="宋体" w:cs="宋体"/>
                <w:kern w:val="2"/>
                <w:sz w:val="21"/>
                <w:szCs w:val="24"/>
                <w:vertAlign w:val="baseline"/>
                <w:lang w:val="zh-CN" w:eastAsia="zh-CN" w:bidi="ar-SA"/>
              </w:rPr>
            </w:pPr>
          </w:p>
        </w:tc>
        <w:tc>
          <w:tcPr>
            <w:tcW w:w="2605" w:type="dxa"/>
          </w:tcPr>
          <w:p w14:paraId="2E9DA42F">
            <w:pPr>
              <w:tabs>
                <w:tab w:val="left" w:pos="588"/>
              </w:tabs>
              <w:bidi w:val="0"/>
              <w:jc w:val="left"/>
              <w:rPr>
                <w:rFonts w:hint="eastAsia" w:ascii="宋体" w:hAnsi="宋体" w:eastAsia="宋体" w:cs="宋体"/>
                <w:kern w:val="2"/>
                <w:sz w:val="21"/>
                <w:szCs w:val="24"/>
                <w:vertAlign w:val="baseline"/>
                <w:lang w:val="zh-CN" w:eastAsia="zh-CN" w:bidi="ar-SA"/>
              </w:rPr>
            </w:pPr>
          </w:p>
        </w:tc>
        <w:tc>
          <w:tcPr>
            <w:tcW w:w="2753" w:type="dxa"/>
          </w:tcPr>
          <w:p w14:paraId="5C94E478">
            <w:pPr>
              <w:tabs>
                <w:tab w:val="left" w:pos="588"/>
              </w:tabs>
              <w:bidi w:val="0"/>
              <w:jc w:val="left"/>
              <w:rPr>
                <w:rFonts w:hint="eastAsia" w:ascii="宋体" w:hAnsi="宋体" w:eastAsia="宋体" w:cs="宋体"/>
                <w:kern w:val="2"/>
                <w:sz w:val="21"/>
                <w:szCs w:val="24"/>
                <w:vertAlign w:val="baseline"/>
                <w:lang w:val="zh-CN" w:eastAsia="zh-CN" w:bidi="ar-SA"/>
              </w:rPr>
            </w:pPr>
          </w:p>
        </w:tc>
        <w:tc>
          <w:tcPr>
            <w:tcW w:w="1241" w:type="dxa"/>
          </w:tcPr>
          <w:p w14:paraId="7823869D">
            <w:pPr>
              <w:tabs>
                <w:tab w:val="left" w:pos="588"/>
              </w:tabs>
              <w:bidi w:val="0"/>
              <w:jc w:val="left"/>
              <w:rPr>
                <w:rFonts w:hint="eastAsia" w:ascii="宋体" w:hAnsi="宋体" w:eastAsia="宋体" w:cs="宋体"/>
                <w:kern w:val="2"/>
                <w:sz w:val="21"/>
                <w:szCs w:val="24"/>
                <w:vertAlign w:val="baseline"/>
                <w:lang w:val="zh-CN" w:eastAsia="zh-CN" w:bidi="ar-SA"/>
              </w:rPr>
            </w:pPr>
          </w:p>
        </w:tc>
        <w:tc>
          <w:tcPr>
            <w:tcW w:w="709" w:type="dxa"/>
          </w:tcPr>
          <w:p w14:paraId="32484DC7">
            <w:pPr>
              <w:tabs>
                <w:tab w:val="left" w:pos="588"/>
              </w:tabs>
              <w:bidi w:val="0"/>
              <w:jc w:val="left"/>
              <w:rPr>
                <w:rFonts w:hint="eastAsia" w:ascii="宋体" w:hAnsi="宋体" w:eastAsia="宋体" w:cs="宋体"/>
                <w:kern w:val="2"/>
                <w:sz w:val="21"/>
                <w:szCs w:val="24"/>
                <w:vertAlign w:val="baseline"/>
                <w:lang w:val="zh-CN" w:eastAsia="zh-CN" w:bidi="ar-SA"/>
              </w:rPr>
            </w:pPr>
          </w:p>
        </w:tc>
      </w:tr>
      <w:tr w14:paraId="4D03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3417559B">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1083" w:type="dxa"/>
          </w:tcPr>
          <w:p w14:paraId="469922CA">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2605" w:type="dxa"/>
          </w:tcPr>
          <w:p w14:paraId="220A6077">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2753" w:type="dxa"/>
          </w:tcPr>
          <w:p w14:paraId="6B9E7E82">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1241" w:type="dxa"/>
          </w:tcPr>
          <w:p w14:paraId="0C8C550B">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709" w:type="dxa"/>
          </w:tcPr>
          <w:p w14:paraId="3B75F2C4">
            <w:pPr>
              <w:keepNext w:val="0"/>
              <w:keepLines w:val="0"/>
              <w:widowControl/>
              <w:suppressLineNumbers w:val="0"/>
              <w:jc w:val="left"/>
              <w:rPr>
                <w:rFonts w:hint="eastAsia" w:ascii="宋体" w:hAnsi="宋体" w:eastAsia="宋体" w:cs="宋体"/>
                <w:color w:val="000000"/>
                <w:kern w:val="0"/>
                <w:sz w:val="20"/>
                <w:szCs w:val="20"/>
                <w:lang w:val="en-US" w:eastAsia="zh-CN" w:bidi="ar"/>
              </w:rPr>
            </w:pPr>
          </w:p>
        </w:tc>
      </w:tr>
      <w:tr w14:paraId="2FEB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5" w:type="dxa"/>
            <w:gridSpan w:val="5"/>
          </w:tcPr>
          <w:p w14:paraId="68CB7B8F">
            <w:pPr>
              <w:keepNext w:val="0"/>
              <w:keepLines w:val="0"/>
              <w:widowControl/>
              <w:suppressLineNumbers w:val="0"/>
              <w:jc w:val="center"/>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技术部分（货物参数）</w:t>
            </w:r>
          </w:p>
        </w:tc>
        <w:tc>
          <w:tcPr>
            <w:tcW w:w="709" w:type="dxa"/>
          </w:tcPr>
          <w:p w14:paraId="452A4C82">
            <w:pPr>
              <w:keepNext w:val="0"/>
              <w:keepLines w:val="0"/>
              <w:widowControl/>
              <w:suppressLineNumbers w:val="0"/>
              <w:jc w:val="center"/>
              <w:rPr>
                <w:rFonts w:hint="eastAsia" w:ascii="宋体" w:hAnsi="宋体" w:eastAsia="宋体" w:cs="宋体"/>
                <w:color w:val="000000"/>
                <w:kern w:val="0"/>
                <w:sz w:val="20"/>
                <w:szCs w:val="20"/>
                <w:lang w:val="en-US" w:eastAsia="zh-CN" w:bidi="ar"/>
              </w:rPr>
            </w:pPr>
          </w:p>
        </w:tc>
      </w:tr>
      <w:tr w14:paraId="0E61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24148B65">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1</w:t>
            </w:r>
          </w:p>
        </w:tc>
        <w:tc>
          <w:tcPr>
            <w:tcW w:w="1083" w:type="dxa"/>
          </w:tcPr>
          <w:p w14:paraId="79A6A2F5">
            <w:pPr>
              <w:tabs>
                <w:tab w:val="left" w:pos="588"/>
              </w:tabs>
              <w:bidi w:val="0"/>
              <w:jc w:val="left"/>
              <w:rPr>
                <w:rFonts w:hint="eastAsia" w:ascii="宋体" w:hAnsi="宋体" w:eastAsia="宋体" w:cs="宋体"/>
                <w:kern w:val="2"/>
                <w:sz w:val="21"/>
                <w:szCs w:val="24"/>
                <w:vertAlign w:val="baseline"/>
                <w:lang w:val="zh-CN" w:eastAsia="zh-CN" w:bidi="ar-SA"/>
              </w:rPr>
            </w:pPr>
          </w:p>
        </w:tc>
        <w:tc>
          <w:tcPr>
            <w:tcW w:w="2605" w:type="dxa"/>
          </w:tcPr>
          <w:p w14:paraId="56C1E8D3">
            <w:pPr>
              <w:tabs>
                <w:tab w:val="left" w:pos="588"/>
              </w:tabs>
              <w:bidi w:val="0"/>
              <w:jc w:val="left"/>
              <w:rPr>
                <w:rFonts w:hint="eastAsia" w:ascii="宋体" w:hAnsi="宋体" w:eastAsia="宋体" w:cs="宋体"/>
                <w:kern w:val="2"/>
                <w:sz w:val="21"/>
                <w:szCs w:val="24"/>
                <w:vertAlign w:val="baseline"/>
                <w:lang w:val="zh-CN" w:eastAsia="zh-CN" w:bidi="ar-SA"/>
              </w:rPr>
            </w:pPr>
          </w:p>
        </w:tc>
        <w:tc>
          <w:tcPr>
            <w:tcW w:w="2753" w:type="dxa"/>
          </w:tcPr>
          <w:p w14:paraId="29E392DD">
            <w:pPr>
              <w:tabs>
                <w:tab w:val="left" w:pos="588"/>
              </w:tabs>
              <w:bidi w:val="0"/>
              <w:jc w:val="left"/>
              <w:rPr>
                <w:rFonts w:hint="eastAsia" w:ascii="宋体" w:hAnsi="宋体" w:eastAsia="宋体" w:cs="宋体"/>
                <w:kern w:val="2"/>
                <w:sz w:val="21"/>
                <w:szCs w:val="24"/>
                <w:vertAlign w:val="baseline"/>
                <w:lang w:val="zh-CN" w:eastAsia="zh-CN" w:bidi="ar-SA"/>
              </w:rPr>
            </w:pPr>
          </w:p>
        </w:tc>
        <w:tc>
          <w:tcPr>
            <w:tcW w:w="1241" w:type="dxa"/>
          </w:tcPr>
          <w:p w14:paraId="6ECB170E">
            <w:pPr>
              <w:tabs>
                <w:tab w:val="left" w:pos="588"/>
              </w:tabs>
              <w:bidi w:val="0"/>
              <w:jc w:val="left"/>
              <w:rPr>
                <w:rFonts w:hint="eastAsia" w:ascii="宋体" w:hAnsi="宋体" w:eastAsia="宋体" w:cs="宋体"/>
                <w:kern w:val="2"/>
                <w:sz w:val="21"/>
                <w:szCs w:val="24"/>
                <w:vertAlign w:val="baseline"/>
                <w:lang w:val="zh-CN" w:eastAsia="zh-CN" w:bidi="ar-SA"/>
              </w:rPr>
            </w:pPr>
          </w:p>
        </w:tc>
        <w:tc>
          <w:tcPr>
            <w:tcW w:w="709" w:type="dxa"/>
          </w:tcPr>
          <w:p w14:paraId="6435BB00">
            <w:pPr>
              <w:tabs>
                <w:tab w:val="left" w:pos="588"/>
              </w:tabs>
              <w:bidi w:val="0"/>
              <w:jc w:val="left"/>
              <w:rPr>
                <w:rFonts w:hint="eastAsia" w:ascii="宋体" w:hAnsi="宋体" w:eastAsia="宋体" w:cs="宋体"/>
                <w:kern w:val="2"/>
                <w:sz w:val="21"/>
                <w:szCs w:val="24"/>
                <w:vertAlign w:val="baseline"/>
                <w:lang w:val="zh-CN" w:eastAsia="zh-CN" w:bidi="ar-SA"/>
              </w:rPr>
            </w:pPr>
          </w:p>
        </w:tc>
      </w:tr>
      <w:tr w14:paraId="5423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4B6ECBA2">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w:t>
            </w:r>
          </w:p>
        </w:tc>
        <w:tc>
          <w:tcPr>
            <w:tcW w:w="1083" w:type="dxa"/>
          </w:tcPr>
          <w:p w14:paraId="4DFD6561">
            <w:pPr>
              <w:tabs>
                <w:tab w:val="left" w:pos="588"/>
              </w:tabs>
              <w:bidi w:val="0"/>
              <w:jc w:val="left"/>
              <w:rPr>
                <w:rFonts w:hint="eastAsia" w:ascii="宋体" w:hAnsi="宋体" w:eastAsia="宋体" w:cs="宋体"/>
                <w:kern w:val="2"/>
                <w:sz w:val="21"/>
                <w:szCs w:val="24"/>
                <w:vertAlign w:val="baseline"/>
                <w:lang w:val="zh-CN" w:eastAsia="zh-CN" w:bidi="ar-SA"/>
              </w:rPr>
            </w:pPr>
          </w:p>
        </w:tc>
        <w:tc>
          <w:tcPr>
            <w:tcW w:w="2605" w:type="dxa"/>
          </w:tcPr>
          <w:p w14:paraId="135996CD">
            <w:pPr>
              <w:tabs>
                <w:tab w:val="left" w:pos="588"/>
              </w:tabs>
              <w:bidi w:val="0"/>
              <w:jc w:val="left"/>
              <w:rPr>
                <w:rFonts w:hint="eastAsia" w:ascii="宋体" w:hAnsi="宋体" w:eastAsia="宋体" w:cs="宋体"/>
                <w:kern w:val="2"/>
                <w:sz w:val="21"/>
                <w:szCs w:val="24"/>
                <w:vertAlign w:val="baseline"/>
                <w:lang w:val="zh-CN" w:eastAsia="zh-CN" w:bidi="ar-SA"/>
              </w:rPr>
            </w:pPr>
          </w:p>
        </w:tc>
        <w:tc>
          <w:tcPr>
            <w:tcW w:w="2753" w:type="dxa"/>
          </w:tcPr>
          <w:p w14:paraId="262F0F0E">
            <w:pPr>
              <w:tabs>
                <w:tab w:val="left" w:pos="588"/>
              </w:tabs>
              <w:bidi w:val="0"/>
              <w:jc w:val="left"/>
              <w:rPr>
                <w:rFonts w:hint="eastAsia" w:ascii="宋体" w:hAnsi="宋体" w:eastAsia="宋体" w:cs="宋体"/>
                <w:kern w:val="2"/>
                <w:sz w:val="21"/>
                <w:szCs w:val="24"/>
                <w:vertAlign w:val="baseline"/>
                <w:lang w:val="zh-CN" w:eastAsia="zh-CN" w:bidi="ar-SA"/>
              </w:rPr>
            </w:pPr>
          </w:p>
        </w:tc>
        <w:tc>
          <w:tcPr>
            <w:tcW w:w="1241" w:type="dxa"/>
          </w:tcPr>
          <w:p w14:paraId="6A49DAB0">
            <w:pPr>
              <w:tabs>
                <w:tab w:val="left" w:pos="588"/>
              </w:tabs>
              <w:bidi w:val="0"/>
              <w:jc w:val="left"/>
              <w:rPr>
                <w:rFonts w:hint="eastAsia" w:ascii="宋体" w:hAnsi="宋体" w:eastAsia="宋体" w:cs="宋体"/>
                <w:kern w:val="2"/>
                <w:sz w:val="21"/>
                <w:szCs w:val="24"/>
                <w:vertAlign w:val="baseline"/>
                <w:lang w:val="zh-CN" w:eastAsia="zh-CN" w:bidi="ar-SA"/>
              </w:rPr>
            </w:pPr>
          </w:p>
        </w:tc>
        <w:tc>
          <w:tcPr>
            <w:tcW w:w="709" w:type="dxa"/>
          </w:tcPr>
          <w:p w14:paraId="51E3C24D">
            <w:pPr>
              <w:tabs>
                <w:tab w:val="left" w:pos="588"/>
              </w:tabs>
              <w:bidi w:val="0"/>
              <w:jc w:val="left"/>
              <w:rPr>
                <w:rFonts w:hint="eastAsia" w:ascii="宋体" w:hAnsi="宋体" w:eastAsia="宋体" w:cs="宋体"/>
                <w:kern w:val="2"/>
                <w:sz w:val="21"/>
                <w:szCs w:val="24"/>
                <w:vertAlign w:val="baseline"/>
                <w:lang w:val="zh-CN" w:eastAsia="zh-CN" w:bidi="ar-SA"/>
              </w:rPr>
            </w:pPr>
          </w:p>
        </w:tc>
      </w:tr>
      <w:tr w14:paraId="39F2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21EBD489">
            <w:pPr>
              <w:keepNext w:val="0"/>
              <w:keepLines w:val="0"/>
              <w:widowControl/>
              <w:suppressLineNumbers w:val="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3</w:t>
            </w:r>
          </w:p>
        </w:tc>
        <w:tc>
          <w:tcPr>
            <w:tcW w:w="1083" w:type="dxa"/>
          </w:tcPr>
          <w:p w14:paraId="669FD270">
            <w:pPr>
              <w:tabs>
                <w:tab w:val="left" w:pos="588"/>
              </w:tabs>
              <w:bidi w:val="0"/>
              <w:jc w:val="left"/>
              <w:rPr>
                <w:rFonts w:hint="eastAsia" w:ascii="宋体" w:hAnsi="宋体" w:eastAsia="宋体" w:cs="宋体"/>
                <w:kern w:val="2"/>
                <w:sz w:val="21"/>
                <w:szCs w:val="24"/>
                <w:vertAlign w:val="baseline"/>
                <w:lang w:val="zh-CN" w:eastAsia="zh-CN" w:bidi="ar-SA"/>
              </w:rPr>
            </w:pPr>
          </w:p>
        </w:tc>
        <w:tc>
          <w:tcPr>
            <w:tcW w:w="2605" w:type="dxa"/>
          </w:tcPr>
          <w:p w14:paraId="35BAF2B3">
            <w:pPr>
              <w:tabs>
                <w:tab w:val="left" w:pos="588"/>
              </w:tabs>
              <w:bidi w:val="0"/>
              <w:jc w:val="left"/>
              <w:rPr>
                <w:rFonts w:hint="eastAsia" w:ascii="宋体" w:hAnsi="宋体" w:eastAsia="宋体" w:cs="宋体"/>
                <w:kern w:val="2"/>
                <w:sz w:val="21"/>
                <w:szCs w:val="24"/>
                <w:vertAlign w:val="baseline"/>
                <w:lang w:val="zh-CN" w:eastAsia="zh-CN" w:bidi="ar-SA"/>
              </w:rPr>
            </w:pPr>
          </w:p>
        </w:tc>
        <w:tc>
          <w:tcPr>
            <w:tcW w:w="2753" w:type="dxa"/>
          </w:tcPr>
          <w:p w14:paraId="38E47050">
            <w:pPr>
              <w:tabs>
                <w:tab w:val="left" w:pos="588"/>
              </w:tabs>
              <w:bidi w:val="0"/>
              <w:jc w:val="left"/>
              <w:rPr>
                <w:rFonts w:hint="eastAsia" w:ascii="宋体" w:hAnsi="宋体" w:eastAsia="宋体" w:cs="宋体"/>
                <w:kern w:val="2"/>
                <w:sz w:val="21"/>
                <w:szCs w:val="24"/>
                <w:vertAlign w:val="baseline"/>
                <w:lang w:val="zh-CN" w:eastAsia="zh-CN" w:bidi="ar-SA"/>
              </w:rPr>
            </w:pPr>
          </w:p>
        </w:tc>
        <w:tc>
          <w:tcPr>
            <w:tcW w:w="1241" w:type="dxa"/>
          </w:tcPr>
          <w:p w14:paraId="589AA36A">
            <w:pPr>
              <w:tabs>
                <w:tab w:val="left" w:pos="588"/>
              </w:tabs>
              <w:bidi w:val="0"/>
              <w:jc w:val="left"/>
              <w:rPr>
                <w:rFonts w:hint="eastAsia" w:ascii="宋体" w:hAnsi="宋体" w:eastAsia="宋体" w:cs="宋体"/>
                <w:kern w:val="2"/>
                <w:sz w:val="21"/>
                <w:szCs w:val="24"/>
                <w:vertAlign w:val="baseline"/>
                <w:lang w:val="zh-CN" w:eastAsia="zh-CN" w:bidi="ar-SA"/>
              </w:rPr>
            </w:pPr>
          </w:p>
        </w:tc>
        <w:tc>
          <w:tcPr>
            <w:tcW w:w="709" w:type="dxa"/>
          </w:tcPr>
          <w:p w14:paraId="2EDB2811">
            <w:pPr>
              <w:tabs>
                <w:tab w:val="left" w:pos="588"/>
              </w:tabs>
              <w:bidi w:val="0"/>
              <w:jc w:val="left"/>
              <w:rPr>
                <w:rFonts w:hint="eastAsia" w:ascii="宋体" w:hAnsi="宋体" w:eastAsia="宋体" w:cs="宋体"/>
                <w:kern w:val="2"/>
                <w:sz w:val="21"/>
                <w:szCs w:val="24"/>
                <w:vertAlign w:val="baseline"/>
                <w:lang w:val="zh-CN" w:eastAsia="zh-CN" w:bidi="ar-SA"/>
              </w:rPr>
            </w:pPr>
          </w:p>
        </w:tc>
      </w:tr>
      <w:tr w14:paraId="6D84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shd w:val="clear" w:color="auto" w:fill="auto"/>
            <w:vAlign w:val="top"/>
          </w:tcPr>
          <w:p w14:paraId="63A63A7E">
            <w:pPr>
              <w:keepNext w:val="0"/>
              <w:keepLines w:val="0"/>
              <w:widowControl/>
              <w:suppressLineNumbers w:val="0"/>
              <w:jc w:val="left"/>
              <w:rPr>
                <w:rFonts w:hint="eastAsia" w:ascii="宋体" w:hAnsi="宋体" w:eastAsia="宋体" w:cs="宋体"/>
                <w:kern w:val="2"/>
                <w:sz w:val="21"/>
                <w:szCs w:val="24"/>
                <w:vertAlign w:val="baseline"/>
                <w:lang w:val="en-US" w:eastAsia="zh-CN" w:bidi="ar-SA"/>
              </w:rPr>
            </w:pPr>
            <w:r>
              <w:rPr>
                <w:rFonts w:hint="eastAsia" w:ascii="宋体" w:hAnsi="宋体" w:eastAsia="宋体" w:cs="宋体"/>
                <w:color w:val="000000"/>
                <w:kern w:val="0"/>
                <w:sz w:val="20"/>
                <w:szCs w:val="20"/>
                <w:lang w:val="en-US" w:eastAsia="zh-CN" w:bidi="ar"/>
              </w:rPr>
              <w:t>…</w:t>
            </w:r>
          </w:p>
        </w:tc>
        <w:tc>
          <w:tcPr>
            <w:tcW w:w="1083" w:type="dxa"/>
            <w:shd w:val="clear" w:color="auto" w:fill="auto"/>
            <w:vAlign w:val="top"/>
          </w:tcPr>
          <w:p w14:paraId="159FD759">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2605" w:type="dxa"/>
            <w:shd w:val="clear" w:color="auto" w:fill="auto"/>
            <w:vAlign w:val="top"/>
          </w:tcPr>
          <w:p w14:paraId="4BFDA1D6">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2753" w:type="dxa"/>
            <w:shd w:val="clear" w:color="auto" w:fill="auto"/>
            <w:vAlign w:val="top"/>
          </w:tcPr>
          <w:p w14:paraId="1E21A0AD">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1241" w:type="dxa"/>
            <w:shd w:val="clear" w:color="auto" w:fill="auto"/>
            <w:vAlign w:val="top"/>
          </w:tcPr>
          <w:p w14:paraId="229F6EAC">
            <w:pPr>
              <w:keepNext w:val="0"/>
              <w:keepLines w:val="0"/>
              <w:widowControl/>
              <w:suppressLineNumbers w:val="0"/>
              <w:jc w:val="left"/>
              <w:rPr>
                <w:rFonts w:hint="eastAsia" w:ascii="宋体" w:hAnsi="宋体" w:eastAsia="宋体" w:cs="宋体"/>
                <w:kern w:val="2"/>
                <w:sz w:val="21"/>
                <w:szCs w:val="24"/>
                <w:vertAlign w:val="baseline"/>
                <w:lang w:val="zh-CN" w:eastAsia="zh-CN" w:bidi="ar-SA"/>
              </w:rPr>
            </w:pPr>
            <w:r>
              <w:rPr>
                <w:rFonts w:hint="eastAsia" w:ascii="宋体" w:hAnsi="宋体" w:eastAsia="宋体" w:cs="宋体"/>
                <w:color w:val="000000"/>
                <w:kern w:val="0"/>
                <w:sz w:val="20"/>
                <w:szCs w:val="20"/>
                <w:lang w:val="en-US" w:eastAsia="zh-CN" w:bidi="ar"/>
              </w:rPr>
              <w:t>…</w:t>
            </w:r>
          </w:p>
        </w:tc>
        <w:tc>
          <w:tcPr>
            <w:tcW w:w="709" w:type="dxa"/>
            <w:shd w:val="clear" w:color="auto" w:fill="auto"/>
            <w:vAlign w:val="top"/>
          </w:tcPr>
          <w:p w14:paraId="1ECAFEC6">
            <w:pPr>
              <w:keepNext w:val="0"/>
              <w:keepLines w:val="0"/>
              <w:widowControl/>
              <w:suppressLineNumbers w:val="0"/>
              <w:jc w:val="left"/>
              <w:rPr>
                <w:rFonts w:hint="eastAsia" w:ascii="宋体" w:hAnsi="宋体" w:eastAsia="宋体" w:cs="宋体"/>
                <w:color w:val="000000"/>
                <w:kern w:val="0"/>
                <w:sz w:val="20"/>
                <w:szCs w:val="20"/>
                <w:lang w:val="en-US" w:eastAsia="zh-CN" w:bidi="ar"/>
              </w:rPr>
            </w:pPr>
          </w:p>
        </w:tc>
      </w:tr>
    </w:tbl>
    <w:p w14:paraId="6B3E8E7A">
      <w:pPr>
        <w:tabs>
          <w:tab w:val="left" w:pos="588"/>
        </w:tabs>
        <w:bidi w:val="0"/>
        <w:jc w:val="left"/>
        <w:rPr>
          <w:rFonts w:hint="eastAsia" w:asciiTheme="minorHAnsi" w:hAnsiTheme="minorHAnsi" w:eastAsiaTheme="minorEastAsia" w:cstheme="minorBidi"/>
          <w:kern w:val="2"/>
          <w:sz w:val="21"/>
          <w:szCs w:val="24"/>
          <w:lang w:val="zh-CN" w:eastAsia="zh-CN" w:bidi="ar-SA"/>
        </w:rPr>
      </w:pPr>
    </w:p>
    <w:p w14:paraId="1D227569">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说明：1、应写明响应文件对商务与技术要求的响应和偏离情况； </w:t>
      </w:r>
    </w:p>
    <w:p w14:paraId="269C33D5">
      <w:pPr>
        <w:keepNext w:val="0"/>
        <w:keepLines w:val="0"/>
        <w:widowControl/>
        <w:suppressLineNumbers w:val="0"/>
        <w:ind w:firstLine="600" w:firstLineChars="300"/>
        <w:jc w:val="left"/>
      </w:pPr>
      <w:r>
        <w:rPr>
          <w:rFonts w:hint="default" w:ascii="Times New Roman" w:hAnsi="Times New Roman" w:eastAsia="宋体" w:cs="Times New Roman"/>
          <w:color w:val="000000"/>
          <w:kern w:val="0"/>
          <w:sz w:val="20"/>
          <w:szCs w:val="20"/>
          <w:lang w:val="en-US" w:eastAsia="zh-CN" w:bidi="ar"/>
        </w:rPr>
        <w:t>2</w:t>
      </w:r>
      <w:r>
        <w:rPr>
          <w:rFonts w:hint="eastAsia" w:ascii="宋体" w:hAnsi="宋体" w:eastAsia="宋体" w:cs="宋体"/>
          <w:color w:val="000000"/>
          <w:kern w:val="0"/>
          <w:sz w:val="20"/>
          <w:szCs w:val="20"/>
          <w:lang w:val="en-US" w:eastAsia="zh-CN" w:bidi="ar"/>
        </w:rPr>
        <w:t xml:space="preserve">、应对照采购文件“商务条款”和“货物参数”，逐条说明所提供货物和服务已对采购文件的商务、技 </w:t>
      </w:r>
    </w:p>
    <w:p w14:paraId="4B0F6A53">
      <w:pPr>
        <w:keepNext w:val="0"/>
        <w:keepLines w:val="0"/>
        <w:widowControl/>
        <w:suppressLineNumbers w:val="0"/>
        <w:jc w:val="left"/>
      </w:pPr>
      <w:r>
        <w:rPr>
          <w:rFonts w:hint="eastAsia" w:ascii="宋体" w:hAnsi="宋体" w:eastAsia="宋体" w:cs="宋体"/>
          <w:color w:val="000000"/>
          <w:kern w:val="0"/>
          <w:sz w:val="20"/>
          <w:szCs w:val="20"/>
          <w:lang w:val="en-US" w:eastAsia="zh-CN" w:bidi="ar"/>
        </w:rPr>
        <w:t>术做出了实质性的响应，并申明商务、技术条文的响应和偏离。特别对有具体商务、技术参数要求的，供 应商必须提供对应的详细应答。如果仅注明“符合”、“满足”或简单复制采购文件要求，将有可能导致竞价被拒绝 。</w:t>
      </w:r>
    </w:p>
    <w:p w14:paraId="2C2E0FF2">
      <w:pPr>
        <w:bidi w:val="0"/>
        <w:rPr>
          <w:rFonts w:hint="eastAsia" w:asciiTheme="minorHAnsi" w:hAnsiTheme="minorHAnsi" w:eastAsiaTheme="minorEastAsia" w:cstheme="minorBidi"/>
          <w:kern w:val="2"/>
          <w:sz w:val="21"/>
          <w:szCs w:val="24"/>
          <w:lang w:val="zh-CN" w:eastAsia="zh-CN" w:bidi="ar-SA"/>
        </w:rPr>
      </w:pPr>
    </w:p>
    <w:p w14:paraId="3BF9A1A2">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w:t>
      </w:r>
      <w:r>
        <w:rPr>
          <w:rFonts w:hint="eastAsia" w:ascii="宋体" w:hAnsi="宋体" w:eastAsia="宋体" w:cs="宋体"/>
          <w:color w:val="auto"/>
          <w:sz w:val="24"/>
          <w:szCs w:val="24"/>
          <w:highlight w:val="none"/>
          <w:lang w:val="en-US" w:eastAsia="zh-CN"/>
        </w:rPr>
        <w:t>盖章</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xml:space="preserve">            </w:t>
      </w:r>
    </w:p>
    <w:p w14:paraId="5167B31F">
      <w:pPr>
        <w:bidi w:val="0"/>
        <w:jc w:val="center"/>
        <w:rPr>
          <w:rFonts w:hint="eastAsia" w:ascii="宋体" w:hAnsi="宋体" w:eastAsia="宋体" w:cs="宋体"/>
          <w:lang w:val="zh-CN" w:eastAsia="zh-CN"/>
        </w:rPr>
      </w:pP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lang w:val="zh-CN"/>
        </w:rPr>
        <w:t>日期：  年  月   日</w:t>
      </w:r>
    </w:p>
    <w:p w14:paraId="706BFAB3">
      <w:pPr>
        <w:tabs>
          <w:tab w:val="center" w:pos="4153"/>
        </w:tabs>
        <w:bidi w:val="0"/>
        <w:jc w:val="left"/>
        <w:rPr>
          <w:rFonts w:hint="eastAsia"/>
          <w:lang w:val="zh-CN" w:eastAsia="zh-CN"/>
        </w:rPr>
        <w:sectPr>
          <w:pgSz w:w="11906" w:h="16838"/>
          <w:pgMar w:top="1440" w:right="1800" w:bottom="1440" w:left="1800" w:header="851" w:footer="992" w:gutter="0"/>
          <w:pgNumType w:fmt="decimal"/>
          <w:cols w:space="425" w:num="1"/>
          <w:docGrid w:type="lines" w:linePitch="312" w:charSpace="0"/>
        </w:sectPr>
      </w:pPr>
      <w:r>
        <w:rPr>
          <w:rFonts w:hint="eastAsia"/>
          <w:lang w:val="zh-CN" w:eastAsia="zh-CN"/>
        </w:rPr>
        <w:tab/>
      </w:r>
    </w:p>
    <w:p w14:paraId="4CD39ABD">
      <w:pPr>
        <w:keepNext w:val="0"/>
        <w:keepLines w:val="0"/>
        <w:widowControl/>
        <w:suppressLineNumbers w:val="0"/>
        <w:jc w:val="center"/>
        <w:rPr>
          <w:rFonts w:hint="eastAsia" w:ascii="宋体" w:hAnsi="宋体" w:eastAsia="宋体" w:cs="宋体"/>
        </w:rPr>
      </w:pPr>
      <w:r>
        <w:rPr>
          <w:rFonts w:hint="eastAsia" w:ascii="宋体" w:hAnsi="宋体" w:eastAsia="宋体" w:cs="宋体"/>
          <w:b/>
          <w:bCs/>
          <w:color w:val="000000"/>
          <w:kern w:val="0"/>
          <w:sz w:val="31"/>
          <w:szCs w:val="31"/>
          <w:lang w:val="en-US" w:eastAsia="zh-CN" w:bidi="ar"/>
        </w:rPr>
        <w:t>法定代表人(负责人)授权委托书</w:t>
      </w:r>
    </w:p>
    <w:p w14:paraId="7A560C5D">
      <w:pPr>
        <w:autoSpaceDE w:val="0"/>
        <w:autoSpaceDN w:val="0"/>
        <w:spacing w:line="360" w:lineRule="auto"/>
        <w:rPr>
          <w:sz w:val="21"/>
          <w:szCs w:val="21"/>
        </w:rPr>
      </w:pPr>
      <w:r>
        <w:rPr>
          <w:rFonts w:hint="eastAsia" w:ascii="仿宋_GB2312" w:hAnsi="仿宋" w:eastAsia="仿宋_GB2312" w:cs="仿宋_GB2312"/>
          <w:color w:val="auto"/>
          <w:kern w:val="0"/>
          <w:sz w:val="21"/>
          <w:szCs w:val="21"/>
          <w:u w:val="single"/>
        </w:rPr>
        <w:t xml:space="preserve">            </w:t>
      </w:r>
      <w:r>
        <w:rPr>
          <w:rFonts w:hint="eastAsia" w:ascii="宋体" w:hAnsi="宋体" w:eastAsia="宋体" w:cs="宋体"/>
          <w:color w:val="000000"/>
          <w:kern w:val="0"/>
          <w:sz w:val="21"/>
          <w:szCs w:val="21"/>
          <w:lang w:val="en-US" w:eastAsia="zh-CN" w:bidi="ar"/>
        </w:rPr>
        <w:t xml:space="preserve">： </w:t>
      </w:r>
    </w:p>
    <w:p w14:paraId="5C18A63F">
      <w:pPr>
        <w:keepNext w:val="0"/>
        <w:keepLines w:val="0"/>
        <w:widowControl/>
        <w:suppressLineNumbers w:val="0"/>
        <w:spacing w:line="360" w:lineRule="auto"/>
        <w:ind w:firstLine="420" w:firstLineChars="200"/>
        <w:jc w:val="left"/>
        <w:rPr>
          <w:sz w:val="21"/>
          <w:szCs w:val="21"/>
          <w:u w:val="single"/>
        </w:rPr>
      </w:pPr>
      <w:r>
        <w:rPr>
          <w:rFonts w:hint="eastAsia" w:ascii="宋体" w:hAnsi="宋体" w:eastAsia="宋体" w:cs="宋体"/>
          <w:color w:val="000000"/>
          <w:kern w:val="0"/>
          <w:sz w:val="21"/>
          <w:szCs w:val="21"/>
          <w:lang w:val="en-US" w:eastAsia="zh-CN" w:bidi="ar"/>
        </w:rPr>
        <w:t>兹授权</w:t>
      </w:r>
      <w:r>
        <w:rPr>
          <w:rFonts w:hint="eastAsia" w:ascii="仿宋_GB2312" w:hAnsi="仿宋" w:eastAsia="仿宋_GB2312" w:cs="仿宋_GB2312"/>
          <w:color w:val="auto"/>
          <w:kern w:val="0"/>
          <w:sz w:val="21"/>
          <w:szCs w:val="21"/>
          <w:u w:val="single"/>
        </w:rPr>
        <w:t xml:space="preserve">          </w:t>
      </w:r>
      <w:r>
        <w:rPr>
          <w:rFonts w:hint="eastAsia" w:ascii="宋体" w:hAnsi="宋体" w:eastAsia="宋体" w:cs="宋体"/>
          <w:color w:val="000000"/>
          <w:kern w:val="0"/>
          <w:sz w:val="21"/>
          <w:szCs w:val="21"/>
          <w:lang w:val="en-US" w:eastAsia="zh-CN" w:bidi="ar"/>
        </w:rPr>
        <w:t>同志为我公司参加贵单位组织的</w:t>
      </w:r>
      <w:r>
        <w:rPr>
          <w:rFonts w:hint="eastAsia" w:ascii="宋体" w:hAnsi="宋体" w:eastAsia="宋体" w:cs="宋体"/>
          <w:color w:val="000000"/>
          <w:kern w:val="0"/>
          <w:sz w:val="21"/>
          <w:szCs w:val="21"/>
          <w:u w:val="single"/>
          <w:lang w:val="en-US" w:eastAsia="zh-CN" w:bidi="ar"/>
        </w:rPr>
        <w:t>（项目名称、项目编号）</w:t>
      </w:r>
      <w:r>
        <w:rPr>
          <w:rFonts w:hint="eastAsia" w:ascii="宋体" w:hAnsi="宋体" w:eastAsia="宋体" w:cs="宋体"/>
          <w:color w:val="000000"/>
          <w:kern w:val="0"/>
          <w:sz w:val="21"/>
          <w:szCs w:val="21"/>
          <w:lang w:val="en-US" w:eastAsia="zh-CN" w:bidi="ar"/>
        </w:rPr>
        <w:t>采购活动的委托代理人，全权代表我公司处理在该项目活动中的一切事宜。</w:t>
      </w:r>
      <w:r>
        <w:rPr>
          <w:rFonts w:hint="eastAsia" w:ascii="宋体" w:hAnsi="宋体" w:eastAsia="宋体" w:cs="宋体"/>
          <w:color w:val="000000"/>
          <w:kern w:val="0"/>
          <w:sz w:val="21"/>
          <w:szCs w:val="21"/>
          <w:u w:val="single"/>
          <w:lang w:val="en-US" w:eastAsia="zh-CN" w:bidi="ar"/>
        </w:rPr>
        <w:t>代理期限从   年  月  日起至  年  月  日止。</w:t>
      </w:r>
    </w:p>
    <w:p w14:paraId="29467642">
      <w:pPr>
        <w:autoSpaceDE w:val="0"/>
        <w:autoSpaceDN w:val="0"/>
        <w:spacing w:line="360" w:lineRule="auto"/>
        <w:ind w:firstLine="3150" w:firstLineChars="1500"/>
        <w:rPr>
          <w:rFonts w:hint="eastAsia" w:ascii="仿宋_GB2312" w:hAnsi="仿宋" w:eastAsia="仿宋_GB2312" w:cs="仿宋_GB2312"/>
          <w:color w:val="auto"/>
          <w:kern w:val="0"/>
          <w:sz w:val="21"/>
          <w:szCs w:val="21"/>
          <w:u w:val="single"/>
          <w:lang w:val="zh-CN"/>
        </w:rPr>
      </w:pPr>
    </w:p>
    <w:p w14:paraId="0F05CF25">
      <w:pPr>
        <w:keepNext w:val="0"/>
        <w:keepLines w:val="0"/>
        <w:widowControl/>
        <w:suppressLineNumbers w:val="0"/>
        <w:jc w:val="left"/>
        <w:rPr>
          <w:sz w:val="21"/>
          <w:szCs w:val="21"/>
        </w:rPr>
      </w:pPr>
      <w:r>
        <w:rPr>
          <w:rFonts w:hint="eastAsia" w:ascii="宋体" w:hAnsi="宋体" w:eastAsia="宋体" w:cs="宋体"/>
          <w:color w:val="000000"/>
          <w:kern w:val="0"/>
          <w:sz w:val="21"/>
          <w:szCs w:val="21"/>
          <w:lang w:val="en-US" w:eastAsia="zh-CN" w:bidi="ar"/>
        </w:rPr>
        <w:t>供应商（盖章）：</w:t>
      </w:r>
      <w:r>
        <w:rPr>
          <w:rFonts w:hint="eastAsia" w:ascii="仿宋_GB2312" w:hAnsi="仿宋" w:eastAsia="仿宋_GB2312" w:cs="仿宋_GB2312"/>
          <w:color w:val="auto"/>
          <w:kern w:val="0"/>
          <w:sz w:val="21"/>
          <w:szCs w:val="21"/>
          <w:u w:val="single"/>
        </w:rPr>
        <w:t xml:space="preserve">         </w:t>
      </w:r>
      <w:r>
        <w:rPr>
          <w:rFonts w:hint="eastAsia" w:ascii="仿宋_GB2312" w:hAnsi="仿宋" w:eastAsia="仿宋_GB2312" w:cs="仿宋_GB2312"/>
          <w:color w:val="auto"/>
          <w:kern w:val="0"/>
          <w:sz w:val="21"/>
          <w:szCs w:val="21"/>
          <w:u w:val="single"/>
          <w:lang w:val="en-US" w:eastAsia="zh-CN"/>
        </w:rPr>
        <w:t xml:space="preserve">   </w:t>
      </w:r>
      <w:r>
        <w:rPr>
          <w:rFonts w:hint="eastAsia" w:ascii="宋体" w:hAnsi="宋体" w:eastAsia="宋体" w:cs="宋体"/>
          <w:color w:val="000000"/>
          <w:kern w:val="0"/>
          <w:sz w:val="21"/>
          <w:szCs w:val="21"/>
          <w:lang w:val="en-US" w:eastAsia="zh-CN" w:bidi="ar"/>
        </w:rPr>
        <w:t xml:space="preserve"> </w:t>
      </w:r>
    </w:p>
    <w:p w14:paraId="4E77766C">
      <w:pPr>
        <w:keepNext w:val="0"/>
        <w:keepLines w:val="0"/>
        <w:widowControl/>
        <w:suppressLineNumbers w:val="0"/>
        <w:jc w:val="left"/>
        <w:rPr>
          <w:sz w:val="21"/>
          <w:szCs w:val="21"/>
        </w:rPr>
      </w:pPr>
      <w:r>
        <w:rPr>
          <w:rFonts w:hint="eastAsia" w:ascii="宋体" w:hAnsi="宋体" w:eastAsia="宋体" w:cs="宋体"/>
          <w:color w:val="000000"/>
          <w:kern w:val="0"/>
          <w:sz w:val="21"/>
          <w:szCs w:val="21"/>
          <w:lang w:val="en-US" w:eastAsia="zh-CN" w:bidi="ar"/>
        </w:rPr>
        <w:t>法定代表人（签字或签章）：</w:t>
      </w:r>
      <w:r>
        <w:rPr>
          <w:rFonts w:hint="eastAsia" w:ascii="仿宋_GB2312" w:hAnsi="仿宋" w:eastAsia="仿宋_GB2312" w:cs="仿宋_GB2312"/>
          <w:color w:val="auto"/>
          <w:kern w:val="0"/>
          <w:sz w:val="21"/>
          <w:szCs w:val="21"/>
          <w:u w:val="single"/>
        </w:rPr>
        <w:t xml:space="preserve">         </w:t>
      </w:r>
      <w:r>
        <w:rPr>
          <w:rFonts w:hint="eastAsia" w:ascii="宋体" w:hAnsi="宋体" w:eastAsia="宋体" w:cs="宋体"/>
          <w:color w:val="000000"/>
          <w:kern w:val="0"/>
          <w:sz w:val="21"/>
          <w:szCs w:val="21"/>
          <w:lang w:val="en-US" w:eastAsia="zh-CN" w:bidi="ar"/>
        </w:rPr>
        <w:t xml:space="preserve"> </w:t>
      </w:r>
    </w:p>
    <w:p w14:paraId="23E49041">
      <w:pPr>
        <w:keepNext w:val="0"/>
        <w:keepLines w:val="0"/>
        <w:widowControl/>
        <w:suppressLineNumbers w:val="0"/>
        <w:jc w:val="left"/>
        <w:rPr>
          <w:sz w:val="21"/>
          <w:szCs w:val="21"/>
          <w:u w:val="single"/>
        </w:rPr>
      </w:pPr>
      <w:r>
        <w:rPr>
          <w:rFonts w:hint="eastAsia" w:ascii="宋体" w:hAnsi="宋体" w:eastAsia="宋体" w:cs="宋体"/>
          <w:color w:val="000000"/>
          <w:kern w:val="0"/>
          <w:sz w:val="21"/>
          <w:szCs w:val="21"/>
          <w:lang w:val="en-US" w:eastAsia="zh-CN" w:bidi="ar"/>
        </w:rPr>
        <w:t>签发日期：</w:t>
      </w:r>
      <w:r>
        <w:rPr>
          <w:rFonts w:hint="eastAsia" w:ascii="宋体" w:hAnsi="宋体" w:eastAsia="宋体" w:cs="宋体"/>
          <w:color w:val="000000"/>
          <w:kern w:val="0"/>
          <w:sz w:val="21"/>
          <w:szCs w:val="21"/>
          <w:u w:val="single"/>
          <w:lang w:val="en-US" w:eastAsia="zh-CN" w:bidi="ar"/>
        </w:rPr>
        <w:t xml:space="preserve">  年  月  日</w:t>
      </w:r>
    </w:p>
    <w:p w14:paraId="7C36EA8A">
      <w:pPr>
        <w:keepNext w:val="0"/>
        <w:keepLines w:val="0"/>
        <w:widowControl/>
        <w:suppressLineNumbers w:val="0"/>
        <w:jc w:val="left"/>
        <w:rPr>
          <w:rFonts w:hint="eastAsia" w:ascii="宋体" w:hAnsi="宋体" w:eastAsia="宋体" w:cs="宋体"/>
          <w:color w:val="000000"/>
          <w:kern w:val="0"/>
          <w:sz w:val="21"/>
          <w:szCs w:val="21"/>
          <w:lang w:val="en-US" w:eastAsia="zh-CN" w:bidi="ar"/>
        </w:rPr>
      </w:pPr>
    </w:p>
    <w:p w14:paraId="403F4FB8">
      <w:pPr>
        <w:keepNext w:val="0"/>
        <w:keepLines w:val="0"/>
        <w:widowControl/>
        <w:suppressLineNumbers w:val="0"/>
        <w:jc w:val="left"/>
        <w:rPr>
          <w:sz w:val="21"/>
          <w:szCs w:val="21"/>
        </w:rPr>
      </w:pPr>
      <w:r>
        <w:rPr>
          <w:rFonts w:hint="eastAsia" w:ascii="宋体" w:hAnsi="宋体" w:eastAsia="宋体" w:cs="宋体"/>
          <w:color w:val="000000"/>
          <w:kern w:val="0"/>
          <w:sz w:val="21"/>
          <w:szCs w:val="21"/>
          <w:lang w:val="en-US" w:eastAsia="zh-CN" w:bidi="ar"/>
        </w:rPr>
        <w:t xml:space="preserve">附：委托代理人工作单位 </w:t>
      </w:r>
      <w:r>
        <w:rPr>
          <w:rFonts w:hint="eastAsia" w:ascii="仿宋_GB2312" w:hAnsi="仿宋" w:eastAsia="仿宋_GB2312" w:cs="仿宋_GB2312"/>
          <w:color w:val="auto"/>
          <w:kern w:val="0"/>
          <w:sz w:val="21"/>
          <w:szCs w:val="21"/>
          <w:u w:val="single"/>
        </w:rPr>
        <w:t xml:space="preserve">         </w:t>
      </w:r>
      <w:r>
        <w:rPr>
          <w:rFonts w:hint="eastAsia" w:ascii="仿宋_GB2312" w:hAnsi="仿宋" w:eastAsia="仿宋_GB2312" w:cs="仿宋_GB2312"/>
          <w:color w:val="auto"/>
          <w:kern w:val="0"/>
          <w:sz w:val="21"/>
          <w:szCs w:val="21"/>
          <w:u w:val="single"/>
          <w:lang w:val="en-US" w:eastAsia="zh-CN"/>
        </w:rPr>
        <w:t xml:space="preserve">   </w:t>
      </w:r>
    </w:p>
    <w:p w14:paraId="478DDF75">
      <w:pPr>
        <w:keepNext w:val="0"/>
        <w:keepLines w:val="0"/>
        <w:widowControl/>
        <w:suppressLineNumbers w:val="0"/>
        <w:jc w:val="left"/>
        <w:rPr>
          <w:sz w:val="21"/>
          <w:szCs w:val="21"/>
        </w:rPr>
      </w:pPr>
      <w:r>
        <w:rPr>
          <w:rFonts w:hint="eastAsia" w:ascii="宋体" w:hAnsi="宋体" w:eastAsia="宋体" w:cs="宋体"/>
          <w:color w:val="000000"/>
          <w:kern w:val="0"/>
          <w:sz w:val="21"/>
          <w:szCs w:val="21"/>
          <w:lang w:val="en-US" w:eastAsia="zh-CN" w:bidi="ar"/>
        </w:rPr>
        <w:t>职务：</w:t>
      </w:r>
      <w:r>
        <w:rPr>
          <w:rFonts w:hint="eastAsia" w:ascii="仿宋_GB2312" w:hAnsi="仿宋" w:eastAsia="仿宋_GB2312" w:cs="仿宋_GB2312"/>
          <w:color w:val="auto"/>
          <w:kern w:val="0"/>
          <w:sz w:val="21"/>
          <w:szCs w:val="21"/>
          <w:u w:val="single"/>
        </w:rPr>
        <w:t xml:space="preserve">         </w:t>
      </w:r>
      <w:r>
        <w:rPr>
          <w:rFonts w:hint="eastAsia" w:ascii="仿宋_GB2312" w:hAnsi="仿宋" w:eastAsia="仿宋_GB2312" w:cs="仿宋_GB2312"/>
          <w:color w:val="auto"/>
          <w:kern w:val="0"/>
          <w:sz w:val="21"/>
          <w:szCs w:val="21"/>
          <w:u w:val="single"/>
          <w:lang w:val="en-US" w:eastAsia="zh-CN"/>
        </w:rPr>
        <w:t xml:space="preserve">   </w:t>
      </w:r>
      <w:r>
        <w:rPr>
          <w:rFonts w:hint="eastAsia" w:ascii="宋体" w:hAnsi="宋体" w:eastAsia="宋体" w:cs="宋体"/>
          <w:color w:val="000000"/>
          <w:kern w:val="0"/>
          <w:sz w:val="21"/>
          <w:szCs w:val="21"/>
          <w:lang w:val="en-US" w:eastAsia="zh-CN" w:bidi="ar"/>
        </w:rPr>
        <w:t xml:space="preserve"> 性别：</w:t>
      </w:r>
      <w:r>
        <w:rPr>
          <w:rFonts w:hint="eastAsia" w:ascii="仿宋_GB2312" w:hAnsi="仿宋" w:eastAsia="仿宋_GB2312" w:cs="仿宋_GB2312"/>
          <w:color w:val="auto"/>
          <w:kern w:val="0"/>
          <w:sz w:val="21"/>
          <w:szCs w:val="21"/>
          <w:u w:val="single"/>
        </w:rPr>
        <w:t xml:space="preserve">         </w:t>
      </w:r>
      <w:r>
        <w:rPr>
          <w:rFonts w:hint="eastAsia" w:ascii="仿宋_GB2312" w:hAnsi="仿宋" w:eastAsia="仿宋_GB2312" w:cs="仿宋_GB2312"/>
          <w:color w:val="auto"/>
          <w:kern w:val="0"/>
          <w:sz w:val="21"/>
          <w:szCs w:val="21"/>
          <w:u w:val="single"/>
          <w:lang w:val="en-US" w:eastAsia="zh-CN"/>
        </w:rPr>
        <w:t xml:space="preserve">   </w:t>
      </w:r>
      <w:r>
        <w:rPr>
          <w:rFonts w:hint="eastAsia" w:ascii="宋体" w:hAnsi="宋体" w:eastAsia="宋体" w:cs="宋体"/>
          <w:color w:val="000000"/>
          <w:kern w:val="0"/>
          <w:sz w:val="21"/>
          <w:szCs w:val="21"/>
          <w:lang w:val="en-US" w:eastAsia="zh-CN" w:bidi="ar"/>
        </w:rPr>
        <w:t xml:space="preserve"> </w:t>
      </w:r>
    </w:p>
    <w:p w14:paraId="2356646C">
      <w:pPr>
        <w:keepNext w:val="0"/>
        <w:keepLines w:val="0"/>
        <w:widowControl/>
        <w:suppressLineNumbers w:val="0"/>
        <w:jc w:val="left"/>
        <w:rPr>
          <w:sz w:val="21"/>
          <w:szCs w:val="21"/>
        </w:rPr>
      </w:pPr>
      <w:r>
        <w:rPr>
          <w:rFonts w:hint="eastAsia" w:ascii="宋体" w:hAnsi="宋体" w:eastAsia="宋体" w:cs="宋体"/>
          <w:color w:val="000000"/>
          <w:kern w:val="0"/>
          <w:sz w:val="21"/>
          <w:szCs w:val="21"/>
          <w:lang w:val="en-US" w:eastAsia="zh-CN" w:bidi="ar"/>
        </w:rPr>
        <w:t>身份证号码：</w:t>
      </w:r>
      <w:r>
        <w:rPr>
          <w:rFonts w:hint="eastAsia" w:ascii="仿宋_GB2312" w:hAnsi="仿宋" w:eastAsia="仿宋_GB2312" w:cs="仿宋_GB2312"/>
          <w:color w:val="auto"/>
          <w:kern w:val="0"/>
          <w:sz w:val="21"/>
          <w:szCs w:val="21"/>
          <w:u w:val="single"/>
        </w:rPr>
        <w:t xml:space="preserve">         </w:t>
      </w:r>
      <w:r>
        <w:rPr>
          <w:rFonts w:hint="eastAsia" w:ascii="仿宋_GB2312" w:hAnsi="仿宋" w:eastAsia="仿宋_GB2312" w:cs="仿宋_GB2312"/>
          <w:color w:val="auto"/>
          <w:kern w:val="0"/>
          <w:sz w:val="21"/>
          <w:szCs w:val="21"/>
          <w:u w:val="single"/>
          <w:lang w:val="en-US" w:eastAsia="zh-CN"/>
        </w:rPr>
        <w:t xml:space="preserve">   </w:t>
      </w:r>
    </w:p>
    <w:p w14:paraId="215D400B">
      <w:pPr>
        <w:keepNext w:val="0"/>
        <w:keepLines w:val="0"/>
        <w:widowControl/>
        <w:suppressLineNumbers w:val="0"/>
        <w:jc w:val="left"/>
        <w:rPr>
          <w:rFonts w:hint="eastAsia" w:ascii="宋体" w:hAnsi="宋体" w:eastAsia="宋体" w:cs="宋体"/>
          <w:color w:val="000000"/>
          <w:kern w:val="0"/>
          <w:sz w:val="21"/>
          <w:szCs w:val="21"/>
          <w:lang w:val="en-US" w:eastAsia="zh-CN" w:bidi="ar"/>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318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A8EF7D3">
            <w:pPr>
              <w:keepNext w:val="0"/>
              <w:keepLines w:val="0"/>
              <w:widowControl/>
              <w:suppressLineNumbers w:val="0"/>
              <w:jc w:val="left"/>
              <w:rPr>
                <w:sz w:val="21"/>
                <w:szCs w:val="21"/>
              </w:rPr>
            </w:pPr>
            <w:r>
              <w:rPr>
                <w:rFonts w:hint="eastAsia" w:ascii="宋体" w:hAnsi="宋体" w:eastAsia="宋体" w:cs="宋体"/>
                <w:color w:val="000000"/>
                <w:kern w:val="0"/>
                <w:sz w:val="21"/>
                <w:szCs w:val="21"/>
                <w:lang w:val="en-US" w:eastAsia="zh-CN" w:bidi="ar"/>
              </w:rPr>
              <w:t>委托代理人的正面及反面身份证复印件：</w:t>
            </w:r>
          </w:p>
          <w:p w14:paraId="5FAD1AD2">
            <w:pPr>
              <w:tabs>
                <w:tab w:val="left" w:pos="3219"/>
              </w:tabs>
              <w:bidi w:val="0"/>
              <w:jc w:val="left"/>
              <w:rPr>
                <w:rFonts w:hint="eastAsia"/>
                <w:sz w:val="21"/>
                <w:szCs w:val="21"/>
                <w:vertAlign w:val="baseline"/>
                <w:lang w:val="en-US" w:eastAsia="zh-CN"/>
              </w:rPr>
            </w:pPr>
          </w:p>
          <w:p w14:paraId="613AEB3B">
            <w:pPr>
              <w:tabs>
                <w:tab w:val="left" w:pos="3219"/>
              </w:tabs>
              <w:bidi w:val="0"/>
              <w:jc w:val="left"/>
              <w:rPr>
                <w:rFonts w:hint="eastAsia"/>
                <w:sz w:val="21"/>
                <w:szCs w:val="21"/>
                <w:vertAlign w:val="baseline"/>
                <w:lang w:val="en-US" w:eastAsia="zh-CN"/>
              </w:rPr>
            </w:pPr>
          </w:p>
          <w:p w14:paraId="69C88FDC">
            <w:pPr>
              <w:tabs>
                <w:tab w:val="left" w:pos="3219"/>
              </w:tabs>
              <w:bidi w:val="0"/>
              <w:jc w:val="left"/>
              <w:rPr>
                <w:rFonts w:hint="eastAsia"/>
                <w:sz w:val="21"/>
                <w:szCs w:val="21"/>
                <w:vertAlign w:val="baseline"/>
                <w:lang w:val="en-US" w:eastAsia="zh-CN"/>
              </w:rPr>
            </w:pPr>
          </w:p>
          <w:p w14:paraId="7FE7AE8D">
            <w:pPr>
              <w:tabs>
                <w:tab w:val="left" w:pos="3219"/>
              </w:tabs>
              <w:bidi w:val="0"/>
              <w:jc w:val="left"/>
              <w:rPr>
                <w:rFonts w:hint="eastAsia"/>
                <w:sz w:val="21"/>
                <w:szCs w:val="21"/>
                <w:vertAlign w:val="baseline"/>
                <w:lang w:val="en-US" w:eastAsia="zh-CN"/>
              </w:rPr>
            </w:pPr>
          </w:p>
          <w:p w14:paraId="04169E3B">
            <w:pPr>
              <w:tabs>
                <w:tab w:val="left" w:pos="3219"/>
              </w:tabs>
              <w:bidi w:val="0"/>
              <w:jc w:val="left"/>
              <w:rPr>
                <w:rFonts w:hint="eastAsia"/>
                <w:sz w:val="21"/>
                <w:szCs w:val="21"/>
                <w:vertAlign w:val="baseline"/>
                <w:lang w:val="en-US" w:eastAsia="zh-CN"/>
              </w:rPr>
            </w:pPr>
          </w:p>
          <w:p w14:paraId="6E6A3910">
            <w:pPr>
              <w:tabs>
                <w:tab w:val="left" w:pos="3219"/>
              </w:tabs>
              <w:bidi w:val="0"/>
              <w:jc w:val="left"/>
              <w:rPr>
                <w:rFonts w:hint="eastAsia"/>
                <w:sz w:val="21"/>
                <w:szCs w:val="21"/>
                <w:vertAlign w:val="baseline"/>
                <w:lang w:val="en-US" w:eastAsia="zh-CN"/>
              </w:rPr>
            </w:pPr>
          </w:p>
          <w:p w14:paraId="714E3FBE">
            <w:pPr>
              <w:tabs>
                <w:tab w:val="left" w:pos="3219"/>
              </w:tabs>
              <w:bidi w:val="0"/>
              <w:jc w:val="left"/>
              <w:rPr>
                <w:rFonts w:hint="eastAsia"/>
                <w:sz w:val="21"/>
                <w:szCs w:val="21"/>
                <w:vertAlign w:val="baseline"/>
                <w:lang w:val="en-US" w:eastAsia="zh-CN"/>
              </w:rPr>
            </w:pPr>
          </w:p>
          <w:p w14:paraId="2D98BCCA">
            <w:pPr>
              <w:tabs>
                <w:tab w:val="left" w:pos="3219"/>
              </w:tabs>
              <w:bidi w:val="0"/>
              <w:jc w:val="left"/>
              <w:rPr>
                <w:rFonts w:hint="eastAsia"/>
                <w:sz w:val="21"/>
                <w:szCs w:val="21"/>
                <w:vertAlign w:val="baseline"/>
                <w:lang w:val="en-US" w:eastAsia="zh-CN"/>
              </w:rPr>
            </w:pPr>
          </w:p>
          <w:p w14:paraId="3B33E00F">
            <w:pPr>
              <w:tabs>
                <w:tab w:val="left" w:pos="3219"/>
              </w:tabs>
              <w:bidi w:val="0"/>
              <w:jc w:val="left"/>
              <w:rPr>
                <w:rFonts w:hint="eastAsia"/>
                <w:sz w:val="21"/>
                <w:szCs w:val="21"/>
                <w:vertAlign w:val="baseline"/>
                <w:lang w:val="en-US" w:eastAsia="zh-CN"/>
              </w:rPr>
            </w:pPr>
          </w:p>
          <w:p w14:paraId="5CD5FA61">
            <w:pPr>
              <w:tabs>
                <w:tab w:val="left" w:pos="3219"/>
              </w:tabs>
              <w:bidi w:val="0"/>
              <w:jc w:val="left"/>
              <w:rPr>
                <w:rFonts w:hint="eastAsia"/>
                <w:sz w:val="21"/>
                <w:szCs w:val="21"/>
                <w:vertAlign w:val="baseline"/>
                <w:lang w:val="en-US" w:eastAsia="zh-CN"/>
              </w:rPr>
            </w:pPr>
          </w:p>
          <w:p w14:paraId="0313B5CC">
            <w:pPr>
              <w:tabs>
                <w:tab w:val="left" w:pos="3219"/>
              </w:tabs>
              <w:bidi w:val="0"/>
              <w:jc w:val="left"/>
              <w:rPr>
                <w:rFonts w:hint="eastAsia"/>
                <w:sz w:val="21"/>
                <w:szCs w:val="21"/>
                <w:vertAlign w:val="baseline"/>
                <w:lang w:val="en-US" w:eastAsia="zh-CN"/>
              </w:rPr>
            </w:pPr>
          </w:p>
        </w:tc>
      </w:tr>
    </w:tbl>
    <w:p w14:paraId="6E693C94">
      <w:pPr>
        <w:tabs>
          <w:tab w:val="left" w:pos="3219"/>
        </w:tabs>
        <w:bidi w:val="0"/>
        <w:jc w:val="left"/>
        <w:rPr>
          <w:rFonts w:hint="eastAsia"/>
          <w:lang w:val="en-US" w:eastAsia="zh-CN"/>
        </w:rPr>
      </w:pPr>
    </w:p>
    <w:p w14:paraId="495F89A4"/>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0855A">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0362A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90362A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C4FC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1C7675">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1C7675">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8978ED"/>
    <w:multiLevelType w:val="singleLevel"/>
    <w:tmpl w:val="0A8978E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AD558A"/>
    <w:rsid w:val="010B22B0"/>
    <w:rsid w:val="023D5291"/>
    <w:rsid w:val="03733754"/>
    <w:rsid w:val="06BA455D"/>
    <w:rsid w:val="099F5C8C"/>
    <w:rsid w:val="0BE360C6"/>
    <w:rsid w:val="0C3C77C2"/>
    <w:rsid w:val="0F1A4C8A"/>
    <w:rsid w:val="127D6F89"/>
    <w:rsid w:val="128E6BCF"/>
    <w:rsid w:val="131B6383"/>
    <w:rsid w:val="147629B2"/>
    <w:rsid w:val="152D37CF"/>
    <w:rsid w:val="15A4429E"/>
    <w:rsid w:val="173D2054"/>
    <w:rsid w:val="18380944"/>
    <w:rsid w:val="1A092240"/>
    <w:rsid w:val="1C15533E"/>
    <w:rsid w:val="1C847CD6"/>
    <w:rsid w:val="1E0C3498"/>
    <w:rsid w:val="1EC024D4"/>
    <w:rsid w:val="1F1B33D7"/>
    <w:rsid w:val="2006217D"/>
    <w:rsid w:val="22E129D4"/>
    <w:rsid w:val="24FA6976"/>
    <w:rsid w:val="2BCF6555"/>
    <w:rsid w:val="2D3C0548"/>
    <w:rsid w:val="2D92328E"/>
    <w:rsid w:val="2DC07DFB"/>
    <w:rsid w:val="2FA86703"/>
    <w:rsid w:val="2FC17F60"/>
    <w:rsid w:val="30EC5EE8"/>
    <w:rsid w:val="320209E2"/>
    <w:rsid w:val="32B141B6"/>
    <w:rsid w:val="3369683F"/>
    <w:rsid w:val="34462848"/>
    <w:rsid w:val="35E17685"/>
    <w:rsid w:val="389341F1"/>
    <w:rsid w:val="39320432"/>
    <w:rsid w:val="3B0E664A"/>
    <w:rsid w:val="424439FF"/>
    <w:rsid w:val="444B473E"/>
    <w:rsid w:val="48425B85"/>
    <w:rsid w:val="48994D4F"/>
    <w:rsid w:val="4BCB2499"/>
    <w:rsid w:val="4CD3324F"/>
    <w:rsid w:val="4DC921A3"/>
    <w:rsid w:val="4DEB6377"/>
    <w:rsid w:val="4E6B4950"/>
    <w:rsid w:val="4EA92580"/>
    <w:rsid w:val="51D21E7F"/>
    <w:rsid w:val="530D70A0"/>
    <w:rsid w:val="54A31759"/>
    <w:rsid w:val="54E87936"/>
    <w:rsid w:val="54FE2E33"/>
    <w:rsid w:val="55C91693"/>
    <w:rsid w:val="56073F6A"/>
    <w:rsid w:val="5B056549"/>
    <w:rsid w:val="5C247E1B"/>
    <w:rsid w:val="5CCB30B8"/>
    <w:rsid w:val="5E117FAA"/>
    <w:rsid w:val="5F4E213E"/>
    <w:rsid w:val="66C64556"/>
    <w:rsid w:val="672E3266"/>
    <w:rsid w:val="6796514D"/>
    <w:rsid w:val="67D70101"/>
    <w:rsid w:val="685802BE"/>
    <w:rsid w:val="698F2928"/>
    <w:rsid w:val="6B95029C"/>
    <w:rsid w:val="6DFB3CC9"/>
    <w:rsid w:val="701B781A"/>
    <w:rsid w:val="765C68D8"/>
    <w:rsid w:val="778F614C"/>
    <w:rsid w:val="781077B7"/>
    <w:rsid w:val="7B9203F4"/>
    <w:rsid w:val="7D4C0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character" w:customStyle="1" w:styleId="10">
    <w:name w:val="font31"/>
    <w:basedOn w:val="8"/>
    <w:qFormat/>
    <w:uiPriority w:val="0"/>
    <w:rPr>
      <w:rFonts w:hint="eastAsia" w:ascii="微软雅黑" w:hAnsi="微软雅黑" w:eastAsia="微软雅黑" w:cs="微软雅黑"/>
      <w:color w:val="000000"/>
      <w:sz w:val="20"/>
      <w:szCs w:val="20"/>
      <w:u w:val="none"/>
    </w:rPr>
  </w:style>
  <w:style w:type="paragraph" w:customStyle="1" w:styleId="11">
    <w:name w:val="Char Char Char3"/>
    <w:basedOn w:val="1"/>
    <w:qFormat/>
    <w:uiPriority w:val="0"/>
    <w:pPr>
      <w:widowControl/>
      <w:spacing w:line="240" w:lineRule="exact"/>
      <w:jc w:val="left"/>
    </w:pPr>
    <w:rPr>
      <w:rFonts w:ascii="Verdana" w:hAnsi="Verdana" w:eastAsia="宋体" w:cs="Times New Roman"/>
      <w:kern w:val="0"/>
      <w:sz w:val="20"/>
      <w:szCs w:val="20"/>
      <w:lang w:eastAsia="en-US"/>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13264</Words>
  <Characters>15765</Characters>
  <Lines>0</Lines>
  <Paragraphs>0</Paragraphs>
  <TotalTime>0</TotalTime>
  <ScaleCrop>false</ScaleCrop>
  <LinksUpToDate>false</LinksUpToDate>
  <CharactersWithSpaces>15897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2026-05-20T08:33:00Z</dcterms:created>
  <dc:creator>Administrator</dc:creator>
  <cp:lastModifiedBy>Administrator</cp:lastModifiedBy>
  <cp:lastPrinted>2026-07-22T02:26:00Z</cp:lastPrinted>
  <dcterms:modified xsi:type="dcterms:W3CDTF">2026-08-28T01:06:01Z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363FCDB3502B45288C7ADF3582E1B960_13</vt:lpwstr>
  </property>
  <property fmtid="{D5CDD505-2E9C-101B-9397-08002B2CF9AE}" pid="4" name="KSOTemplateDocerSaveRecord">
    <vt:lpwstr>eyJoZGlkIjoiY2VlNjUxMjI3OTM1NzYxYzdiMTY2NGJiZWZiMzNhYmIifQ==</vt:lpwstr>
  </property>
</Properties>
</file>