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48B1E">
      <w:pPr>
        <w:spacing w:line="450" w:lineRule="exact"/>
        <w:jc w:val="center"/>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玉林市玉州区古定中心小学物业管理服务项目需求</w:t>
      </w:r>
    </w:p>
    <w:p w14:paraId="129C5EB6">
      <w:pPr>
        <w:spacing w:line="450" w:lineRule="exact"/>
        <w:rPr>
          <w:color w:val="000000" w:themeColor="text1"/>
          <w14:textFill>
            <w14:solidFill>
              <w14:schemeClr w14:val="tx1"/>
            </w14:solidFill>
          </w14:textFill>
        </w:rPr>
      </w:pPr>
      <w:bookmarkStart w:id="2" w:name="_GoBack"/>
      <w:bookmarkEnd w:id="2"/>
    </w:p>
    <w:p w14:paraId="3B82AB25">
      <w:pPr>
        <w:spacing w:line="450" w:lineRule="exact"/>
        <w:rPr>
          <w:rFonts w:hint="eastAsia"/>
          <w:color w:val="000000" w:themeColor="text1"/>
          <w14:textFill>
            <w14:solidFill>
              <w14:schemeClr w14:val="tx1"/>
            </w14:solidFill>
          </w14:textFill>
        </w:rPr>
      </w:pPr>
      <w:r>
        <w:rPr>
          <w:rFonts w:hint="eastAsia"/>
          <w:b/>
          <w:bCs/>
          <w:color w:val="000000" w:themeColor="text1"/>
          <w14:textFill>
            <w14:solidFill>
              <w14:schemeClr w14:val="tx1"/>
            </w14:solidFill>
          </w14:textFill>
        </w:rPr>
        <w:t>一、项目概况</w:t>
      </w:r>
    </w:p>
    <w:p w14:paraId="2AA4EADC">
      <w:pPr>
        <w:spacing w:line="450" w:lineRule="exac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1.项目名称：玉林市玉州区古定中心小学物业管理服务</w:t>
      </w:r>
    </w:p>
    <w:p w14:paraId="60AFE1D1">
      <w:pPr>
        <w:spacing w:line="450" w:lineRule="exac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2.采购预算：人民币45万元（大写：肆拾伍万元整）</w:t>
      </w:r>
    </w:p>
    <w:p w14:paraId="5C617617">
      <w:pPr>
        <w:spacing w:line="450" w:lineRule="exac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3.采购方式：在线询价（依据《广西政府采购电子卖场采购管理暂行办法》及玉林市财政局相关规定，本项目预算金额在分散采购限额标准以下，通过广西政府采购云平台电子卖场采用在线询价方式采购）</w:t>
      </w:r>
    </w:p>
    <w:p w14:paraId="2947071C">
      <w:pPr>
        <w:spacing w:line="450" w:lineRule="exac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4.服务期限：12个月</w:t>
      </w:r>
    </w:p>
    <w:p w14:paraId="0D48B878">
      <w:pPr>
        <w:spacing w:line="450" w:lineRule="exac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5.服务地点：</w:t>
      </w:r>
      <w:r>
        <w:rPr>
          <w:rFonts w:hint="eastAsia"/>
          <w:color w:val="000000" w:themeColor="text1"/>
          <w:lang w:val="en-US" w:eastAsia="zh-CN"/>
          <w14:textFill>
            <w14:solidFill>
              <w14:schemeClr w14:val="tx1"/>
            </w14:solidFill>
          </w14:textFill>
        </w:rPr>
        <w:t>玉州区</w:t>
      </w:r>
      <w:r>
        <w:rPr>
          <w:rFonts w:hint="eastAsia"/>
          <w:color w:val="000000" w:themeColor="text1"/>
          <w14:textFill>
            <w14:solidFill>
              <w14:schemeClr w14:val="tx1"/>
            </w14:solidFill>
          </w14:textFill>
        </w:rPr>
        <w:t>古定中心小学两个校区（总校和天湖校区）</w:t>
      </w:r>
    </w:p>
    <w:p w14:paraId="72C89CF6">
      <w:pPr>
        <w:spacing w:line="450" w:lineRule="exac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6.采购需求编制依据：本项目采购需求经市场调研和学校实际需求论证后编制，预算金额依据玉林市物业服务市场行情及学校实际服务需求测算确定。</w:t>
      </w:r>
    </w:p>
    <w:p w14:paraId="75540530">
      <w:pPr>
        <w:spacing w:line="450" w:lineRule="exac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二、服务内容及要求</w:t>
      </w:r>
    </w:p>
    <w:p w14:paraId="1BAA8FDA">
      <w:pPr>
        <w:spacing w:line="450" w:lineRule="exact"/>
        <w:ind w:firstLine="211" w:firstLineChars="100"/>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(一)环境卫生服务内容、服务要求</w:t>
      </w:r>
    </w:p>
    <w:p w14:paraId="11F4F79A">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服务内容</w:t>
      </w:r>
    </w:p>
    <w:p w14:paraId="3C73A572">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负责学校内所有道路路面、绿化带等公共区域卫生保洁；</w:t>
      </w:r>
    </w:p>
    <w:p w14:paraId="0F309894">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负责所有教学楼的公共区域卫生(包括公共厕所、走道、楼梯扶手等，下同)及楼道绿植养护；</w:t>
      </w:r>
    </w:p>
    <w:p w14:paraId="52A279BC">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负责外球场(含主席台)公共区域卫生；</w:t>
      </w:r>
    </w:p>
    <w:p w14:paraId="653B7AAF">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负责行政办公楼公共区域卫生及室内绿植养护；</w:t>
      </w:r>
    </w:p>
    <w:p w14:paraId="0A606BE9">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负责管道、沉沙井、水池的清理疏通及化粪池清理等；</w:t>
      </w:r>
    </w:p>
    <w:p w14:paraId="4F766B45">
      <w:pPr>
        <w:spacing w:line="450" w:lineRule="exact"/>
        <w:rPr>
          <w:rFonts w:hint="eastAsia"/>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color w:val="000000" w:themeColor="text1"/>
          <w14:textFill>
            <w14:solidFill>
              <w14:schemeClr w14:val="tx1"/>
            </w14:solidFill>
          </w14:textFill>
        </w:rPr>
        <w:t>负责服务范围内的除“四害”工作；</w:t>
      </w:r>
    </w:p>
    <w:p w14:paraId="725952D0">
      <w:pPr>
        <w:spacing w:line="450" w:lineRule="exact"/>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（7）配合业主单位完成保洁临时性任务——每月不超过4次，每次不超过5人/天，超出部分另行协商计费。</w:t>
      </w:r>
    </w:p>
    <w:p w14:paraId="71FE3FDD">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服务要求</w:t>
      </w:r>
    </w:p>
    <w:p w14:paraId="1F0A1447">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道路、外围、大厅，公共场所、体育场、绿化地每日清扫2次。</w:t>
      </w:r>
    </w:p>
    <w:p w14:paraId="6DF2EDD3">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教学楼、办公楼公共通道、走廊、楼梯每日清扫2次。</w:t>
      </w:r>
    </w:p>
    <w:p w14:paraId="50E48807">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各公用卫生间每日清洁2次以上。</w:t>
      </w:r>
    </w:p>
    <w:p w14:paraId="62B2E013">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垃圾每日收集2次。</w:t>
      </w:r>
    </w:p>
    <w:p w14:paraId="2B2B200A">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校区内管道、沉沙井、水池的清理疏通每月1次。</w:t>
      </w:r>
    </w:p>
    <w:p w14:paraId="23286B04">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color w:val="000000" w:themeColor="text1"/>
          <w14:textFill>
            <w14:solidFill>
              <w14:schemeClr w14:val="tx1"/>
            </w14:solidFill>
          </w14:textFill>
        </w:rPr>
        <w:t>每季不少于2次的除“四害”工作。</w:t>
      </w:r>
    </w:p>
    <w:p w14:paraId="291FDC1A">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r>
        <w:rPr>
          <w:rFonts w:hint="eastAsia"/>
          <w:color w:val="000000" w:themeColor="text1"/>
          <w14:textFill>
            <w14:solidFill>
              <w14:schemeClr w14:val="tx1"/>
            </w14:solidFill>
          </w14:textFill>
        </w:rPr>
        <w:t>化粪池每年清理不少于2次。</w:t>
      </w:r>
    </w:p>
    <w:p w14:paraId="4B2C4C88">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r>
        <w:rPr>
          <w:rFonts w:hint="eastAsia"/>
          <w:color w:val="000000" w:themeColor="text1"/>
          <w14:textFill>
            <w14:solidFill>
              <w14:schemeClr w14:val="tx1"/>
            </w14:solidFill>
          </w14:textFill>
        </w:rPr>
        <w:t>配合业主单位完成保洁临时性任务。</w:t>
      </w:r>
    </w:p>
    <w:p w14:paraId="1E30EBFD">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服务标准：</w:t>
      </w:r>
    </w:p>
    <w:p w14:paraId="29148858">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道路清扫要达到“七无”：</w:t>
      </w:r>
      <w:r>
        <w:rPr>
          <w:rFonts w:hint="eastAsia" w:ascii="宋体" w:hAnsi="宋体" w:cs="宋体"/>
          <w:color w:val="000000" w:themeColor="text1"/>
          <w:szCs w:val="21"/>
          <w14:textFill>
            <w14:solidFill>
              <w14:schemeClr w14:val="tx1"/>
            </w14:solidFill>
          </w14:textFill>
        </w:rPr>
        <w:t>①无泥沙；②无果皮纸屑；③无杂草；④无烟头；⑤无污迹；⑥无生活垃圾堆放；⑦无砖块等建筑垃圾堆放。</w:t>
      </w:r>
    </w:p>
    <w:p w14:paraId="090EA6FA">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教学楼、办公楼楼道天花无污迹、积尘、蛛网、霉迹；防器材、电箱、交换器：无污迹、积尘、蛛网、霉迹；地板干净：无明显污渍、积水、烟头、杂物；墙面、门窗：无污迹、积尘杂物，墙面无乱画、张贴；楼梯、走廊：畅通，无堆积物、乱画。</w:t>
      </w:r>
    </w:p>
    <w:p w14:paraId="07AF2835">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公共设区域的果皮箱体表面保持干净，周围无垃圾落地，无异味，无污渍；排水通畅，无堵塞，无树叶、砖头等垃圾，无白色污染物；排污井排水通畅，无堵塞，无树叶、砖头等垃圾，无白色污染物；各类标识牌和宣传栏等无灰尘、无污渍、无蜘蛛网等；露天公共座椅表面干净，无灰尘、无污渍、无蜘蛛网等；灯杆电杆3米以下无灰尘、无污渍、无张贴物、无乱涂乱画等；室外消防器材（消防栓、灭火器等）无灰尘、无污渍、无张贴物、无乱涂乱画等。</w:t>
      </w:r>
    </w:p>
    <w:p w14:paraId="24180BDA">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卫生间保持清洁、干净，洗手盆上无杂物、无纸屑、无积水；及时清理脚印、水渍；镜子每日全</w:t>
      </w:r>
    </w:p>
    <w:p w14:paraId="4800C35B">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面擦拭清洁；大小便池内外无淡逅；墙面、水管、隔断、门坎、窗台无灰尘，厕所内无异味。</w:t>
      </w:r>
    </w:p>
    <w:p w14:paraId="011D3A32">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校区内管道、沉沙井、水池的清理疏通及时，化粪池无外溢无堵塞现象。</w:t>
      </w:r>
    </w:p>
    <w:p w14:paraId="35BC6EB8">
      <w:pPr>
        <w:spacing w:line="450" w:lineRule="exact"/>
        <w:ind w:firstLine="211" w:firstLineChars="100"/>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(二)绿化养护服务内容、服务要求和服务标准</w:t>
      </w:r>
    </w:p>
    <w:p w14:paraId="6ED905BE">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服务内容</w:t>
      </w:r>
    </w:p>
    <w:p w14:paraId="6BA000FB">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负责服务范围内各种花卉植物的修剪、养护、浇灌、施肥、松土、防涝、防冻工作。定期喷洒</w:t>
      </w:r>
    </w:p>
    <w:p w14:paraId="34550728">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药物，预防病虫害。</w:t>
      </w:r>
    </w:p>
    <w:p w14:paraId="73E66B88">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做好草坪树木修剪，保持无杂草、枯枝、补种等。</w:t>
      </w:r>
    </w:p>
    <w:p w14:paraId="3EBB7524">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负责管理区域内的盆花培育及摆放、更换等工作，</w:t>
      </w:r>
      <w:r>
        <w:rPr>
          <w:rFonts w:hint="eastAsia"/>
          <w:color w:val="000000" w:themeColor="text1"/>
          <w:lang w:eastAsia="zh-CN"/>
          <w14:textFill>
            <w14:solidFill>
              <w14:schemeClr w14:val="tx1"/>
            </w14:solidFill>
          </w14:textFill>
        </w:rPr>
        <w:t>服务期内根据学校实际需求分批提供</w:t>
      </w:r>
      <w:r>
        <w:rPr>
          <w:rFonts w:hint="eastAsia"/>
          <w:color w:val="000000" w:themeColor="text1"/>
          <w14:textFill>
            <w14:solidFill>
              <w14:schemeClr w14:val="tx1"/>
            </w14:solidFill>
          </w14:textFill>
        </w:rPr>
        <w:t>花卉</w:t>
      </w:r>
      <w:r>
        <w:rPr>
          <w:rFonts w:hint="eastAsia"/>
          <w:color w:val="000000" w:themeColor="text1"/>
          <w:lang w:eastAsia="zh-CN"/>
          <w14:textFill>
            <w14:solidFill>
              <w14:schemeClr w14:val="tx1"/>
            </w14:solidFill>
          </w14:textFill>
        </w:rPr>
        <w:t>，按实际使用数量结算，预计全年不少于</w:t>
      </w:r>
      <w:r>
        <w:rPr>
          <w:rFonts w:hint="eastAsia"/>
          <w:color w:val="000000" w:themeColor="text1"/>
          <w14:textFill>
            <w14:solidFill>
              <w14:schemeClr w14:val="tx1"/>
            </w14:solidFill>
          </w14:textFill>
        </w:rPr>
        <w:t>2000盆。</w:t>
      </w:r>
    </w:p>
    <w:p w14:paraId="402D8AFE">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配合校方完成绿化临时性工作任务</w:t>
      </w:r>
      <w:r>
        <w:rPr>
          <w:rFonts w:hint="eastAsia"/>
          <w:color w:val="000000" w:themeColor="text1"/>
          <w:lang w:eastAsia="zh-CN"/>
          <w14:textFill>
            <w14:solidFill>
              <w14:schemeClr w14:val="tx1"/>
            </w14:solidFill>
          </w14:textFill>
        </w:rPr>
        <w:t>——每月不超过2次，每次不超过3人/天，超出部分另行协商计费。</w:t>
      </w:r>
    </w:p>
    <w:p w14:paraId="43CFDC9A">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服务要求</w:t>
      </w:r>
    </w:p>
    <w:p w14:paraId="7E64EDC2">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每天全面清扫绿化带、绿篱色块及沟内的落叶、垃圾等杂物一次，巡回保洁一次，拾捡垃圾等。</w:t>
      </w: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每年3-5月份和11-12月份全面给绿地各施肥一次。其他季节根据绿植生长情况追肥。绿植葱绿，茂盛生长。</w:t>
      </w:r>
    </w:p>
    <w:p w14:paraId="1D747230">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乔木、灌木、草坪、绿地被根据植物长势、造型需求等进行适时修剪。</w:t>
      </w:r>
    </w:p>
    <w:p w14:paraId="1BD8E181">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（4）根</w:t>
      </w:r>
      <w:r>
        <w:rPr>
          <w:rFonts w:hint="eastAsia"/>
          <w:color w:val="000000" w:themeColor="text1"/>
          <w14:textFill>
            <w14:solidFill>
              <w14:schemeClr w14:val="tx1"/>
            </w14:solidFill>
          </w14:textFill>
        </w:rPr>
        <w:t>据不同植物特性、土壤的干湿度，做到适时、适量，不遗漏，每次浇水要浇足浇透，不得浪费</w:t>
      </w:r>
    </w:p>
    <w:p w14:paraId="66F63EE4">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水。干旱季节每3-4天淋透水1次，</w:t>
      </w:r>
    </w:p>
    <w:p w14:paraId="133892BC">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每年冬季期（12月-次年2月）绿篙色块全面开挖养护沟，沟宽为20-25厘米，生长季（4-10</w:t>
      </w:r>
    </w:p>
    <w:p w14:paraId="6F8693CE">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月）养护沟每月松土修边1次，保持沟内无杂草，修边要整齐、有美感。</w:t>
      </w:r>
    </w:p>
    <w:p w14:paraId="5C66174C">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color w:val="000000" w:themeColor="text1"/>
          <w14:textFill>
            <w14:solidFill>
              <w14:schemeClr w14:val="tx1"/>
            </w14:solidFill>
          </w14:textFill>
        </w:rPr>
        <w:t>每年冬季期（12月-次年2月）球形灌木全面开挖养护穴，穴径80-100厘米。生长季（4-10月）养护穴每月松土修边1次，保持穴内无杂草，修边要整齐、有美感。</w:t>
      </w:r>
    </w:p>
    <w:p w14:paraId="289D8BEC">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r>
        <w:rPr>
          <w:rFonts w:hint="eastAsia"/>
          <w:color w:val="000000" w:themeColor="text1"/>
          <w14:textFill>
            <w14:solidFill>
              <w14:schemeClr w14:val="tx1"/>
            </w14:solidFill>
          </w14:textFill>
        </w:rPr>
        <w:t>以预防为主，定期做好绿植喷药防治工作。一般在病虫害发生季节4-10月份，每月对易感植物喷药不少于2次。在开放性的绿地中喷药时，及时公告并选择学校休息日人流较少的时段进行。同时采取必要的防护措施，避免危及他人。</w:t>
      </w:r>
    </w:p>
    <w:p w14:paraId="0C648B97">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服务标准</w:t>
      </w:r>
    </w:p>
    <w:p w14:paraId="26E33139">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绿地无破坏、践踏，花草树木长势良好，无病虫害，无杂草，无枯死。及配合业主方更换各类</w:t>
      </w:r>
    </w:p>
    <w:p w14:paraId="27570D51">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荫生植物，保持地面无枯枝、枯叶、无绿化废弃物。</w:t>
      </w:r>
    </w:p>
    <w:p w14:paraId="0210227A">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草坪常绿、不枯黄，草坪高度不超过10公分。</w:t>
      </w:r>
    </w:p>
    <w:p w14:paraId="14C44CE4">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绿化存活率达到90%以上，绿地更新及时率达到98%。</w:t>
      </w:r>
    </w:p>
    <w:p w14:paraId="029C8862">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虫害的树木不超过2%，食叶性害虫为害率小于5%，刺吸性害虫为害率小于10%，蛀干性害虫</w:t>
      </w:r>
    </w:p>
    <w:p w14:paraId="1168F299">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为害率小于3%。</w:t>
      </w:r>
    </w:p>
    <w:p w14:paraId="093E2EB1">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残枝断叶控制率达到98%。</w:t>
      </w:r>
    </w:p>
    <w:p w14:paraId="7F4191EA">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color w:val="000000" w:themeColor="text1"/>
          <w14:textFill>
            <w14:solidFill>
              <w14:schemeClr w14:val="tx1"/>
            </w14:solidFill>
          </w14:textFill>
        </w:rPr>
        <w:t>定期组织浇灌、施肥和松土，做好防涝、防冻工作。</w:t>
      </w:r>
    </w:p>
    <w:p w14:paraId="442FB15D">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r>
        <w:rPr>
          <w:rFonts w:hint="eastAsia"/>
          <w:color w:val="000000" w:themeColor="text1"/>
          <w14:textFill>
            <w14:solidFill>
              <w14:schemeClr w14:val="tx1"/>
            </w14:solidFill>
          </w14:textFill>
        </w:rPr>
        <w:t>绿化建筑物品无损坏.</w:t>
      </w:r>
    </w:p>
    <w:p w14:paraId="1D5DB36D">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r>
        <w:rPr>
          <w:rFonts w:hint="eastAsia"/>
          <w:color w:val="000000" w:themeColor="text1"/>
          <w14:textFill>
            <w14:solidFill>
              <w14:schemeClr w14:val="tx1"/>
            </w14:solidFill>
          </w14:textFill>
        </w:rPr>
        <w:t>保持绿地土壤疏松、无积水，合理、有效施肥，以增强土壤肥力，改善土壤理化性状。</w:t>
      </w:r>
    </w:p>
    <w:p w14:paraId="5F2E99E4">
      <w:pPr>
        <w:spacing w:line="450" w:lineRule="exact"/>
        <w:ind w:firstLine="211" w:firstLineChars="100"/>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(三)维修服务内容、服务要求和服务标准</w:t>
      </w:r>
    </w:p>
    <w:p w14:paraId="12C6AB2D">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服务内容</w:t>
      </w:r>
    </w:p>
    <w:p w14:paraId="7E7CBD80">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校区的电线电缆、电气照明、指示灯具、配电送电等系统和设备的日常维护、零星维修及空调</w:t>
      </w:r>
    </w:p>
    <w:p w14:paraId="0D6662BE">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系统的管理。</w:t>
      </w:r>
    </w:p>
    <w:p w14:paraId="0F5ABF4D">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校区的给排水系统管理维护包括阀门、管道及教学楼门窗等公共设施设备的日常维护、零星维</w:t>
      </w:r>
    </w:p>
    <w:p w14:paraId="3A2C908E">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修等。</w:t>
      </w:r>
    </w:p>
    <w:p w14:paraId="4CDF9E20">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校区的楼顶漏水及裂缝、墙体墙面、车棚、地面、监控、电子屏、广播、音响设备、水管供水抢修、用电电气线路、消防设施、喷淋装置等安全隐患整改维修等。</w:t>
      </w:r>
    </w:p>
    <w:p w14:paraId="06CE43F6">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服务要求</w:t>
      </w:r>
    </w:p>
    <w:p w14:paraId="44CD474B">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实行每天24小时客户报修电话接待，将报修电话向校方业主公布。接到报修电话及时记录，</w:t>
      </w:r>
    </w:p>
    <w:p w14:paraId="78027836">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并通知维修部门派人员维修。</w:t>
      </w:r>
    </w:p>
    <w:p w14:paraId="6FC3629C">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水电急修项目：接报修后20分钟到达现场，2小时内修复；</w:t>
      </w:r>
    </w:p>
    <w:p w14:paraId="436289E7">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其他维修项目：30分钟之内到达现场查勘，根据维修项目情况，能立即修复的，当场给予解决；不能马上修复的，按约定时间给予修复；</w:t>
      </w:r>
    </w:p>
    <w:p w14:paraId="26DB60A2">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非责任维修：1小时到达现场查勘，与客户洽谈，确定维修费和维修时间，按约维修。</w:t>
      </w:r>
    </w:p>
    <w:p w14:paraId="2D4E5E6B">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做好从接单开始到维修完毕各环节的记录。</w:t>
      </w:r>
    </w:p>
    <w:p w14:paraId="1E587C46">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color w:val="000000" w:themeColor="text1"/>
          <w14:textFill>
            <w14:solidFill>
              <w14:schemeClr w14:val="tx1"/>
            </w14:solidFill>
          </w14:textFill>
        </w:rPr>
        <w:t>维修完毕应要求客户签名确认，并征求满意度。</w:t>
      </w:r>
    </w:p>
    <w:p w14:paraId="46F6F97E">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服务标准</w:t>
      </w:r>
    </w:p>
    <w:p w14:paraId="4FCF33D2">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维修服务应达到：临修急修及时率100%；维修质量合格率99%人上；客户满意率95%以上；服</w:t>
      </w:r>
    </w:p>
    <w:p w14:paraId="0DFEF408">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务回访率100%，回访中发现维修质量问题，及时预约整改。</w:t>
      </w:r>
    </w:p>
    <w:p w14:paraId="517E7FFF">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设备定期巡检，确保正常运行。</w:t>
      </w:r>
    </w:p>
    <w:p w14:paraId="1C680D5D">
      <w:pPr>
        <w:spacing w:line="450" w:lineRule="exact"/>
        <w:ind w:firstLine="211" w:firstLineChars="100"/>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(四)防疫消毒服务内容、服务要求</w:t>
      </w:r>
    </w:p>
    <w:p w14:paraId="36AF5D15">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服务内容</w:t>
      </w:r>
    </w:p>
    <w:p w14:paraId="2E91CBFC">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每天放学后对校园大门、楼梯过道、学生教室等公共区域进行全面消毒。</w:t>
      </w:r>
    </w:p>
    <w:p w14:paraId="17C8F3E2">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在应急情况下，配合学校进行校园全面紧急消毒。</w:t>
      </w:r>
    </w:p>
    <w:p w14:paraId="269A0FF6">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在每次学校开展会议后，对会议室进行消毒。</w:t>
      </w:r>
    </w:p>
    <w:p w14:paraId="62EB4533">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服务要求</w:t>
      </w:r>
    </w:p>
    <w:p w14:paraId="2D810C9A">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消毒人员负责本项目每天按要求规范开展消毒消杀工作，确保消杀人员配制消毒液浓度准确、</w:t>
      </w:r>
    </w:p>
    <w:p w14:paraId="03B4EC0A">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消毒消杀操作规范和消毒记录规范并及时填写。</w:t>
      </w:r>
    </w:p>
    <w:p w14:paraId="6151A844">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监督人负责本项目的消毒消杀监督工作，监督人需及时签字确认，确保消毒消杀工作开展情况。</w:t>
      </w:r>
    </w:p>
    <w:p w14:paraId="3BB70CB3">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本项目消杀区域有楼道、卫生间、会议室、教室等公共区域。</w:t>
      </w:r>
    </w:p>
    <w:p w14:paraId="6CB7B11A">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防疫消毒所需要的物耗（喷雾机、酒精、防护服、口罩、手套等）均由中标方自行提供。</w:t>
      </w:r>
    </w:p>
    <w:p w14:paraId="4C34543F">
      <w:pPr>
        <w:spacing w:line="450" w:lineRule="exact"/>
        <w:ind w:firstLine="211" w:firstLineChars="100"/>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(五)校医服务内容、服务要求</w:t>
      </w:r>
    </w:p>
    <w:p w14:paraId="4A64E610">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日常医疗服务内容</w:t>
      </w:r>
    </w:p>
    <w:p w14:paraId="69C11AC1">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处理学生和教职工的常见病、轻微外伤（如感冒、发烧、擦伤等）。</w:t>
      </w:r>
    </w:p>
    <w:p w14:paraId="0F7C6B2B">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提供基础药物和急救处理。</w:t>
      </w:r>
    </w:p>
    <w:p w14:paraId="6139931C">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健康咨询，解答健康问题。</w:t>
      </w:r>
    </w:p>
    <w:p w14:paraId="5836E209">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提供简单的心理疏导，帮助学生缓解压力。</w:t>
      </w:r>
    </w:p>
    <w:p w14:paraId="65DAD774">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协助学校开展心理健康教育。</w:t>
      </w:r>
    </w:p>
    <w:p w14:paraId="05B5E645">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color w:val="000000" w:themeColor="text1"/>
          <w14:textFill>
            <w14:solidFill>
              <w14:schemeClr w14:val="tx1"/>
            </w14:solidFill>
          </w14:textFill>
        </w:rPr>
        <w:t>检查食品安全，预防食源性疾病。</w:t>
      </w:r>
    </w:p>
    <w:p w14:paraId="0E16ECF6">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r>
        <w:rPr>
          <w:rFonts w:hint="eastAsia"/>
          <w:color w:val="000000" w:themeColor="text1"/>
          <w14:textFill>
            <w14:solidFill>
              <w14:schemeClr w14:val="tx1"/>
            </w14:solidFill>
          </w14:textFill>
        </w:rPr>
        <w:t>建立并管理学生健康档案，记录信息。</w:t>
      </w:r>
    </w:p>
    <w:p w14:paraId="68BD110B">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服务要求</w:t>
      </w:r>
    </w:p>
    <w:p w14:paraId="0196CD0A">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校医需具备相关资质(如医师资格证、护士资格证等相关证书)。</w:t>
      </w:r>
    </w:p>
    <w:p w14:paraId="4F4C4862">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具备基础医疗知识和急救技能。</w:t>
      </w:r>
    </w:p>
    <w:p w14:paraId="3EDDC96B">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快速响应学生和教职工的健康需求，尤其是急救情况。</w:t>
      </w:r>
    </w:p>
    <w:p w14:paraId="30204C97">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对传染病等情况做到早发现、早报告、早隔离。</w:t>
      </w:r>
    </w:p>
    <w:p w14:paraId="39386EA9">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定期开展健康教育和疾病预防宣传，组织急救和传染病防控演练，提高应急能力。</w:t>
      </w:r>
    </w:p>
    <w:p w14:paraId="2B7F6300">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color w:val="000000" w:themeColor="text1"/>
          <w14:textFill>
            <w14:solidFill>
              <w14:schemeClr w14:val="tx1"/>
            </w14:solidFill>
          </w14:textFill>
        </w:rPr>
        <w:t>认真对待每一位患者，提供细致服务。</w:t>
      </w:r>
    </w:p>
    <w:p w14:paraId="1781D28B">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r>
        <w:rPr>
          <w:rFonts w:hint="eastAsia"/>
          <w:color w:val="000000" w:themeColor="text1"/>
          <w14:textFill>
            <w14:solidFill>
              <w14:schemeClr w14:val="tx1"/>
            </w14:solidFill>
          </w14:textFill>
        </w:rPr>
        <w:t>严格保护学生和教职工的健康信息，遵守隐私保护规定。</w:t>
      </w:r>
    </w:p>
    <w:p w14:paraId="6749247D">
      <w:pPr>
        <w:spacing w:line="450" w:lineRule="exact"/>
        <w:ind w:firstLine="211" w:firstLineChars="100"/>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(六)信息技术维护服务内容、服务要求</w:t>
      </w:r>
    </w:p>
    <w:p w14:paraId="14C6AC76">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服务内容</w:t>
      </w:r>
    </w:p>
    <w:p w14:paraId="648DC11A">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维护和管理学校的教学触控一体机、计算机、打印机、投影仪、网络设备等硬件设施。</w:t>
      </w:r>
    </w:p>
    <w:p w14:paraId="49DA7676">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定期检查硬件设备，及时维修或更换故障设备。</w:t>
      </w:r>
    </w:p>
    <w:p w14:paraId="1E811679">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维护校园网络，确保网络稳定运行。</w:t>
      </w:r>
    </w:p>
    <w:p w14:paraId="16536515">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配置和管理路由器、交换机、防火墙等网络设备。</w:t>
      </w:r>
    </w:p>
    <w:p w14:paraId="5AAB74C4">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监控网络流量，防止网络攻击和非法访问。</w:t>
      </w:r>
    </w:p>
    <w:p w14:paraId="3993D6F2">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color w:val="000000" w:themeColor="text1"/>
          <w14:textFill>
            <w14:solidFill>
              <w14:schemeClr w14:val="tx1"/>
            </w14:solidFill>
          </w14:textFill>
        </w:rPr>
        <w:t>安装、更新和维护操作系统、办公软件、教学软件等。</w:t>
      </w:r>
    </w:p>
    <w:p w14:paraId="775D2D3D">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r>
        <w:rPr>
          <w:rFonts w:hint="eastAsia"/>
          <w:color w:val="000000" w:themeColor="text1"/>
          <w14:textFill>
            <w14:solidFill>
              <w14:schemeClr w14:val="tx1"/>
            </w14:solidFill>
          </w14:textFill>
        </w:rPr>
        <w:t>解决师生在使用软件过程中遇到的问题。</w:t>
      </w:r>
    </w:p>
    <w:p w14:paraId="32D12421">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r>
        <w:rPr>
          <w:rFonts w:hint="eastAsia"/>
          <w:color w:val="000000" w:themeColor="text1"/>
          <w14:textFill>
            <w14:solidFill>
              <w14:schemeClr w14:val="tx1"/>
            </w14:solidFill>
          </w14:textFill>
        </w:rPr>
        <w:t>定期备份重要数据，确保数据安全。</w:t>
      </w:r>
    </w:p>
    <w:p w14:paraId="2B7B85DC">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r>
        <w:rPr>
          <w:rFonts w:hint="eastAsia"/>
          <w:color w:val="000000" w:themeColor="text1"/>
          <w14:textFill>
            <w14:solidFill>
              <w14:schemeClr w14:val="tx1"/>
            </w14:solidFill>
          </w14:textFill>
        </w:rPr>
        <w:t>管理用户账户和权限，确保信息安全。</w:t>
      </w:r>
    </w:p>
    <w:p w14:paraId="77277551">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r>
        <w:rPr>
          <w:rFonts w:hint="eastAsia"/>
          <w:color w:val="000000" w:themeColor="text1"/>
          <w14:textFill>
            <w14:solidFill>
              <w14:schemeClr w14:val="tx1"/>
            </w14:solidFill>
          </w14:textFill>
        </w:rPr>
        <w:t>组织技术培训，提高师生的信息技术应用能力。</w:t>
      </w:r>
    </w:p>
    <w:p w14:paraId="3F2B51D3">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r>
        <w:rPr>
          <w:rFonts w:hint="eastAsia"/>
          <w:color w:val="000000" w:themeColor="text1"/>
          <w14:textFill>
            <w14:solidFill>
              <w14:schemeClr w14:val="tx1"/>
            </w14:solidFill>
          </w14:textFill>
        </w:rPr>
        <w:t>确保多媒体设备在教学中的正常使用。</w:t>
      </w:r>
    </w:p>
    <w:p w14:paraId="0ABD1E05">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服务要求</w:t>
      </w:r>
    </w:p>
    <w:p w14:paraId="24AE55DC">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color w:val="000000" w:themeColor="text1"/>
          <w14:textFill>
            <w14:solidFill>
              <w14:schemeClr w14:val="tx1"/>
            </w14:solidFill>
          </w14:textFill>
        </w:rPr>
        <w:t>具备扎实的计算机和网络知识，熟悉常见硬件和软件的操作与维护。</w:t>
      </w:r>
    </w:p>
    <w:p w14:paraId="3380D83B">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持有相关技术认证（如网络工程师、系统管理员等）者优先。</w:t>
      </w:r>
    </w:p>
    <w:p w14:paraId="29D435E4">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快速响应师生的技术需求，及时解决硬件、软件和网络问题。</w:t>
      </w:r>
    </w:p>
    <w:p w14:paraId="5A2FF4C5">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对突发故障迅速处理，确保教学和办公不受影响。</w:t>
      </w:r>
    </w:p>
    <w:p w14:paraId="25A137C0">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认真对待每一项任务，确保设备正常运行。</w:t>
      </w:r>
    </w:p>
    <w:p w14:paraId="6FD41751">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r>
        <w:rPr>
          <w:rFonts w:hint="eastAsia"/>
          <w:color w:val="000000" w:themeColor="text1"/>
          <w14:textFill>
            <w14:solidFill>
              <w14:schemeClr w14:val="tx1"/>
            </w14:solidFill>
          </w14:textFill>
        </w:rPr>
        <w:t>定期检查设备，预防潜在问题。</w:t>
      </w:r>
    </w:p>
    <w:p w14:paraId="74252DC4">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r>
        <w:rPr>
          <w:rFonts w:hint="eastAsia"/>
          <w:color w:val="000000" w:themeColor="text1"/>
          <w14:textFill>
            <w14:solidFill>
              <w14:schemeClr w14:val="tx1"/>
            </w14:solidFill>
          </w14:textFill>
        </w:rPr>
        <w:t>严格遵守信息安全规定，保护学校数据和隐私。</w:t>
      </w:r>
    </w:p>
    <w:p w14:paraId="5F8FB770">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r>
        <w:rPr>
          <w:rFonts w:hint="eastAsia"/>
          <w:color w:val="000000" w:themeColor="text1"/>
          <w14:textFill>
            <w14:solidFill>
              <w14:schemeClr w14:val="tx1"/>
            </w14:solidFill>
          </w14:textFill>
        </w:rPr>
        <w:t>定期更新安全措施，防止网络攻击和数据泄露。</w:t>
      </w:r>
    </w:p>
    <w:p w14:paraId="30178697">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r>
        <w:rPr>
          <w:rFonts w:hint="eastAsia"/>
          <w:color w:val="000000" w:themeColor="text1"/>
          <w14:textFill>
            <w14:solidFill>
              <w14:schemeClr w14:val="tx1"/>
            </w14:solidFill>
          </w14:textFill>
        </w:rPr>
        <w:t>与师生保持良好的沟通，耐心解答技术问题。</w:t>
      </w:r>
    </w:p>
    <w:p w14:paraId="4190909D">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r>
        <w:rPr>
          <w:rFonts w:hint="eastAsia"/>
          <w:color w:val="000000" w:themeColor="text1"/>
          <w14:textFill>
            <w14:solidFill>
              <w14:schemeClr w14:val="tx1"/>
            </w14:solidFill>
          </w14:textFill>
        </w:rPr>
        <w:t>建立设备台账，记录设备的购买、使用和维修情况。</w:t>
      </w:r>
    </w:p>
    <w:p w14:paraId="04280813">
      <w:pPr>
        <w:spacing w:line="45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r>
        <w:rPr>
          <w:rFonts w:hint="eastAsia"/>
          <w:color w:val="000000" w:themeColor="text1"/>
          <w14:textFill>
            <w14:solidFill>
              <w14:schemeClr w14:val="tx1"/>
            </w14:solidFill>
          </w14:textFill>
        </w:rPr>
        <w:t>制定网络和设备故障的应急预案，确保快速恢复。</w:t>
      </w:r>
    </w:p>
    <w:p w14:paraId="5F3A791C">
      <w:pPr>
        <w:spacing w:line="450" w:lineRule="exact"/>
        <w:ind w:firstLine="211" w:firstLineChars="100"/>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(七)增值服务内容、服务要求</w:t>
      </w:r>
    </w:p>
    <w:p w14:paraId="7A5BE993">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校园科技课：能配合学校开展校园科技课，进行现场布置，道具摆放、桌椅排布等临时性工作。</w:t>
      </w:r>
    </w:p>
    <w:p w14:paraId="5018C08A">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学生劳动课：能配合学校开展学生义务劳动课，提供清洁技能、绿化养护的基本培训。劳动课产</w:t>
      </w:r>
    </w:p>
    <w:p w14:paraId="372A1DF9">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生的劳动工具，扫把、拖把、锄头、化肥等均由中标单位提供。</w:t>
      </w:r>
    </w:p>
    <w:p w14:paraId="752BA451">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重大节假日的突击工作：对于重大节假日及迎检前突击工作，中标单位需要临时派5-8人进行现</w:t>
      </w:r>
    </w:p>
    <w:p w14:paraId="5DA2A962">
      <w:p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场保洁、绿化的突击工作。该项工作需要供应商进行承诺。</w:t>
      </w:r>
    </w:p>
    <w:p w14:paraId="49249827">
      <w:pPr>
        <w:spacing w:line="450" w:lineRule="exact"/>
        <w:ind w:firstLine="420" w:firstLineChars="200"/>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增值服务费用已包含在总报价中，中标后不得以任何理由额外收取费用。</w:t>
      </w:r>
      <w:r>
        <w:rPr>
          <w:rFonts w:hint="eastAsia"/>
          <w:color w:val="000000" w:themeColor="text1"/>
          <w14:textFill>
            <w14:solidFill>
              <w14:schemeClr w14:val="tx1"/>
            </w14:solidFill>
          </w14:textFill>
        </w:rPr>
        <w:t>以上增值服务内容需要供应商提供增值服务承诺。</w:t>
      </w:r>
    </w:p>
    <w:p w14:paraId="3287302A">
      <w:pPr>
        <w:spacing w:line="450" w:lineRule="exact"/>
        <w:ind w:firstLine="211" w:firstLineChars="100"/>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lang w:eastAsia="zh-CN"/>
          <w14:textFill>
            <w14:solidFill>
              <w14:schemeClr w14:val="tx1"/>
            </w14:solidFill>
          </w14:textFill>
        </w:rPr>
        <w:t>三</w:t>
      </w:r>
      <w:r>
        <w:rPr>
          <w:rFonts w:hint="eastAsia" w:ascii="宋体" w:hAnsi="宋体" w:eastAsia="宋体" w:cs="宋体"/>
          <w:b/>
          <w:bCs/>
          <w:color w:val="000000" w:themeColor="text1"/>
          <w:szCs w:val="21"/>
          <w14:textFill>
            <w14:solidFill>
              <w14:schemeClr w14:val="tx1"/>
            </w14:solidFill>
          </w14:textFill>
        </w:rPr>
        <w:t>、物业服务人员配置及要求</w:t>
      </w:r>
    </w:p>
    <w:p w14:paraId="238DA199">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（1）主管</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人</w:t>
      </w:r>
      <w:r>
        <w:rPr>
          <w:rFonts w:hint="eastAsia"/>
          <w:color w:val="000000" w:themeColor="text1"/>
          <w14:textFill>
            <w14:solidFill>
              <w14:schemeClr w14:val="tx1"/>
            </w14:solidFill>
          </w14:textFill>
        </w:rPr>
        <w:t>：性别不限，</w:t>
      </w:r>
      <w:r>
        <w:rPr>
          <w:rFonts w:hint="eastAsia"/>
          <w:color w:val="000000" w:themeColor="text1"/>
          <w14:textFill>
            <w14:solidFill>
              <w14:schemeClr w14:val="tx1"/>
            </w14:solidFill>
          </w14:textFill>
        </w:rPr>
        <w:t>年龄24～</w:t>
      </w:r>
      <w:r>
        <w:rPr>
          <w:rFonts w:hint="eastAsia"/>
          <w:color w:val="000000" w:themeColor="text1"/>
          <w:lang w:val="en-US" w:eastAsia="zh-CN"/>
          <w14:textFill>
            <w14:solidFill>
              <w14:schemeClr w14:val="tx1"/>
            </w14:solidFill>
          </w14:textFill>
        </w:rPr>
        <w:t>55</w:t>
      </w:r>
      <w:r>
        <w:rPr>
          <w:rFonts w:hint="eastAsia"/>
          <w:color w:val="000000" w:themeColor="text1"/>
          <w14:textFill>
            <w14:solidFill>
              <w14:schemeClr w14:val="tx1"/>
            </w14:solidFill>
          </w14:textFill>
        </w:rPr>
        <w:t>岁</w:t>
      </w:r>
      <w:r>
        <w:rPr>
          <w:rFonts w:hint="eastAsia"/>
          <w:color w:val="000000" w:themeColor="text1"/>
          <w14:textFill>
            <w14:solidFill>
              <w14:schemeClr w14:val="tx1"/>
            </w14:solidFill>
          </w14:textFill>
        </w:rPr>
        <w:t>；五官端正、身体健康，具有较好的沟通表达能力；具有较好的服务意识，良好的团队管理能力、协调能力，熟练操作计算机办公软件；不得有违法犯罪记录、不良社会信用记录、不良执业记录，持有全国物业管理企业经理证书</w:t>
      </w:r>
      <w:r>
        <w:rPr>
          <w:rFonts w:hint="eastAsia"/>
          <w:color w:val="000000" w:themeColor="text1"/>
          <w:lang w:val="en-US" w:eastAsia="zh-CN"/>
          <w14:textFill>
            <w14:solidFill>
              <w14:schemeClr w14:val="tx1"/>
            </w14:solidFill>
          </w14:textFill>
        </w:rPr>
        <w:t>或全国物业项目经理证书或物业管理师证书</w:t>
      </w:r>
      <w:r>
        <w:rPr>
          <w:rFonts w:hint="eastAsia"/>
          <w:color w:val="000000" w:themeColor="text1"/>
          <w14:textFill>
            <w14:solidFill>
              <w14:schemeClr w14:val="tx1"/>
            </w14:solidFill>
          </w14:textFill>
        </w:rPr>
        <w:t>。（须在响应文件中提供相关证件。）</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（2）保洁员</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人</w:t>
      </w:r>
      <w:r>
        <w:rPr>
          <w:rFonts w:hint="eastAsia"/>
          <w:color w:val="000000" w:themeColor="text1"/>
          <w14:textFill>
            <w14:solidFill>
              <w14:schemeClr w14:val="tx1"/>
            </w14:solidFill>
          </w14:textFill>
        </w:rPr>
        <w:t>：具有2年以上相关岗位工作经验，年龄要求男性不得超过55岁、女性不超过50岁，具有服务意识，其中，至少一人持有消毒员证书。（须在响应文件中提供相关证件。）</w:t>
      </w:r>
    </w:p>
    <w:p w14:paraId="43A5C8DD">
      <w:pPr>
        <w:numPr>
          <w:ilvl w:val="0"/>
          <w:numId w:val="0"/>
        </w:numPr>
        <w:spacing w:line="450" w:lineRule="exact"/>
        <w:ind w:firstLine="210" w:firstLineChars="1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）电工1人：具有2年以上相关岗位工作经验，要求持有低压电工证或高压电工证。（须在响应文件中提供相关证件。）</w:t>
      </w:r>
      <w:r>
        <w:rPr>
          <w:rFonts w:hint="eastAsia"/>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（4）园林养护员1人：具有</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年以上相关岗位工作经验，年龄不得超过55岁。</w:t>
      </w:r>
    </w:p>
    <w:p w14:paraId="5DC84B26">
      <w:pPr>
        <w:numPr>
          <w:ilvl w:val="0"/>
          <w:numId w:val="0"/>
        </w:numPr>
        <w:spacing w:line="45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5）校医2人：具有2年以上相关岗位工作经验，持有有效的医生执业证书或执业药师证书或护士执业证书，供应商在响应文件中提供相关证件扫描件；或出具书面承诺，若中标，在合同签订前配齐符合要求的持证校医人员，上岗人员资质须经采购人核验通过，否则视为供应商违约，采购人有权取消中标资格，并追究相应违约责任。</w:t>
      </w:r>
    </w:p>
    <w:p w14:paraId="67F7DC79">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6）信息技术维护人员1人：须有相关岗位工作经验，须持有计算机相关专业毕业证或资格证书（包含软件设计或系统集成或信息技术服务等相关方向的证书），负责根据学校需求开展电脑维护工作，保障设备正常使用。（须在响应文件中提供相关证件）；</w:t>
      </w:r>
    </w:p>
    <w:p w14:paraId="79B71DF0">
      <w:pPr>
        <w:spacing w:line="450" w:lineRule="exact"/>
        <w:ind w:firstLine="420" w:firstLineChars="20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（7）所有驻场人员必须提供公安机关出具的无犯罪记录证明及有效健康证明，经采购人核验通过后方可上岗。服务期间人员如有变动，新进人员须同样提供上述证明。</w:t>
      </w:r>
    </w:p>
    <w:p w14:paraId="496CEBD8">
      <w:pPr>
        <w:spacing w:line="450" w:lineRule="exact"/>
        <w:ind w:firstLine="420" w:firstLineChars="200"/>
        <w:rPr>
          <w:rFonts w:hint="default" w:eastAsiaTheme="minor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（8）以上工作人员，如清洁工、校医、水电工、园林养护员等文件中所有工作人员因中途辞职的，物业公司必须在10个工作日内重新招聘工作人员来补充，以便及时开展相关工作。</w:t>
      </w:r>
    </w:p>
    <w:p w14:paraId="1D228C97">
      <w:pPr>
        <w:spacing w:line="450" w:lineRule="exact"/>
        <w:rPr>
          <w:b/>
          <w:color w:val="000000" w:themeColor="text1"/>
          <w14:textFill>
            <w14:solidFill>
              <w14:schemeClr w14:val="tx1"/>
            </w14:solidFill>
          </w14:textFill>
        </w:rPr>
      </w:pPr>
      <w:r>
        <w:rPr>
          <w:rFonts w:hint="eastAsia"/>
          <w:b/>
          <w:color w:val="000000" w:themeColor="text1"/>
          <w14:textFill>
            <w14:solidFill>
              <w14:schemeClr w14:val="tx1"/>
            </w14:solidFill>
          </w14:textFill>
        </w:rPr>
        <w:t>三、报价说明</w:t>
      </w:r>
    </w:p>
    <w:p w14:paraId="1AEE3194">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1、物业服务费包含供应商为完成各项物业服务需要所需聘请的工作人员的工资费用、社会保险费用、加班费、服装费、物业服务使用器材、工具及消耗物资费用、各项税费及管理费用等；</w:t>
      </w:r>
    </w:p>
    <w:p w14:paraId="0ACF3CFC">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2、为了避免不合理报价、降低服务质量，规定报价应遵循优质、合理的原则。</w:t>
      </w:r>
    </w:p>
    <w:p w14:paraId="46506FA3">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3、玉林市2025年最低工资标准为2040元，社会保险最低缴纳基数为4143元，单位缴纳最低为968.69元。</w:t>
      </w:r>
    </w:p>
    <w:p w14:paraId="0B0DB9A5">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4、报价要与报价说明表一致，报价与说明表不符时做废处理。</w:t>
      </w:r>
    </w:p>
    <w:p w14:paraId="6DAFBABA">
      <w:pPr>
        <w:spacing w:line="450" w:lineRule="exac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四、商务条款</w:t>
      </w:r>
    </w:p>
    <w:p w14:paraId="1050BD74">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▲1、合同签订期：自成交通知书发出之日起</w:t>
      </w:r>
      <w:r>
        <w:rPr>
          <w:rFonts w:hint="eastAsia"/>
          <w:bCs/>
          <w:color w:val="000000" w:themeColor="text1"/>
          <w:lang w:eastAsia="zh-CN"/>
          <w14:textFill>
            <w14:solidFill>
              <w14:schemeClr w14:val="tx1"/>
            </w14:solidFill>
          </w14:textFill>
        </w:rPr>
        <w:t>10个工作</w:t>
      </w:r>
      <w:r>
        <w:rPr>
          <w:rFonts w:hint="eastAsia"/>
          <w:bCs/>
          <w:color w:val="000000" w:themeColor="text1"/>
          <w14:textFill>
            <w14:solidFill>
              <w14:schemeClr w14:val="tx1"/>
            </w14:solidFill>
          </w14:textFill>
        </w:rPr>
        <w:t>日内。若因成交供应商自身原因未能在约定的时间内与采购人签订合同的，采购人将不再受理合同签订事宜，成交供应商自行承担由此产生的后果。</w:t>
      </w:r>
    </w:p>
    <w:p w14:paraId="1E30756D">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▲2、服务期限：12个月</w:t>
      </w:r>
    </w:p>
    <w:p w14:paraId="66D7C5F7">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▲3、服务地点：古定中心小学两个校区（总校和天湖校区）</w:t>
      </w:r>
    </w:p>
    <w:p w14:paraId="7876BBCE">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▲4、服务要求：</w:t>
      </w:r>
    </w:p>
    <w:p w14:paraId="4185E57E">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（1）成交供应商应严格遵守国家有关保密法律法规，不得泄露与本项目有关的秘密，不得将其用于履行本项目之外的其他用途，造成泄密的，将依法追究有关人员的法律责任。</w:t>
      </w:r>
    </w:p>
    <w:p w14:paraId="50C8E1A2">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w:t>
      </w:r>
      <w:r>
        <w:rPr>
          <w:rFonts w:hint="eastAsia"/>
          <w:bCs/>
          <w:color w:val="000000" w:themeColor="text1"/>
          <w:lang w:eastAsia="zh-CN"/>
          <w14:textFill>
            <w14:solidFill>
              <w14:schemeClr w14:val="tx1"/>
            </w14:solidFill>
          </w14:textFill>
        </w:rPr>
        <w:t>2</w:t>
      </w:r>
      <w:r>
        <w:rPr>
          <w:rFonts w:hint="eastAsia"/>
          <w:color w:val="000000" w:themeColor="text1"/>
          <w14:textFill>
            <w14:solidFill>
              <w14:schemeClr w14:val="tx1"/>
            </w14:solidFill>
          </w14:textFill>
        </w:rPr>
        <w:t>）成交供应商应严格保护学校数据安全，不得将学校学生信息、教职工信息、教学数据、管理数据等带离校园或用于任何其他用途。服务期满后，成交供应商应将全部工作资料、数据文档移交采购人，并签署数据清除确认书。</w:t>
      </w:r>
    </w:p>
    <w:p w14:paraId="38814455">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（3）</w:t>
      </w:r>
      <w:r>
        <w:rPr>
          <w:rFonts w:hint="eastAsia"/>
          <w:color w:val="000000" w:themeColor="text1"/>
          <w:sz w:val="21"/>
          <w:szCs w:val="21"/>
          <w14:textFill>
            <w14:solidFill>
              <w14:schemeClr w14:val="tx1"/>
            </w14:solidFill>
          </w14:textFill>
        </w:rPr>
        <w:t>服务及验收标准：按国家有关服务行业规定执行，如标注有“▲号”的服务内容则在竞标时必须满足；</w:t>
      </w:r>
    </w:p>
    <w:p w14:paraId="1C64C477">
      <w:pPr>
        <w:spacing w:line="450" w:lineRule="exact"/>
        <w:ind w:firstLine="420" w:firstLineChars="20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成交供应商需承诺严格遵守国家有关保密的法律法规，绝对保密任何有关采购人的资料和信息。未经采购人同意，成交供应商不得将采购人的任何资料数据泄露给第三方，否则成交供应商承担由此造成的责任，并赔偿相应的损失。</w:t>
      </w:r>
    </w:p>
    <w:p w14:paraId="62A6819B">
      <w:pPr>
        <w:spacing w:line="450" w:lineRule="exact"/>
        <w:ind w:firstLine="420" w:firstLineChars="20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（5）成交供应商在进行日常维护工作中，必须遵守相关安全法律法规，并确保安全，由于成交供应商原因造成的安全事件，成交供应商承担全部责任。</w:t>
      </w:r>
    </w:p>
    <w:p w14:paraId="1E89B31B">
      <w:pPr>
        <w:spacing w:line="450" w:lineRule="exact"/>
        <w:ind w:firstLine="420" w:firstLineChars="20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（6）服务期间形成的与学校管理相关的工作文档、数据报表、维护记录等资料的知识产权归采购人所有，成交供应商不得将其用于本项目之外的其他用途。</w:t>
      </w:r>
    </w:p>
    <w:p w14:paraId="1E5B03D0">
      <w:pPr>
        <w:spacing w:line="450" w:lineRule="exact"/>
        <w:ind w:firstLine="420" w:firstLineChars="200"/>
        <w:rPr>
          <w:bCs/>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（7）因不可抗力（包括但不限于自然灾害、战争、疫情防控、政府行为等）导致合同无法履行或部分无法履行的，双方互不承担违约责任，但应及时通知对方并采取合理措施减少损失扩大。</w:t>
      </w:r>
    </w:p>
    <w:p w14:paraId="3D1FCE9C">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▲5、售后服务：按国家有关规定执行“三包”并按学校要求派驻工作人员服务。</w:t>
      </w:r>
    </w:p>
    <w:p w14:paraId="189A9476">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▲6、付款方式：按学校实际使用的数量据实进行结算付款。</w:t>
      </w:r>
    </w:p>
    <w:p w14:paraId="332EEF3E">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7、供应商自觉接受我单位的监督和检查，如发现不按规定和标准执行的，我单位有权视情况扣除物业服务相关费用，供应商对此无异议。</w:t>
      </w:r>
    </w:p>
    <w:p w14:paraId="0DC134EF">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8、供应商委派驻场的工作人员必须按时到岗，全勤在岗，工作时佩戴工作牌。</w:t>
      </w:r>
    </w:p>
    <w:p w14:paraId="115A6179">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9、请参与在线询价的供应商看清相关文件要求后再进行报价，如出现故意、恶意竞标者，我单位将上报相关部门并追究相应责任。</w:t>
      </w:r>
    </w:p>
    <w:p w14:paraId="2EE23D2B">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10、供应商在进行报价响应时必须上传响应文件，响应文件中的报价必须与政采云系统报价一致，否则报价无效。</w:t>
      </w:r>
    </w:p>
    <w:p w14:paraId="5B151E62">
      <w:pPr>
        <w:spacing w:line="450" w:lineRule="exact"/>
        <w:rPr>
          <w:b/>
          <w:color w:val="000000" w:themeColor="text1"/>
          <w14:textFill>
            <w14:solidFill>
              <w14:schemeClr w14:val="tx1"/>
            </w14:solidFill>
          </w14:textFill>
        </w:rPr>
      </w:pPr>
      <w:r>
        <w:rPr>
          <w:rFonts w:hint="eastAsia"/>
          <w:b/>
          <w:color w:val="000000" w:themeColor="text1"/>
          <w14:textFill>
            <w14:solidFill>
              <w14:schemeClr w14:val="tx1"/>
            </w14:solidFill>
          </w14:textFill>
        </w:rPr>
        <w:t>五、供应商在政采云系统内报价的同时须上传响应文件，包含但不限于以下内容：</w:t>
      </w:r>
    </w:p>
    <w:p w14:paraId="6691EE6E">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1.供应商有效的营业执照复印件。</w:t>
      </w:r>
    </w:p>
    <w:p w14:paraId="082D3A16">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2.供应商2025年的年度财务状况复印件</w:t>
      </w:r>
      <w:r>
        <w:rPr>
          <w:rFonts w:hint="eastAsia" w:ascii="宋体" w:hAnsi="宋体"/>
          <w:color w:val="000000" w:themeColor="text1"/>
          <w:szCs w:val="21"/>
          <w14:textFill>
            <w14:solidFill>
              <w14:schemeClr w14:val="tx1"/>
            </w14:solidFill>
          </w14:textFill>
        </w:rPr>
        <w:t>[可以是本公司出具的财务报表或银行出具的资信证明或第三方审计报告等证明材料；（供应商属于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得超过一年）</w:t>
      </w:r>
      <w:r>
        <w:rPr>
          <w:rFonts w:hint="eastAsia" w:ascii="宋体" w:hAnsi="宋体"/>
          <w:color w:val="000000" w:themeColor="text1"/>
          <w:szCs w:val="21"/>
          <w:lang w:eastAsia="zh-CN"/>
          <w14:textFill>
            <w14:solidFill>
              <w14:schemeClr w14:val="tx1"/>
            </w14:solidFill>
          </w14:textFill>
        </w:rPr>
        <w:t>。</w:t>
      </w:r>
    </w:p>
    <w:p w14:paraId="674880F7">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响应文件递交截止之日前半年内供应商连续3个月的依法缴纳税费或依法免缴税费的证明复印件；无纳税记录的，应提供由供应商所在地主管税务部门出具的《依法纳税或依法免税证明》复印件。新成立单位据实提供。</w:t>
      </w:r>
    </w:p>
    <w:p w14:paraId="380C7FC8">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4.响应文件递交截止之日前半年内供应商连续3个月的依法缴纳社保费的缴费凭证复印件；无缴费记录的，应提供由供应商所在地社保部门出具的《依法缴纳或依法免缴社保费证明》复印件。新成立单位据实提供。</w:t>
      </w:r>
    </w:p>
    <w:p w14:paraId="49BA33FE">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rFonts w:hint="eastAsia" w:ascii="宋体" w:hAnsi="宋体"/>
          <w:color w:val="000000" w:themeColor="text1"/>
          <w:szCs w:val="22"/>
          <w14:textFill>
            <w14:solidFill>
              <w14:schemeClr w14:val="tx1"/>
            </w14:solidFill>
          </w14:textFill>
        </w:rPr>
        <w:t>供应商应按照</w:t>
      </w:r>
      <w:bookmarkStart w:id="0" w:name="_Hlk183422037"/>
      <w:r>
        <w:rPr>
          <w:rFonts w:hint="eastAsia" w:ascii="宋体" w:hAnsi="宋体"/>
          <w:color w:val="000000" w:themeColor="text1"/>
          <w:szCs w:val="22"/>
          <w14:textFill>
            <w14:solidFill>
              <w14:schemeClr w14:val="tx1"/>
            </w14:solidFill>
          </w14:textFill>
        </w:rPr>
        <w:t>服务采购需求、商务条款</w:t>
      </w:r>
      <w:bookmarkEnd w:id="0"/>
      <w:r>
        <w:rPr>
          <w:rFonts w:hint="eastAsia" w:ascii="宋体" w:hAnsi="宋体"/>
          <w:color w:val="000000" w:themeColor="text1"/>
          <w:szCs w:val="22"/>
          <w14:textFill>
            <w14:solidFill>
              <w14:schemeClr w14:val="tx1"/>
            </w14:solidFill>
          </w14:textFill>
        </w:rPr>
        <w:t>逐条作出明确响应，并作出偏离说明(格式自拟)</w:t>
      </w:r>
      <w:r>
        <w:rPr>
          <w:rFonts w:hint="eastAsia"/>
          <w:b/>
          <w:bCs/>
          <w:color w:val="000000" w:themeColor="text1"/>
          <w14:textFill>
            <w14:solidFill>
              <w14:schemeClr w14:val="tx1"/>
            </w14:solidFill>
          </w14:textFill>
        </w:rPr>
        <w:t>，标▲的要求负偏离报价无效</w:t>
      </w:r>
      <w:r>
        <w:rPr>
          <w:rFonts w:hint="eastAsia"/>
          <w:color w:val="000000" w:themeColor="text1"/>
          <w14:textFill>
            <w14:solidFill>
              <w14:schemeClr w14:val="tx1"/>
            </w14:solidFill>
          </w14:textFill>
        </w:rPr>
        <w:t>。</w:t>
      </w:r>
    </w:p>
    <w:p w14:paraId="38A59156">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6.报价表</w:t>
      </w:r>
      <w:r>
        <w:rPr>
          <w:rFonts w:hint="eastAsia"/>
          <w:b/>
          <w:bCs/>
          <w:color w:val="000000" w:themeColor="text1"/>
          <w14:textFill>
            <w14:solidFill>
              <w14:schemeClr w14:val="tx1"/>
            </w14:solidFill>
          </w14:textFill>
        </w:rPr>
        <w:t>（格式见附件一），超出预算金额报价无效</w:t>
      </w:r>
      <w:r>
        <w:rPr>
          <w:rFonts w:hint="eastAsia"/>
          <w:color w:val="000000" w:themeColor="text1"/>
          <w14:textFill>
            <w14:solidFill>
              <w14:schemeClr w14:val="tx1"/>
            </w14:solidFill>
          </w14:textFill>
        </w:rPr>
        <w:t>。另附明细表，需明确单价、总价及各项费用构成（如人员工资、社保、工具费等，必须提供，构成模糊视为无效）。</w:t>
      </w:r>
    </w:p>
    <w:p w14:paraId="0FCDB03B">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7.参加政府采购活动前3年内在经营活动中没有重大违法记录和不良信用记录的书面声明（格式自拟）以及信用中国网站查询投标人相关主体信用记录、中国政府采购网政府采购严重违法失信行为记录名单查询结果截图。</w:t>
      </w:r>
    </w:p>
    <w:p w14:paraId="36423BD3">
      <w:pPr>
        <w:spacing w:line="45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8.</w:t>
      </w:r>
      <w:r>
        <w:rPr>
          <w:rFonts w:hint="eastAsia"/>
          <w:color w:val="000000" w:themeColor="text1"/>
          <w:sz w:val="21"/>
          <w:szCs w:val="21"/>
          <w14:textFill>
            <w14:solidFill>
              <w14:schemeClr w14:val="tx1"/>
            </w14:solidFill>
          </w14:textFill>
        </w:rPr>
        <w:t>供应商为中小企业的，应提供《中小企业声明函》（格式按照《政府采购促进中小企业发展管理办法》规定），本项目适宜由中小企业提供。</w:t>
      </w:r>
    </w:p>
    <w:p w14:paraId="1108558E">
      <w:pPr>
        <w:spacing w:line="450" w:lineRule="exact"/>
        <w:rPr>
          <w:b/>
          <w:color w:val="000000" w:themeColor="text1"/>
          <w14:textFill>
            <w14:solidFill>
              <w14:schemeClr w14:val="tx1"/>
            </w14:solidFill>
          </w14:textFill>
        </w:rPr>
      </w:pPr>
      <w:r>
        <w:rPr>
          <w:rFonts w:hint="eastAsia"/>
          <w:b/>
          <w:color w:val="000000" w:themeColor="text1"/>
          <w14:textFill>
            <w14:solidFill>
              <w14:schemeClr w14:val="tx1"/>
            </w14:solidFill>
          </w14:textFill>
        </w:rPr>
        <w:t>六、成交规则</w:t>
      </w:r>
    </w:p>
    <w:p w14:paraId="419AFDFB">
      <w:pPr>
        <w:spacing w:line="450" w:lineRule="exact"/>
        <w:ind w:firstLine="420" w:firstLineChars="200"/>
        <w:rPr>
          <w:rFonts w:hint="eastAsia"/>
          <w:color w:val="000000" w:themeColor="text1"/>
          <w:sz w:val="21"/>
          <w:szCs w:val="21"/>
          <w14:textFill>
            <w14:solidFill>
              <w14:schemeClr w14:val="tx1"/>
            </w14:solidFill>
          </w14:textFill>
        </w:rPr>
      </w:pPr>
      <w:r>
        <w:rPr>
          <w:rFonts w:hint="eastAsia"/>
          <w:bCs/>
          <w:color w:val="000000" w:themeColor="text1"/>
          <w14:textFill>
            <w14:solidFill>
              <w14:schemeClr w14:val="tx1"/>
            </w14:solidFill>
          </w14:textFill>
        </w:rPr>
        <w:t>（一</w:t>
      </w:r>
      <w:r>
        <w:rPr>
          <w:rFonts w:hint="eastAsia"/>
          <w:bCs/>
          <w:color w:val="000000" w:themeColor="text1"/>
          <w:lang w:eastAsia="zh-CN"/>
          <w14:textFill>
            <w14:solidFill>
              <w14:schemeClr w14:val="tx1"/>
            </w14:solidFill>
          </w14:textFill>
        </w:rPr>
        <w:t>）</w:t>
      </w:r>
      <w:r>
        <w:rPr>
          <w:rFonts w:hint="eastAsia"/>
          <w:color w:val="000000" w:themeColor="text1"/>
          <w:sz w:val="21"/>
          <w:szCs w:val="21"/>
          <w14:textFill>
            <w14:solidFill>
              <w14:schemeClr w14:val="tx1"/>
            </w14:solidFill>
          </w14:textFill>
        </w:rPr>
        <w:t>本项目通过广西政府采购云平台电子卖场在线询价系统进行，供应商须在平台注册并入驻电子卖场。</w:t>
      </w:r>
    </w:p>
    <w:p w14:paraId="7133AAF7">
      <w:pPr>
        <w:spacing w:line="450" w:lineRule="exact"/>
        <w:ind w:firstLine="420" w:firstLineChars="20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（二）在质量和服务均能满足采购需求且实质性响应要求的供应商中，按照报价最低者为成交供应商。</w:t>
      </w:r>
    </w:p>
    <w:p w14:paraId="28706B49">
      <w:pPr>
        <w:spacing w:line="450" w:lineRule="exact"/>
        <w:ind w:firstLine="420" w:firstLineChars="200"/>
        <w:rPr>
          <w:bCs/>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（三）本次报价如果第一候选人放弃后，以第二候选人入选递补，以此类推。</w:t>
      </w:r>
    </w:p>
    <w:p w14:paraId="76B5BA0B">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w:t>
      </w:r>
      <w:r>
        <w:rPr>
          <w:rFonts w:hint="eastAsia"/>
          <w:bCs/>
          <w:color w:val="000000" w:themeColor="text1"/>
          <w:lang w:eastAsia="zh-CN"/>
          <w14:textFill>
            <w14:solidFill>
              <w14:schemeClr w14:val="tx1"/>
            </w14:solidFill>
          </w14:textFill>
        </w:rPr>
        <w:t>四</w:t>
      </w:r>
      <w:r>
        <w:rPr>
          <w:rFonts w:hint="eastAsia"/>
          <w:bCs/>
          <w:color w:val="000000" w:themeColor="text1"/>
          <w14:textFill>
            <w14:solidFill>
              <w14:schemeClr w14:val="tx1"/>
            </w14:solidFill>
          </w14:textFill>
        </w:rPr>
        <w:t>）如只在系统内报价，不提供响应文件或响应文件内容不全的，我单位以无效投标处理。</w:t>
      </w:r>
    </w:p>
    <w:p w14:paraId="2545DE9C">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w:t>
      </w:r>
      <w:r>
        <w:rPr>
          <w:rFonts w:hint="eastAsia"/>
          <w:bCs/>
          <w:color w:val="000000" w:themeColor="text1"/>
          <w:lang w:eastAsia="zh-CN"/>
          <w14:textFill>
            <w14:solidFill>
              <w14:schemeClr w14:val="tx1"/>
            </w14:solidFill>
          </w14:textFill>
        </w:rPr>
        <w:t>五</w:t>
      </w:r>
      <w:r>
        <w:rPr>
          <w:rFonts w:hint="eastAsia"/>
          <w:bCs/>
          <w:color w:val="000000" w:themeColor="text1"/>
          <w14:textFill>
            <w14:solidFill>
              <w14:schemeClr w14:val="tx1"/>
            </w14:solidFill>
          </w14:textFill>
        </w:rPr>
        <w:t>）供应商上传的响应文件必须加盖单位公章，以PDF格式进行上传，内容必须清晰可见，否则竞标无效。供应商参与在线询价时，应在响应文件中提交完全符合询价资格条件的证书复印件，供应商没有按照本项目询价公告要求提供全部资料，或者供应商没有对上述采购需求的所有内容作出实质性响应的，其竞标无效。预成交信息发布后，中标商应提交材料原件备查。</w:t>
      </w:r>
    </w:p>
    <w:p w14:paraId="4E50BCE2">
      <w:pPr>
        <w:spacing w:line="450" w:lineRule="exact"/>
        <w:rPr>
          <w:bCs/>
          <w:color w:val="000000" w:themeColor="text1"/>
          <w14:textFill>
            <w14:solidFill>
              <w14:schemeClr w14:val="tx1"/>
            </w14:solidFill>
          </w14:textFill>
        </w:rPr>
      </w:pPr>
      <w:r>
        <w:rPr>
          <w:rFonts w:hint="eastAsia"/>
          <w:b/>
          <w:color w:val="000000" w:themeColor="text1"/>
          <w14:textFill>
            <w14:solidFill>
              <w14:schemeClr w14:val="tx1"/>
            </w14:solidFill>
          </w14:textFill>
        </w:rPr>
        <w:t>七、其他要求</w:t>
      </w:r>
    </w:p>
    <w:p w14:paraId="4E356035">
      <w:pPr>
        <w:spacing w:line="450" w:lineRule="exact"/>
        <w:rPr>
          <w:bCs/>
          <w:color w:val="000000" w:themeColor="text1"/>
          <w14:textFill>
            <w14:solidFill>
              <w14:schemeClr w14:val="tx1"/>
            </w14:solidFill>
          </w14:textFill>
        </w:rPr>
      </w:pPr>
      <w:r>
        <w:rPr>
          <w:rFonts w:hint="eastAsia"/>
          <w:bCs/>
          <w:color w:val="000000" w:themeColor="text1"/>
          <w14:textFill>
            <w14:solidFill>
              <w14:schemeClr w14:val="tx1"/>
            </w14:solidFill>
          </w14:textFill>
        </w:rPr>
        <w:t>中标服务方试用期为三个月，如果有下列行为之一的，采购人可终止合同：</w:t>
      </w:r>
    </w:p>
    <w:p w14:paraId="05127045">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（1）出现重大责任事故的；</w:t>
      </w:r>
    </w:p>
    <w:p w14:paraId="5A5222A8">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（2）岗位人员不按工作要求或与岗位年龄不符的，人数超过2人的并在3日内不整改的；</w:t>
      </w:r>
    </w:p>
    <w:p w14:paraId="341160A0">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（3）拒绝接受监督、检查的；</w:t>
      </w:r>
    </w:p>
    <w:p w14:paraId="7A6E6FF6">
      <w:pPr>
        <w:spacing w:line="450" w:lineRule="exact"/>
        <w:ind w:firstLine="42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（4</w:t>
      </w:r>
      <w:r>
        <w:rPr>
          <w:rFonts w:hint="eastAsia"/>
          <w:bCs/>
          <w:color w:val="000000" w:themeColor="text1"/>
          <w:lang w:eastAsia="zh-CN"/>
          <w14:textFill>
            <w14:solidFill>
              <w14:schemeClr w14:val="tx1"/>
            </w14:solidFill>
          </w14:textFill>
        </w:rPr>
        <w:t>）</w:t>
      </w:r>
      <w:r>
        <w:rPr>
          <w:rFonts w:hint="eastAsia"/>
          <w:color w:val="000000" w:themeColor="text1"/>
          <w:sz w:val="21"/>
          <w:szCs w:val="21"/>
          <w14:textFill>
            <w14:solidFill>
              <w14:schemeClr w14:val="tx1"/>
            </w14:solidFill>
          </w14:textFill>
        </w:rPr>
        <w:t>收到采购人书面整改通知后，未在约定整改期限内完成整改，累计超过3次的。</w:t>
      </w:r>
    </w:p>
    <w:p w14:paraId="6DDE24AF">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0FD3A9D5">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24F1E6B8">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5D7617C8">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7B86402D">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7C4DEC8A">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170E1600">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33648D37">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4922BD1A">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2CEACBB8">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77ACDF19">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35150832">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3D906A12">
      <w:pPr>
        <w:widowControl/>
        <w:tabs>
          <w:tab w:val="left" w:pos="2800"/>
        </w:tabs>
        <w:jc w:val="left"/>
        <w:rPr>
          <w:rFonts w:ascii="楷体" w:hAnsi="楷体" w:eastAsia="楷体" w:cs="楷体"/>
          <w:color w:val="000000" w:themeColor="text1"/>
          <w:sz w:val="28"/>
          <w:szCs w:val="28"/>
          <w14:textFill>
            <w14:solidFill>
              <w14:schemeClr w14:val="tx1"/>
            </w14:solidFill>
          </w14:textFill>
        </w:rPr>
      </w:pPr>
    </w:p>
    <w:p w14:paraId="5E1DC1F2">
      <w:pPr>
        <w:widowControl/>
        <w:tabs>
          <w:tab w:val="left" w:pos="2800"/>
        </w:tabs>
        <w:jc w:val="left"/>
        <w:rPr>
          <w:rFonts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附件一：</w:t>
      </w:r>
    </w:p>
    <w:p w14:paraId="25FFCC98">
      <w:pPr>
        <w:tabs>
          <w:tab w:val="left" w:pos="3479"/>
        </w:tabs>
        <w:spacing w:line="520" w:lineRule="exact"/>
        <w:jc w:val="center"/>
        <w:rPr>
          <w:rFonts w:ascii="宋体" w:hAnsi="宋体" w:cs="方正小标宋简体"/>
          <w:color w:val="000000" w:themeColor="text1"/>
          <w:sz w:val="32"/>
          <w:szCs w:val="32"/>
          <w14:textFill>
            <w14:solidFill>
              <w14:schemeClr w14:val="tx1"/>
            </w14:solidFill>
          </w14:textFill>
        </w:rPr>
      </w:pPr>
      <w:r>
        <w:rPr>
          <w:rFonts w:hint="eastAsia" w:ascii="宋体" w:hAnsi="宋体" w:cs="方正小标宋简体"/>
          <w:color w:val="000000" w:themeColor="text1"/>
          <w:sz w:val="44"/>
          <w:szCs w:val="44"/>
          <w14:textFill>
            <w14:solidFill>
              <w14:schemeClr w14:val="tx1"/>
            </w14:solidFill>
          </w14:textFill>
        </w:rPr>
        <w:t xml:space="preserve"> 报  价  表</w:t>
      </w:r>
    </w:p>
    <w:p w14:paraId="6DC95DB0">
      <w:pPr>
        <w:spacing w:line="520" w:lineRule="exact"/>
        <w:jc w:val="center"/>
        <w:rPr>
          <w:rFonts w:ascii="宋体" w:hAnsi="宋体" w:cs="方正小标宋简体"/>
          <w:color w:val="000000" w:themeColor="text1"/>
          <w:sz w:val="32"/>
          <w:szCs w:val="32"/>
          <w14:textFill>
            <w14:solidFill>
              <w14:schemeClr w14:val="tx1"/>
            </w14:solidFill>
          </w14:textFill>
        </w:rPr>
      </w:pPr>
    </w:p>
    <w:p w14:paraId="6F2110CB">
      <w:pPr>
        <w:snapToGrid w:val="0"/>
        <w:spacing w:before="50" w:after="50" w:line="360" w:lineRule="auto"/>
        <w:rPr>
          <w:rFonts w:ascii="宋体" w:hAnsi="宋体" w:cs="仿宋_GB2312"/>
          <w:color w:val="000000" w:themeColor="text1"/>
          <w:sz w:val="24"/>
          <w:szCs w:val="22"/>
          <w14:textFill>
            <w14:solidFill>
              <w14:schemeClr w14:val="tx1"/>
            </w14:solidFill>
          </w14:textFill>
        </w:rPr>
      </w:pPr>
      <w:bookmarkStart w:id="1" w:name="_Hlk48036220"/>
      <w:r>
        <w:rPr>
          <w:rFonts w:hint="eastAsia" w:ascii="宋体" w:hAnsi="宋体" w:cs="仿宋_GB2312"/>
          <w:color w:val="000000" w:themeColor="text1"/>
          <w:sz w:val="24"/>
          <w:szCs w:val="22"/>
          <w14:textFill>
            <w14:solidFill>
              <w14:schemeClr w14:val="tx1"/>
            </w14:solidFill>
          </w14:textFill>
        </w:rPr>
        <w:t>项目名称：</w:t>
      </w:r>
      <w:r>
        <w:rPr>
          <w:rFonts w:hint="eastAsia" w:ascii="宋体" w:hAnsi="宋体" w:cs="仿宋_GB2312"/>
          <w:color w:val="000000" w:themeColor="text1"/>
          <w:sz w:val="24"/>
          <w:szCs w:val="22"/>
          <w:u w:val="single"/>
          <w14:textFill>
            <w14:solidFill>
              <w14:schemeClr w14:val="tx1"/>
            </w14:solidFill>
          </w14:textFill>
        </w:rPr>
        <w:t xml:space="preserve">                </w:t>
      </w:r>
      <w:r>
        <w:rPr>
          <w:rFonts w:hint="eastAsia" w:ascii="宋体" w:hAnsi="宋体" w:cs="仿宋_GB2312"/>
          <w:color w:val="000000" w:themeColor="text1"/>
          <w:sz w:val="24"/>
          <w:szCs w:val="22"/>
          <w14:textFill>
            <w14:solidFill>
              <w14:schemeClr w14:val="tx1"/>
            </w14:solidFill>
          </w14:textFill>
        </w:rPr>
        <w:t>项目编号：</w:t>
      </w:r>
      <w:r>
        <w:rPr>
          <w:rFonts w:hint="eastAsia" w:ascii="宋体" w:hAnsi="宋体" w:cs="仿宋_GB2312"/>
          <w:color w:val="000000" w:themeColor="text1"/>
          <w:sz w:val="24"/>
          <w:szCs w:val="22"/>
          <w:u w:val="single"/>
          <w14:textFill>
            <w14:solidFill>
              <w14:schemeClr w14:val="tx1"/>
            </w14:solidFill>
          </w14:textFill>
        </w:rPr>
        <w:t xml:space="preserve">               </w:t>
      </w:r>
      <w:r>
        <w:rPr>
          <w:rFonts w:hint="eastAsia" w:ascii="宋体" w:hAnsi="宋体" w:cs="仿宋_GB2312"/>
          <w:color w:val="000000" w:themeColor="text1"/>
          <w:sz w:val="24"/>
          <w:szCs w:val="22"/>
          <w14:textFill>
            <w14:solidFill>
              <w14:schemeClr w14:val="tx1"/>
            </w14:solidFill>
          </w14:textFill>
        </w:rPr>
        <w:t xml:space="preserve"> </w:t>
      </w:r>
    </w:p>
    <w:p w14:paraId="75B471CA">
      <w:pPr>
        <w:snapToGrid w:val="0"/>
        <w:spacing w:before="50" w:after="50" w:line="360" w:lineRule="auto"/>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供应商名称：</w:t>
      </w:r>
      <w:r>
        <w:rPr>
          <w:rFonts w:hint="eastAsia" w:ascii="宋体" w:hAnsi="宋体" w:cs="仿宋_GB2312"/>
          <w:color w:val="000000" w:themeColor="text1"/>
          <w:sz w:val="24"/>
          <w:szCs w:val="22"/>
          <w:u w:val="single"/>
          <w14:textFill>
            <w14:solidFill>
              <w14:schemeClr w14:val="tx1"/>
            </w14:solidFill>
          </w14:textFill>
        </w:rPr>
        <w:t xml:space="preserve">              </w:t>
      </w:r>
      <w:r>
        <w:rPr>
          <w:rFonts w:hint="eastAsia" w:ascii="宋体" w:hAnsi="宋体" w:cs="仿宋_GB2312"/>
          <w:color w:val="000000" w:themeColor="text1"/>
          <w:sz w:val="24"/>
          <w:szCs w:val="22"/>
          <w14:textFill>
            <w14:solidFill>
              <w14:schemeClr w14:val="tx1"/>
            </w14:solidFill>
          </w14:textFill>
        </w:rPr>
        <w:t xml:space="preserve">                       </w:t>
      </w:r>
    </w:p>
    <w:p w14:paraId="1ED08EFA">
      <w:pPr>
        <w:snapToGrid w:val="0"/>
        <w:spacing w:before="50" w:after="50" w:line="360" w:lineRule="auto"/>
        <w:ind w:firstLine="7080" w:firstLineChars="2950"/>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单位：元</w:t>
      </w:r>
    </w:p>
    <w:tbl>
      <w:tblPr>
        <w:tblStyle w:val="3"/>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14:paraId="654B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7982F957">
            <w:pPr>
              <w:spacing w:line="360" w:lineRule="auto"/>
              <w:jc w:val="center"/>
              <w:rPr>
                <w:rFonts w:ascii="宋体" w:hAnsi="宋体" w:cs="仿宋_GB2312"/>
                <w:color w:val="000000" w:themeColor="text1"/>
                <w:sz w:val="24"/>
                <w:szCs w:val="22"/>
                <w14:textFill>
                  <w14:solidFill>
                    <w14:schemeClr w14:val="tx1"/>
                  </w14:solidFill>
                </w14:textFill>
              </w:rPr>
            </w:pPr>
            <w:r>
              <w:rPr>
                <w:rFonts w:ascii="宋体" w:hAnsi="宋体" w:cs="仿宋_GB2312"/>
                <w:color w:val="000000" w:themeColor="text1"/>
                <w:sz w:val="24"/>
                <w:szCs w:val="22"/>
                <w14:textFill>
                  <w14:solidFill>
                    <w14:schemeClr w14:val="tx1"/>
                  </w14:solidFill>
                </w14:textFill>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2D26671E">
            <w:pPr>
              <w:spacing w:line="360" w:lineRule="auto"/>
              <w:jc w:val="center"/>
              <w:rPr>
                <w:rFonts w:ascii="宋体" w:hAnsi="宋体" w:cs="仿宋_GB2312"/>
                <w:color w:val="000000" w:themeColor="text1"/>
                <w:sz w:val="24"/>
                <w:szCs w:val="22"/>
                <w14:textFill>
                  <w14:solidFill>
                    <w14:schemeClr w14:val="tx1"/>
                  </w14:solidFill>
                </w14:textFill>
              </w:rPr>
            </w:pPr>
            <w:r>
              <w:rPr>
                <w:rFonts w:hint="eastAsia" w:ascii="宋体" w:hAnsi="宋体"/>
                <w:bCs/>
                <w:color w:val="000000" w:themeColor="text1"/>
                <w:sz w:val="24"/>
                <w:szCs w:val="22"/>
                <w14:textFill>
                  <w14:solidFill>
                    <w14:schemeClr w14:val="tx1"/>
                  </w14:solidFill>
                </w14:textFill>
              </w:rPr>
              <w:t>项目名称</w:t>
            </w:r>
          </w:p>
        </w:tc>
        <w:tc>
          <w:tcPr>
            <w:tcW w:w="617" w:type="dxa"/>
            <w:tcBorders>
              <w:top w:val="single" w:color="auto" w:sz="4" w:space="0"/>
              <w:left w:val="single" w:color="auto" w:sz="4" w:space="0"/>
              <w:bottom w:val="single" w:color="auto" w:sz="4" w:space="0"/>
              <w:right w:val="single" w:color="auto" w:sz="4" w:space="0"/>
            </w:tcBorders>
            <w:vAlign w:val="center"/>
          </w:tcPr>
          <w:p w14:paraId="6EA3EC52">
            <w:pPr>
              <w:spacing w:line="360" w:lineRule="auto"/>
              <w:jc w:val="center"/>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数量</w:t>
            </w:r>
          </w:p>
        </w:tc>
        <w:tc>
          <w:tcPr>
            <w:tcW w:w="617" w:type="dxa"/>
            <w:tcBorders>
              <w:top w:val="single" w:color="auto" w:sz="4" w:space="0"/>
              <w:left w:val="single" w:color="auto" w:sz="4" w:space="0"/>
              <w:bottom w:val="single" w:color="auto" w:sz="4" w:space="0"/>
              <w:right w:val="single" w:color="auto" w:sz="4" w:space="0"/>
            </w:tcBorders>
            <w:vAlign w:val="center"/>
          </w:tcPr>
          <w:p w14:paraId="744954DE">
            <w:pPr>
              <w:spacing w:line="360" w:lineRule="auto"/>
              <w:jc w:val="center"/>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单位</w:t>
            </w:r>
          </w:p>
        </w:tc>
        <w:tc>
          <w:tcPr>
            <w:tcW w:w="2194" w:type="dxa"/>
            <w:tcBorders>
              <w:top w:val="single" w:color="auto" w:sz="4" w:space="0"/>
              <w:left w:val="single" w:color="auto" w:sz="4" w:space="0"/>
              <w:bottom w:val="single" w:color="auto" w:sz="4" w:space="0"/>
              <w:right w:val="single" w:color="auto" w:sz="4" w:space="0"/>
            </w:tcBorders>
            <w:vAlign w:val="center"/>
          </w:tcPr>
          <w:p w14:paraId="3851A80D">
            <w:pPr>
              <w:spacing w:line="360" w:lineRule="auto"/>
              <w:jc w:val="center"/>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单价</w:t>
            </w:r>
          </w:p>
        </w:tc>
        <w:tc>
          <w:tcPr>
            <w:tcW w:w="1184" w:type="dxa"/>
            <w:tcBorders>
              <w:top w:val="single" w:color="auto" w:sz="4" w:space="0"/>
              <w:left w:val="single" w:color="auto" w:sz="4" w:space="0"/>
              <w:bottom w:val="single" w:color="auto" w:sz="4" w:space="0"/>
              <w:right w:val="single" w:color="auto" w:sz="4" w:space="0"/>
            </w:tcBorders>
            <w:vAlign w:val="center"/>
          </w:tcPr>
          <w:p w14:paraId="7A35E7D9">
            <w:pPr>
              <w:spacing w:line="360" w:lineRule="auto"/>
              <w:jc w:val="center"/>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总价</w:t>
            </w:r>
          </w:p>
        </w:tc>
        <w:tc>
          <w:tcPr>
            <w:tcW w:w="1184" w:type="dxa"/>
            <w:tcBorders>
              <w:top w:val="single" w:color="auto" w:sz="4" w:space="0"/>
              <w:left w:val="single" w:color="auto" w:sz="4" w:space="0"/>
              <w:bottom w:val="single" w:color="auto" w:sz="4" w:space="0"/>
              <w:right w:val="single" w:color="auto" w:sz="4" w:space="0"/>
            </w:tcBorders>
            <w:vAlign w:val="center"/>
          </w:tcPr>
          <w:p w14:paraId="082714A2">
            <w:pPr>
              <w:spacing w:line="360" w:lineRule="auto"/>
              <w:jc w:val="center"/>
              <w:rPr>
                <w:rFonts w:ascii="宋体" w:hAnsi="宋体" w:cs="仿宋_GB2312"/>
                <w:color w:val="000000" w:themeColor="text1"/>
                <w:sz w:val="24"/>
                <w:szCs w:val="22"/>
                <w14:textFill>
                  <w14:solidFill>
                    <w14:schemeClr w14:val="tx1"/>
                  </w14:solidFill>
                </w14:textFill>
              </w:rPr>
            </w:pPr>
            <w:r>
              <w:rPr>
                <w:rFonts w:ascii="宋体" w:hAnsi="宋体" w:cs="仿宋_GB2312"/>
                <w:color w:val="000000" w:themeColor="text1"/>
                <w:sz w:val="24"/>
                <w:szCs w:val="22"/>
                <w14:textFill>
                  <w14:solidFill>
                    <w14:schemeClr w14:val="tx1"/>
                  </w14:solidFill>
                </w14:textFill>
              </w:rPr>
              <w:t>备注</w:t>
            </w:r>
          </w:p>
        </w:tc>
      </w:tr>
      <w:tr w14:paraId="36A2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19290A1">
            <w:pPr>
              <w:spacing w:line="360" w:lineRule="auto"/>
              <w:jc w:val="center"/>
              <w:rPr>
                <w:rFonts w:ascii="宋体" w:hAnsi="宋体" w:cs="仿宋_GB2312"/>
                <w:color w:val="000000" w:themeColor="text1"/>
                <w:sz w:val="24"/>
                <w:szCs w:val="22"/>
                <w14:textFill>
                  <w14:solidFill>
                    <w14:schemeClr w14:val="tx1"/>
                  </w14:solidFill>
                </w14:textFill>
              </w:rPr>
            </w:pPr>
            <w:r>
              <w:rPr>
                <w:rFonts w:ascii="宋体" w:hAnsi="宋体" w:cs="仿宋_GB2312"/>
                <w:color w:val="000000" w:themeColor="text1"/>
                <w:sz w:val="24"/>
                <w:szCs w:val="22"/>
                <w14:textFill>
                  <w14:solidFill>
                    <w14:schemeClr w14:val="tx1"/>
                  </w14:solidFill>
                </w14:textFill>
              </w:rPr>
              <w:t>1</w:t>
            </w:r>
          </w:p>
        </w:tc>
        <w:tc>
          <w:tcPr>
            <w:tcW w:w="2712" w:type="dxa"/>
            <w:tcBorders>
              <w:top w:val="single" w:color="auto" w:sz="4" w:space="0"/>
              <w:left w:val="single" w:color="auto" w:sz="4" w:space="0"/>
              <w:bottom w:val="single" w:color="auto" w:sz="4" w:space="0"/>
              <w:right w:val="single" w:color="auto" w:sz="4" w:space="0"/>
            </w:tcBorders>
            <w:vAlign w:val="center"/>
          </w:tcPr>
          <w:p w14:paraId="3391880F">
            <w:pPr>
              <w:spacing w:line="360" w:lineRule="auto"/>
              <w:jc w:val="center"/>
              <w:rPr>
                <w:rFonts w:ascii="宋体" w:hAnsi="宋体" w:cs="仿宋_GB2312"/>
                <w:color w:val="000000" w:themeColor="text1"/>
                <w:sz w:val="24"/>
                <w:szCs w:val="22"/>
                <w14:textFill>
                  <w14:solidFill>
                    <w14:schemeClr w14:val="tx1"/>
                  </w14:solidFill>
                </w14:textFill>
              </w:rPr>
            </w:pPr>
          </w:p>
        </w:tc>
        <w:tc>
          <w:tcPr>
            <w:tcW w:w="617" w:type="dxa"/>
            <w:tcBorders>
              <w:top w:val="single" w:color="auto" w:sz="4" w:space="0"/>
              <w:left w:val="single" w:color="auto" w:sz="4" w:space="0"/>
              <w:bottom w:val="single" w:color="auto" w:sz="4" w:space="0"/>
              <w:right w:val="single" w:color="auto" w:sz="4" w:space="0"/>
            </w:tcBorders>
            <w:vAlign w:val="center"/>
          </w:tcPr>
          <w:p w14:paraId="364ACD30">
            <w:pPr>
              <w:spacing w:line="360" w:lineRule="auto"/>
              <w:jc w:val="center"/>
              <w:rPr>
                <w:rFonts w:ascii="宋体" w:hAnsi="宋体" w:cs="仿宋_GB2312"/>
                <w:color w:val="000000" w:themeColor="text1"/>
                <w:sz w:val="24"/>
                <w:szCs w:val="22"/>
                <w14:textFill>
                  <w14:solidFill>
                    <w14:schemeClr w14:val="tx1"/>
                  </w14:solidFill>
                </w14:textFill>
              </w:rPr>
            </w:pPr>
          </w:p>
        </w:tc>
        <w:tc>
          <w:tcPr>
            <w:tcW w:w="617" w:type="dxa"/>
            <w:tcBorders>
              <w:top w:val="single" w:color="auto" w:sz="4" w:space="0"/>
              <w:left w:val="single" w:color="auto" w:sz="4" w:space="0"/>
              <w:bottom w:val="single" w:color="auto" w:sz="4" w:space="0"/>
              <w:right w:val="single" w:color="auto" w:sz="4" w:space="0"/>
            </w:tcBorders>
          </w:tcPr>
          <w:p w14:paraId="768DE5C2">
            <w:pPr>
              <w:spacing w:line="360" w:lineRule="auto"/>
              <w:rPr>
                <w:rFonts w:ascii="宋体" w:hAnsi="宋体" w:cs="仿宋_GB2312"/>
                <w:color w:val="000000" w:themeColor="text1"/>
                <w:sz w:val="24"/>
                <w:szCs w:val="22"/>
                <w14:textFill>
                  <w14:solidFill>
                    <w14:schemeClr w14:val="tx1"/>
                  </w14:solidFill>
                </w14:textFill>
              </w:rPr>
            </w:pPr>
          </w:p>
        </w:tc>
        <w:tc>
          <w:tcPr>
            <w:tcW w:w="2194" w:type="dxa"/>
            <w:tcBorders>
              <w:top w:val="single" w:color="auto" w:sz="4" w:space="0"/>
              <w:left w:val="single" w:color="auto" w:sz="4" w:space="0"/>
              <w:bottom w:val="single" w:color="auto" w:sz="4" w:space="0"/>
              <w:right w:val="single" w:color="auto" w:sz="4" w:space="0"/>
            </w:tcBorders>
          </w:tcPr>
          <w:p w14:paraId="69F15155">
            <w:pPr>
              <w:spacing w:line="360" w:lineRule="auto"/>
              <w:rPr>
                <w:rFonts w:ascii="宋体" w:hAnsi="宋体" w:cs="仿宋_GB2312"/>
                <w:color w:val="000000" w:themeColor="text1"/>
                <w:sz w:val="24"/>
                <w:szCs w:val="22"/>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tcPr>
          <w:p w14:paraId="5D2EE0F8">
            <w:pPr>
              <w:spacing w:line="360" w:lineRule="auto"/>
              <w:rPr>
                <w:rFonts w:ascii="宋体" w:hAnsi="宋体" w:cs="仿宋_GB2312"/>
                <w:color w:val="000000" w:themeColor="text1"/>
                <w:sz w:val="24"/>
                <w:szCs w:val="22"/>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14:paraId="2FBAB292">
            <w:pPr>
              <w:spacing w:line="360" w:lineRule="auto"/>
              <w:rPr>
                <w:rFonts w:ascii="宋体" w:hAnsi="宋体" w:cs="仿宋_GB2312"/>
                <w:color w:val="000000" w:themeColor="text1"/>
                <w:sz w:val="24"/>
                <w:szCs w:val="22"/>
                <w14:textFill>
                  <w14:solidFill>
                    <w14:schemeClr w14:val="tx1"/>
                  </w14:solidFill>
                </w14:textFill>
              </w:rPr>
            </w:pPr>
          </w:p>
        </w:tc>
      </w:tr>
      <w:tr w14:paraId="2167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65809567">
            <w:pPr>
              <w:spacing w:line="360" w:lineRule="auto"/>
              <w:jc w:val="center"/>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w:t>
            </w:r>
          </w:p>
        </w:tc>
        <w:tc>
          <w:tcPr>
            <w:tcW w:w="2712" w:type="dxa"/>
            <w:tcBorders>
              <w:top w:val="single" w:color="auto" w:sz="4" w:space="0"/>
              <w:left w:val="single" w:color="auto" w:sz="4" w:space="0"/>
              <w:bottom w:val="single" w:color="auto" w:sz="4" w:space="0"/>
              <w:right w:val="single" w:color="auto" w:sz="4" w:space="0"/>
            </w:tcBorders>
            <w:vAlign w:val="center"/>
          </w:tcPr>
          <w:p w14:paraId="7C4096A2">
            <w:pPr>
              <w:spacing w:line="360" w:lineRule="auto"/>
              <w:jc w:val="center"/>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w:t>
            </w:r>
          </w:p>
        </w:tc>
        <w:tc>
          <w:tcPr>
            <w:tcW w:w="617" w:type="dxa"/>
            <w:tcBorders>
              <w:top w:val="single" w:color="auto" w:sz="4" w:space="0"/>
              <w:left w:val="single" w:color="auto" w:sz="4" w:space="0"/>
              <w:bottom w:val="single" w:color="auto" w:sz="4" w:space="0"/>
              <w:right w:val="single" w:color="auto" w:sz="4" w:space="0"/>
            </w:tcBorders>
            <w:vAlign w:val="center"/>
          </w:tcPr>
          <w:p w14:paraId="4FADC9B3">
            <w:pPr>
              <w:spacing w:line="360" w:lineRule="auto"/>
              <w:jc w:val="center"/>
              <w:rPr>
                <w:rFonts w:ascii="宋体" w:hAnsi="宋体" w:cs="仿宋_GB2312"/>
                <w:color w:val="000000" w:themeColor="text1"/>
                <w:sz w:val="24"/>
                <w:szCs w:val="22"/>
                <w14:textFill>
                  <w14:solidFill>
                    <w14:schemeClr w14:val="tx1"/>
                  </w14:solidFill>
                </w14:textFill>
              </w:rPr>
            </w:pPr>
          </w:p>
        </w:tc>
        <w:tc>
          <w:tcPr>
            <w:tcW w:w="617" w:type="dxa"/>
            <w:tcBorders>
              <w:top w:val="single" w:color="auto" w:sz="4" w:space="0"/>
              <w:left w:val="single" w:color="auto" w:sz="4" w:space="0"/>
              <w:bottom w:val="single" w:color="auto" w:sz="4" w:space="0"/>
              <w:right w:val="single" w:color="auto" w:sz="4" w:space="0"/>
            </w:tcBorders>
          </w:tcPr>
          <w:p w14:paraId="0F9BD651">
            <w:pPr>
              <w:spacing w:line="360" w:lineRule="auto"/>
              <w:rPr>
                <w:rFonts w:ascii="宋体" w:hAnsi="宋体" w:cs="仿宋_GB2312"/>
                <w:color w:val="000000" w:themeColor="text1"/>
                <w:sz w:val="24"/>
                <w:szCs w:val="22"/>
                <w14:textFill>
                  <w14:solidFill>
                    <w14:schemeClr w14:val="tx1"/>
                  </w14:solidFill>
                </w14:textFill>
              </w:rPr>
            </w:pPr>
          </w:p>
        </w:tc>
        <w:tc>
          <w:tcPr>
            <w:tcW w:w="2194" w:type="dxa"/>
            <w:tcBorders>
              <w:top w:val="single" w:color="auto" w:sz="4" w:space="0"/>
              <w:left w:val="single" w:color="auto" w:sz="4" w:space="0"/>
              <w:bottom w:val="single" w:color="auto" w:sz="4" w:space="0"/>
              <w:right w:val="single" w:color="auto" w:sz="4" w:space="0"/>
            </w:tcBorders>
          </w:tcPr>
          <w:p w14:paraId="0516F00A">
            <w:pPr>
              <w:spacing w:line="360" w:lineRule="auto"/>
              <w:rPr>
                <w:rFonts w:ascii="宋体" w:hAnsi="宋体" w:cs="仿宋_GB2312"/>
                <w:color w:val="000000" w:themeColor="text1"/>
                <w:sz w:val="24"/>
                <w:szCs w:val="22"/>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tcPr>
          <w:p w14:paraId="31D27348">
            <w:pPr>
              <w:spacing w:line="360" w:lineRule="auto"/>
              <w:rPr>
                <w:rFonts w:ascii="宋体" w:hAnsi="宋体" w:cs="仿宋_GB2312"/>
                <w:color w:val="000000" w:themeColor="text1"/>
                <w:sz w:val="24"/>
                <w:szCs w:val="22"/>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14:paraId="46A748F0">
            <w:pPr>
              <w:spacing w:line="360" w:lineRule="auto"/>
              <w:rPr>
                <w:rFonts w:ascii="宋体" w:hAnsi="宋体" w:cs="仿宋_GB2312"/>
                <w:color w:val="000000" w:themeColor="text1"/>
                <w:sz w:val="24"/>
                <w:szCs w:val="22"/>
                <w14:textFill>
                  <w14:solidFill>
                    <w14:schemeClr w14:val="tx1"/>
                  </w14:solidFill>
                </w14:textFill>
              </w:rPr>
            </w:pPr>
          </w:p>
        </w:tc>
      </w:tr>
      <w:tr w14:paraId="69C5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14:paraId="217B4CEF">
            <w:pPr>
              <w:snapToGrid w:val="0"/>
              <w:spacing w:before="50" w:after="50" w:line="360" w:lineRule="auto"/>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合计金额大写：人民币</w:t>
            </w:r>
            <w:r>
              <w:rPr>
                <w:rFonts w:hint="eastAsia" w:ascii="宋体" w:hAnsi="宋体" w:cs="仿宋_GB2312"/>
                <w:color w:val="000000" w:themeColor="text1"/>
                <w:sz w:val="24"/>
                <w:szCs w:val="22"/>
                <w:u w:val="single"/>
                <w14:textFill>
                  <w14:solidFill>
                    <w14:schemeClr w14:val="tx1"/>
                  </w14:solidFill>
                </w14:textFill>
              </w:rPr>
              <w:t xml:space="preserve">           </w:t>
            </w:r>
            <w:r>
              <w:rPr>
                <w:rFonts w:hint="eastAsia" w:ascii="宋体" w:hAnsi="宋体" w:cs="仿宋_GB2312"/>
                <w:color w:val="000000" w:themeColor="text1"/>
                <w:sz w:val="24"/>
                <w:szCs w:val="22"/>
                <w14:textFill>
                  <w14:solidFill>
                    <w14:schemeClr w14:val="tx1"/>
                  </w14:solidFill>
                </w14:textFill>
              </w:rPr>
              <w:t>（￥</w:t>
            </w:r>
            <w:r>
              <w:rPr>
                <w:rFonts w:hint="eastAsia" w:ascii="宋体" w:hAnsi="宋体" w:cs="仿宋_GB2312"/>
                <w:color w:val="000000" w:themeColor="text1"/>
                <w:sz w:val="24"/>
                <w:szCs w:val="22"/>
                <w:u w:val="single"/>
                <w14:textFill>
                  <w14:solidFill>
                    <w14:schemeClr w14:val="tx1"/>
                  </w14:solidFill>
                </w14:textFill>
              </w:rPr>
              <w:t xml:space="preserve">           </w:t>
            </w:r>
            <w:r>
              <w:rPr>
                <w:rFonts w:hint="eastAsia" w:ascii="宋体" w:hAnsi="宋体" w:cs="仿宋_GB2312"/>
                <w:color w:val="000000" w:themeColor="text1"/>
                <w:sz w:val="24"/>
                <w:szCs w:val="22"/>
                <w14:textFill>
                  <w14:solidFill>
                    <w14:schemeClr w14:val="tx1"/>
                  </w14:solidFill>
                </w14:textFill>
              </w:rPr>
              <w:t>）</w:t>
            </w:r>
          </w:p>
        </w:tc>
      </w:tr>
      <w:tr w14:paraId="2AB1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14:paraId="0AF07BB3">
            <w:pPr>
              <w:snapToGrid w:val="0"/>
              <w:spacing w:before="50" w:after="50" w:line="360" w:lineRule="auto"/>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服务期限：</w:t>
            </w:r>
          </w:p>
          <w:p w14:paraId="65BF125B">
            <w:pPr>
              <w:snapToGrid w:val="0"/>
              <w:spacing w:before="50" w:after="50" w:line="360" w:lineRule="auto"/>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服务地点：</w:t>
            </w:r>
          </w:p>
        </w:tc>
      </w:tr>
    </w:tbl>
    <w:p w14:paraId="3AD5AA0D">
      <w:pPr>
        <w:spacing w:line="360" w:lineRule="auto"/>
        <w:contextualSpacing/>
        <w:jc w:val="left"/>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 xml:space="preserve">注: </w:t>
      </w:r>
    </w:p>
    <w:p w14:paraId="5D1A961D">
      <w:pPr>
        <w:spacing w:line="360" w:lineRule="auto"/>
        <w:ind w:firstLine="480" w:firstLineChars="200"/>
        <w:contextualSpacing/>
        <w:jc w:val="left"/>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1.供应商的报价表必须加盖供应商公章</w:t>
      </w:r>
      <w:r>
        <w:rPr>
          <w:rFonts w:hint="eastAsia" w:ascii="宋体" w:hAnsi="宋体" w:cs="仿宋_GB2312"/>
          <w:b/>
          <w:color w:val="000000" w:themeColor="text1"/>
          <w:sz w:val="24"/>
          <w:szCs w:val="22"/>
          <w14:textFill>
            <w14:solidFill>
              <w14:schemeClr w14:val="tx1"/>
            </w14:solidFill>
          </w14:textFill>
        </w:rPr>
        <w:t>否则其响应文件按无效响应处理</w:t>
      </w:r>
      <w:r>
        <w:rPr>
          <w:rFonts w:hint="eastAsia" w:ascii="宋体" w:hAnsi="宋体" w:cs="仿宋_GB2312"/>
          <w:color w:val="000000" w:themeColor="text1"/>
          <w:sz w:val="24"/>
          <w:szCs w:val="22"/>
          <w14:textFill>
            <w14:solidFill>
              <w14:schemeClr w14:val="tx1"/>
            </w14:solidFill>
          </w14:textFill>
        </w:rPr>
        <w:t>。</w:t>
      </w:r>
    </w:p>
    <w:p w14:paraId="3BBD95DE">
      <w:pPr>
        <w:spacing w:line="360" w:lineRule="auto"/>
        <w:ind w:firstLine="480" w:firstLineChars="200"/>
        <w:contextualSpacing/>
        <w:jc w:val="left"/>
        <w:rPr>
          <w:rFonts w:ascii="宋体" w:hAnsi="宋体" w:cs="仿宋_GB2312"/>
          <w:b/>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2.报价一经涂改，应在涂改处加盖供应商公章，</w:t>
      </w:r>
      <w:r>
        <w:rPr>
          <w:rFonts w:hint="eastAsia" w:ascii="宋体" w:hAnsi="宋体" w:cs="仿宋_GB2312"/>
          <w:b/>
          <w:color w:val="000000" w:themeColor="text1"/>
          <w:sz w:val="24"/>
          <w:szCs w:val="22"/>
          <w14:textFill>
            <w14:solidFill>
              <w14:schemeClr w14:val="tx1"/>
            </w14:solidFill>
          </w14:textFill>
        </w:rPr>
        <w:t>否则其响应文件按无效响应处理。</w:t>
      </w:r>
    </w:p>
    <w:p w14:paraId="2A0D7910">
      <w:pPr>
        <w:spacing w:line="360" w:lineRule="auto"/>
        <w:ind w:firstLine="480" w:firstLineChars="200"/>
        <w:contextualSpacing/>
        <w:jc w:val="left"/>
        <w:rPr>
          <w:rFonts w:hint="eastAsia"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3.报价应保留两位小数，</w:t>
      </w:r>
      <w:r>
        <w:rPr>
          <w:rFonts w:hint="eastAsia" w:ascii="宋体" w:hAnsi="宋体" w:cs="仿宋_GB2312"/>
          <w:b/>
          <w:color w:val="000000" w:themeColor="text1"/>
          <w:sz w:val="24"/>
          <w:szCs w:val="22"/>
          <w14:textFill>
            <w14:solidFill>
              <w14:schemeClr w14:val="tx1"/>
            </w14:solidFill>
          </w14:textFill>
        </w:rPr>
        <w:t>否则其响应文件按无效响应处理</w:t>
      </w:r>
      <w:r>
        <w:rPr>
          <w:rFonts w:hint="eastAsia" w:ascii="宋体" w:hAnsi="宋体" w:cs="仿宋_GB2312"/>
          <w:color w:val="000000" w:themeColor="text1"/>
          <w:sz w:val="24"/>
          <w:szCs w:val="22"/>
          <w14:textFill>
            <w14:solidFill>
              <w14:schemeClr w14:val="tx1"/>
            </w14:solidFill>
          </w14:textFill>
        </w:rPr>
        <w:t>。</w:t>
      </w:r>
    </w:p>
    <w:p w14:paraId="6432B4C6">
      <w:pPr>
        <w:spacing w:line="360" w:lineRule="auto"/>
        <w:ind w:firstLine="480" w:firstLineChars="200"/>
        <w:contextualSpacing/>
        <w:jc w:val="left"/>
        <w:rPr>
          <w:rFonts w:hint="eastAsia" w:ascii="宋体" w:hAnsi="宋体" w:cs="仿宋_GB2312"/>
          <w:color w:val="000000" w:themeColor="text1"/>
          <w:sz w:val="24"/>
          <w:szCs w:val="22"/>
          <w:lang w:eastAsia="zh-CN"/>
          <w14:textFill>
            <w14:solidFill>
              <w14:schemeClr w14:val="tx1"/>
            </w14:solidFill>
          </w14:textFill>
        </w:rPr>
      </w:pPr>
      <w:r>
        <w:rPr>
          <w:rFonts w:hint="eastAsia" w:ascii="宋体" w:hAnsi="宋体" w:cs="仿宋_GB2312"/>
          <w:color w:val="000000" w:themeColor="text1"/>
          <w:sz w:val="24"/>
          <w:szCs w:val="22"/>
          <w:lang w:eastAsia="zh-CN"/>
          <w14:textFill>
            <w14:solidFill>
              <w14:schemeClr w14:val="tx1"/>
            </w14:solidFill>
          </w14:textFill>
        </w:rPr>
        <w:t>4.</w:t>
      </w:r>
      <w:r>
        <w:rPr>
          <w:rFonts w:hint="eastAsia"/>
          <w:color w:val="000000" w:themeColor="text1"/>
          <w:sz w:val="24"/>
          <w:szCs w:val="24"/>
          <w14:textFill>
            <w14:solidFill>
              <w14:schemeClr w14:val="tx1"/>
            </w14:solidFill>
          </w14:textFill>
        </w:rPr>
        <w:t>供应商须随报价表提供《物业服务成本明细表》（格式自拟），须至少包含以下内容：人员工资明细（按岗位列明）、社会保险费用、加班费、服装费、工具及消耗物资费用、管理费、税金及其他费用等，构成模糊或未提供者视为无效响应。</w:t>
      </w:r>
    </w:p>
    <w:p w14:paraId="690B2A0A">
      <w:pPr>
        <w:spacing w:line="360" w:lineRule="auto"/>
        <w:ind w:right="-817" w:rightChars="-389" w:firstLine="2640" w:firstLineChars="1100"/>
        <w:contextualSpacing/>
        <w:rPr>
          <w:rFonts w:ascii="宋体" w:hAnsi="宋体" w:cs="仿宋_GB2312"/>
          <w:color w:val="000000" w:themeColor="text1"/>
          <w:sz w:val="24"/>
          <w:szCs w:val="22"/>
          <w14:textFill>
            <w14:solidFill>
              <w14:schemeClr w14:val="tx1"/>
            </w14:solidFill>
          </w14:textFill>
        </w:rPr>
      </w:pPr>
    </w:p>
    <w:p w14:paraId="1143B214">
      <w:pPr>
        <w:spacing w:line="360" w:lineRule="auto"/>
        <w:ind w:right="-817" w:rightChars="-389" w:firstLine="264" w:firstLineChars="110"/>
        <w:contextualSpacing/>
        <w:rPr>
          <w:rFonts w:ascii="宋体" w:hAnsi="宋体" w:cs="仿宋_GB2312"/>
          <w:color w:val="000000" w:themeColor="text1"/>
          <w:sz w:val="24"/>
          <w:szCs w:val="22"/>
          <w14:textFill>
            <w14:solidFill>
              <w14:schemeClr w14:val="tx1"/>
            </w14:solidFill>
          </w14:textFill>
        </w:rPr>
      </w:pPr>
    </w:p>
    <w:p w14:paraId="7E2A2DA3">
      <w:pPr>
        <w:spacing w:line="360" w:lineRule="auto"/>
        <w:ind w:right="-817" w:rightChars="-389" w:firstLine="2640" w:firstLineChars="1100"/>
        <w:contextualSpacing/>
        <w:rPr>
          <w:rFonts w:ascii="宋体" w:hAnsi="宋体" w:cs="仿宋_GB2312"/>
          <w:color w:val="000000" w:themeColor="text1"/>
          <w:sz w:val="24"/>
          <w:szCs w:val="22"/>
          <w14:textFill>
            <w14:solidFill>
              <w14:schemeClr w14:val="tx1"/>
            </w14:solidFill>
          </w14:textFill>
        </w:rPr>
      </w:pPr>
    </w:p>
    <w:p w14:paraId="1C170C40">
      <w:pPr>
        <w:spacing w:line="360" w:lineRule="auto"/>
        <w:ind w:right="-817" w:rightChars="-389" w:firstLine="3960" w:firstLineChars="1650"/>
        <w:contextualSpacing/>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 xml:space="preserve">                    </w:t>
      </w:r>
    </w:p>
    <w:p w14:paraId="07035353">
      <w:pPr>
        <w:spacing w:line="360" w:lineRule="auto"/>
        <w:ind w:right="-817" w:rightChars="-389" w:firstLine="4080" w:firstLineChars="1700"/>
        <w:contextualSpacing/>
        <w:rPr>
          <w:rFonts w:ascii="宋体" w:hAnsi="宋体" w:cs="仿宋_GB2312"/>
          <w:color w:val="000000" w:themeColor="text1"/>
          <w:sz w:val="24"/>
          <w:szCs w:val="2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 xml:space="preserve">供应商（电子签章或盖章）：      </w:t>
      </w:r>
    </w:p>
    <w:p w14:paraId="249BBDD8">
      <w:pPr>
        <w:spacing w:line="360" w:lineRule="auto"/>
        <w:ind w:right="-817" w:rightChars="-389" w:firstLine="4080" w:firstLineChars="1700"/>
        <w:contextualSpacing/>
        <w:rPr>
          <w:rFonts w:ascii="宋体" w:hAnsi="宋体" w:cs="仿宋_GB2312"/>
          <w:b/>
          <w:color w:val="000000" w:themeColor="text1"/>
          <w:sz w:val="32"/>
          <w:szCs w:val="32"/>
          <w14:textFill>
            <w14:solidFill>
              <w14:schemeClr w14:val="tx1"/>
            </w14:solidFill>
          </w14:textFill>
        </w:rPr>
      </w:pPr>
      <w:r>
        <w:rPr>
          <w:rFonts w:hint="eastAsia" w:ascii="宋体" w:hAnsi="宋体" w:cs="仿宋_GB2312"/>
          <w:color w:val="000000" w:themeColor="text1"/>
          <w:sz w:val="24"/>
          <w:szCs w:val="22"/>
          <w14:textFill>
            <w14:solidFill>
              <w14:schemeClr w14:val="tx1"/>
            </w14:solidFill>
          </w14:textFill>
        </w:rPr>
        <w:t xml:space="preserve">日期：   </w:t>
      </w:r>
      <w:r>
        <w:rPr>
          <w:rFonts w:hint="eastAsia" w:ascii="宋体" w:hAnsi="宋体" w:cs="仿宋_GB2312"/>
          <w:color w:val="000000" w:themeColor="text1"/>
          <w:sz w:val="24"/>
          <w:szCs w:val="22"/>
          <w:lang w:val="en-US" w:eastAsia="zh-CN"/>
          <w14:textFill>
            <w14:solidFill>
              <w14:schemeClr w14:val="tx1"/>
            </w14:solidFill>
          </w14:textFill>
        </w:rPr>
        <w:t xml:space="preserve">     </w:t>
      </w:r>
      <w:r>
        <w:rPr>
          <w:rFonts w:hint="eastAsia" w:ascii="宋体" w:hAnsi="宋体" w:cs="仿宋_GB2312"/>
          <w:color w:val="000000" w:themeColor="text1"/>
          <w:sz w:val="24"/>
          <w:szCs w:val="22"/>
          <w14:textFill>
            <w14:solidFill>
              <w14:schemeClr w14:val="tx1"/>
            </w14:solidFill>
          </w14:textFill>
        </w:rPr>
        <w:t>年   月   日</w:t>
      </w:r>
      <w:bookmarkEnd w:id="1"/>
    </w:p>
    <w:p w14:paraId="6A3DBD9D">
      <w:pPr>
        <w:rPr>
          <w:rFonts w:ascii="楷体" w:hAnsi="楷体" w:eastAsia="楷体" w:cs="楷体"/>
          <w:color w:val="000000" w:themeColor="text1"/>
          <w:sz w:val="28"/>
          <w:szCs w:val="28"/>
          <w14:textFill>
            <w14:solidFill>
              <w14:schemeClr w14:val="tx1"/>
            </w14:solidFill>
          </w14:textFill>
        </w:rPr>
      </w:pPr>
    </w:p>
    <w:sectPr>
      <w:footerReference r:id="rId3" w:type="default"/>
      <w:pgSz w:w="11906" w:h="16838"/>
      <w:pgMar w:top="1440" w:right="1032"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embedRegular r:id="rId1" w:fontKey="{D94089F8-E059-4C57-AEFF-91501A9341E7}"/>
  </w:font>
  <w:font w:name="方正小标宋简体">
    <w:panose1 w:val="02010600010101010101"/>
    <w:charset w:val="86"/>
    <w:family w:val="script"/>
    <w:pitch w:val="default"/>
    <w:sig w:usb0="00000001" w:usb1="080E0000" w:usb2="00000000" w:usb3="00000000" w:csb0="00040000" w:csb1="00000000"/>
    <w:embedRegular r:id="rId2" w:fontKey="{53FEBBF1-CEF5-4D0B-895A-C6087A0DD850}"/>
  </w:font>
  <w:font w:name="仿宋_GB2312">
    <w:altName w:val="仿宋"/>
    <w:panose1 w:val="00000000000000000000"/>
    <w:charset w:val="86"/>
    <w:family w:val="modern"/>
    <w:pitch w:val="default"/>
    <w:sig w:usb0="00000000" w:usb1="00000000" w:usb2="00000000" w:usb3="00000000" w:csb0="00040000" w:csb1="00000000"/>
    <w:embedRegular r:id="rId3" w:fontKey="{D2046992-FB8C-4946-9480-6D6BA1CA6B0B}"/>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E0F42">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CD0757">
                          <w:pPr>
                            <w:pStyle w:val="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FCD0757">
                    <w:pPr>
                      <w:pStyle w:val="2"/>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D58A5"/>
    <w:rsid w:val="076362BB"/>
    <w:rsid w:val="09A8623C"/>
    <w:rsid w:val="0A200B7B"/>
    <w:rsid w:val="0FAC4C5F"/>
    <w:rsid w:val="12E14A8F"/>
    <w:rsid w:val="15FD160A"/>
    <w:rsid w:val="1625359E"/>
    <w:rsid w:val="19EA6AAF"/>
    <w:rsid w:val="1B0268D7"/>
    <w:rsid w:val="1FA37E2C"/>
    <w:rsid w:val="240864B0"/>
    <w:rsid w:val="2AC1560A"/>
    <w:rsid w:val="376B0DD8"/>
    <w:rsid w:val="3ACC7DDF"/>
    <w:rsid w:val="3AF17846"/>
    <w:rsid w:val="3B677B08"/>
    <w:rsid w:val="3DF3120F"/>
    <w:rsid w:val="42360234"/>
    <w:rsid w:val="44891B58"/>
    <w:rsid w:val="456357E4"/>
    <w:rsid w:val="483E76AF"/>
    <w:rsid w:val="4E395334"/>
    <w:rsid w:val="5023004A"/>
    <w:rsid w:val="50C00AB8"/>
    <w:rsid w:val="565A731E"/>
    <w:rsid w:val="5A290952"/>
    <w:rsid w:val="5BF31218"/>
    <w:rsid w:val="61DD622E"/>
    <w:rsid w:val="65366619"/>
    <w:rsid w:val="68AA7102"/>
    <w:rsid w:val="68E87C2B"/>
    <w:rsid w:val="72D74F98"/>
    <w:rsid w:val="77495D38"/>
    <w:rsid w:val="78286882"/>
    <w:rsid w:val="78372035"/>
    <w:rsid w:val="7B9647DB"/>
    <w:rsid w:val="7C9712F4"/>
    <w:rsid w:val="7D9B3066"/>
    <w:rsid w:val="7E1C1899"/>
    <w:rsid w:val="7EB964B1"/>
    <w:rsid w:val="7F9304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7477</Words>
  <Characters>7602</Characters>
  <Lines>0</Lines>
  <Paragraphs>0</Paragraphs>
  <TotalTime>10</TotalTime>
  <ScaleCrop>false</ScaleCrop>
  <LinksUpToDate>false</LinksUpToDate>
  <CharactersWithSpaces>7746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2026-08-04T04:43:00Z</dcterms:created>
  <dc:creator>iPad</dc:creator>
  <cp:lastModifiedBy>周老师</cp:lastModifiedBy>
  <cp:lastPrinted>2026-08-04T03:23:00Z</cp:lastPrinted>
  <dcterms:modified xsi:type="dcterms:W3CDTF">2026-08-04T03:54:13Z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41DA5C7DDE45B3C7E18C706ACEFBB183_31</vt:lpwstr>
  </property>
  <property fmtid="{D5CDD505-2E9C-101B-9397-08002B2CF9AE}" pid="4" name="KSOTemplateDocerSaveRecord">
    <vt:lpwstr>eyJoZGlkIjoiZjQ1Y2RjNTUyYWNmMzNhYjUxNzdkOTMzNTZlYjAxMzEiLCJ1c2VySWQiOiI0ODM4ODQ5NTIifQ==</vt:lpwstr>
  </property>
</Properties>
</file>