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A4C2">
      <w:pPr>
        <w:spacing w:line="240" w:lineRule="auto"/>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玉林市玉州区大塘镇初级中学</w:t>
      </w:r>
    </w:p>
    <w:p w14:paraId="66A61B7F">
      <w:pPr>
        <w:spacing w:line="240" w:lineRule="auto"/>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物业管理服务需求</w:t>
      </w:r>
    </w:p>
    <w:p w14:paraId="0723AADA">
      <w:pPr>
        <w:pStyle w:val="2"/>
        <w:numPr>
          <w:ilvl w:val="0"/>
          <w:numId w:val="0"/>
        </w:numPr>
        <w:spacing w:line="240" w:lineRule="auto"/>
        <w:ind w:leftChars="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服务内容</w:t>
      </w:r>
    </w:p>
    <w:p w14:paraId="66B242BD">
      <w:pPr>
        <w:pStyle w:val="3"/>
        <w:spacing w:line="240" w:lineRule="auto"/>
        <w:rPr>
          <w:rFonts w:hint="eastAsia" w:ascii="楷体" w:hAnsi="楷体" w:eastAsia="楷体" w:cs="楷体"/>
          <w:color w:val="auto"/>
          <w:sz w:val="32"/>
          <w:szCs w:val="32"/>
        </w:rPr>
      </w:pPr>
      <w:r>
        <w:rPr>
          <w:rFonts w:hint="eastAsia" w:ascii="楷体" w:hAnsi="楷体" w:eastAsia="楷体" w:cs="楷体"/>
          <w:color w:val="auto"/>
          <w:sz w:val="32"/>
          <w:szCs w:val="32"/>
        </w:rPr>
        <w:t xml:space="preserve"> 环境卫生服务内容及要求</w:t>
      </w:r>
    </w:p>
    <w:p w14:paraId="61E6CC59">
      <w:pPr>
        <w:pStyle w:val="4"/>
        <w:spacing w:line="240" w:lineRule="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rPr>
        <w:t xml:space="preserve"> 服务内容</w:t>
      </w:r>
    </w:p>
    <w:p w14:paraId="2DEDC049">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校区公共区域：涵盖所有道路路面、绿化带、体育场等室外空间的卫生保洁</w:t>
      </w:r>
      <w:r>
        <w:rPr>
          <w:rFonts w:hint="eastAsia" w:ascii="仿宋_GB2312" w:hAnsi="仿宋_GB2312" w:eastAsia="仿宋_GB2312" w:cs="仿宋_GB2312"/>
          <w:color w:val="auto"/>
          <w:sz w:val="32"/>
          <w:szCs w:val="32"/>
          <w:lang w:val="en-US" w:eastAsia="zh-CN"/>
        </w:rPr>
        <w:t>及垃圾清理</w:t>
      </w:r>
      <w:r>
        <w:rPr>
          <w:rFonts w:hint="eastAsia" w:ascii="仿宋_GB2312" w:hAnsi="仿宋_GB2312" w:eastAsia="仿宋_GB2312" w:cs="仿宋_GB2312"/>
          <w:color w:val="auto"/>
          <w:sz w:val="32"/>
          <w:szCs w:val="32"/>
        </w:rPr>
        <w:t>。</w:t>
      </w:r>
    </w:p>
    <w:p w14:paraId="7A6DA636">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建筑内部公共区域：包括教学楼、办公楼的公共通道、走廊、楼梯扶手、公共厕所。</w:t>
      </w:r>
    </w:p>
    <w:p w14:paraId="74ECF860">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设施设备清洁：化粪池的定期清理工作。</w:t>
      </w:r>
    </w:p>
    <w:p w14:paraId="003F7CA5">
      <w:pPr>
        <w:pStyle w:val="4"/>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服务要求</w:t>
      </w:r>
    </w:p>
    <w:p w14:paraId="14015BE6">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（1）道路、外围、大厅，公共场所、体育场、绿化地每日清扫2次。</w:t>
      </w:r>
    </w:p>
    <w:p w14:paraId="721CEAFB">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（2）教学楼、办公楼公共通道、走廊、楼梯每日清扫2次。</w:t>
      </w:r>
    </w:p>
    <w:p w14:paraId="180FF655">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（3）各公用卫生间每日清洁2次以上.</w:t>
      </w:r>
    </w:p>
    <w:p w14:paraId="48C07CD5">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（4）垃圾每日收集2次</w:t>
      </w:r>
      <w:r>
        <w:rPr>
          <w:rFonts w:hint="eastAsia" w:ascii="仿宋_GB2312" w:hAnsi="仿宋_GB2312" w:eastAsia="仿宋_GB2312" w:cs="仿宋_GB2312"/>
          <w:color w:val="auto"/>
          <w:sz w:val="32"/>
          <w:szCs w:val="32"/>
          <w:lang w:eastAsia="zh-CN"/>
        </w:rPr>
        <w:t>并清运</w:t>
      </w:r>
      <w:r>
        <w:rPr>
          <w:rFonts w:hint="eastAsia" w:ascii="仿宋_GB2312" w:hAnsi="仿宋_GB2312" w:eastAsia="仿宋_GB2312" w:cs="仿宋_GB2312"/>
          <w:color w:val="auto"/>
          <w:sz w:val="32"/>
          <w:szCs w:val="32"/>
        </w:rPr>
        <w:t>。</w:t>
      </w:r>
    </w:p>
    <w:p w14:paraId="61F3D1AB">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（5）校区内管道、沉沙井、水池、清理疏通。</w:t>
      </w:r>
    </w:p>
    <w:p w14:paraId="01195CAC">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（6）化粪池每年清理不少于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w:t>
      </w:r>
    </w:p>
    <w:p w14:paraId="5DB35AE4">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配合业主单位完成保洁临时性任务。</w:t>
      </w:r>
    </w:p>
    <w:p w14:paraId="2EA66355">
      <w:pPr>
        <w:spacing w:line="240" w:lineRule="auto"/>
        <w:ind w:firstLine="54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服务标准</w:t>
      </w:r>
      <w:r>
        <w:rPr>
          <w:rFonts w:hint="eastAsia" w:ascii="微软雅黑" w:hAnsi="微软雅黑" w:eastAsia="微软雅黑" w:cs="微软雅黑"/>
          <w:b/>
          <w:bCs/>
          <w:color w:val="auto"/>
          <w:sz w:val="24"/>
          <w:szCs w:val="24"/>
        </w:rPr>
        <w:t>：</w:t>
      </w:r>
    </w:p>
    <w:p w14:paraId="45AFDF5B">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卫生间：保持清洁干净，洗手盆无杂物、无纸屑、无积水；及时清理脚印、水渍；镜子每日全面擦拭；大小便池内外无污渍；墙面、水管、隔断、门坎、窗台无灰尘，厕所内无异味。</w:t>
      </w:r>
    </w:p>
    <w:p w14:paraId="47911FBB">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设施维护：校区内管道、沉沙井、水池清理疏通及时，化粪池无外溢、无堵塞现象。</w:t>
      </w:r>
    </w:p>
    <w:p w14:paraId="6C1BB101">
      <w:pPr>
        <w:pStyle w:val="3"/>
        <w:spacing w:line="240" w:lineRule="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设备维修</w:t>
      </w:r>
      <w:r>
        <w:rPr>
          <w:rFonts w:hint="eastAsia" w:ascii="楷体" w:hAnsi="楷体" w:eastAsia="楷体" w:cs="楷体"/>
          <w:color w:val="auto"/>
          <w:sz w:val="32"/>
          <w:szCs w:val="32"/>
        </w:rPr>
        <w:t>服务内容、服务要求和服务标准</w:t>
      </w:r>
    </w:p>
    <w:p w14:paraId="290D5FD2">
      <w:pPr>
        <w:pStyle w:val="4"/>
        <w:numPr>
          <w:ilvl w:val="2"/>
          <w:numId w:val="3"/>
        </w:num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服务内容</w:t>
      </w:r>
    </w:p>
    <w:p w14:paraId="36E03DBB">
      <w:pPr>
        <w:numPr>
          <w:ilvl w:val="2"/>
          <w:numId w:val="0"/>
        </w:numPr>
        <w:spacing w:line="240" w:lineRule="auto"/>
        <w:ind w:firstLine="632" w:firstLineChars="200"/>
        <w:outlineLvl w:val="9"/>
        <w:rPr>
          <w:rFonts w:hint="eastAsia" w:ascii="仿宋_GB2312" w:hAnsi="仿宋_GB2312" w:eastAsia="仿宋_GB2312" w:cs="仿宋_GB2312"/>
          <w:b w:val="0"/>
          <w:bCs/>
          <w:spacing w:val="-2"/>
          <w:sz w:val="32"/>
          <w:szCs w:val="32"/>
        </w:rPr>
      </w:pPr>
      <w:r>
        <w:rPr>
          <w:rFonts w:hint="eastAsia" w:ascii="仿宋_GB2312" w:hAnsi="仿宋_GB2312" w:eastAsia="仿宋_GB2312" w:cs="仿宋_GB2312"/>
          <w:b w:val="0"/>
          <w:bCs/>
          <w:spacing w:val="-2"/>
          <w:sz w:val="32"/>
          <w:szCs w:val="32"/>
          <w:lang w:val="en-US" w:eastAsia="zh-CN"/>
        </w:rPr>
        <w:t>（1）</w:t>
      </w:r>
      <w:r>
        <w:rPr>
          <w:rFonts w:hint="eastAsia" w:ascii="仿宋_GB2312" w:hAnsi="仿宋_GB2312" w:eastAsia="仿宋_GB2312" w:cs="仿宋_GB2312"/>
          <w:b w:val="0"/>
          <w:bCs/>
          <w:spacing w:val="-2"/>
          <w:sz w:val="32"/>
          <w:szCs w:val="32"/>
        </w:rPr>
        <w:t>电力系统：负责配电房电力系统，校园内外照明、开关插座，所有配电房母线排及各线路的一般性保养、检查、维修和更换。</w:t>
      </w:r>
    </w:p>
    <w:p w14:paraId="06B7175F">
      <w:pPr>
        <w:numPr>
          <w:ilvl w:val="2"/>
          <w:numId w:val="0"/>
        </w:numPr>
        <w:spacing w:line="240" w:lineRule="auto"/>
        <w:ind w:firstLine="632" w:firstLineChars="200"/>
        <w:outlineLvl w:val="9"/>
        <w:rPr>
          <w:rFonts w:hint="eastAsia" w:ascii="仿宋_GB2312" w:hAnsi="仿宋_GB2312" w:eastAsia="仿宋_GB2312" w:cs="仿宋_GB2312"/>
          <w:b w:val="0"/>
          <w:bCs/>
          <w:spacing w:val="-2"/>
          <w:sz w:val="32"/>
          <w:szCs w:val="32"/>
        </w:rPr>
      </w:pPr>
      <w:r>
        <w:rPr>
          <w:rFonts w:hint="eastAsia" w:ascii="仿宋_GB2312" w:hAnsi="仿宋_GB2312" w:eastAsia="仿宋_GB2312" w:cs="仿宋_GB2312"/>
          <w:b w:val="0"/>
          <w:bCs/>
          <w:spacing w:val="-2"/>
          <w:sz w:val="32"/>
          <w:szCs w:val="32"/>
          <w:lang w:eastAsia="zh-CN"/>
        </w:rPr>
        <w:t>（</w:t>
      </w:r>
      <w:r>
        <w:rPr>
          <w:rFonts w:hint="eastAsia" w:ascii="仿宋_GB2312" w:hAnsi="仿宋_GB2312" w:eastAsia="仿宋_GB2312" w:cs="仿宋_GB2312"/>
          <w:b w:val="0"/>
          <w:bCs/>
          <w:spacing w:val="-2"/>
          <w:sz w:val="32"/>
          <w:szCs w:val="32"/>
          <w:lang w:val="en-US" w:eastAsia="zh-CN"/>
        </w:rPr>
        <w:t>2）</w:t>
      </w:r>
      <w:r>
        <w:rPr>
          <w:rFonts w:hint="eastAsia" w:ascii="仿宋_GB2312" w:hAnsi="仿宋_GB2312" w:eastAsia="仿宋_GB2312" w:cs="仿宋_GB2312"/>
          <w:b w:val="0"/>
          <w:bCs/>
          <w:spacing w:val="-2"/>
          <w:sz w:val="32"/>
          <w:szCs w:val="32"/>
        </w:rPr>
        <w:t>给排水系统（大修除外）：对雨水管、排污管、给水管、进水阀门等全部水系系统进行日常管理、保养、一般性维修和急修。</w:t>
      </w:r>
    </w:p>
    <w:p w14:paraId="2634B56A">
      <w:pPr>
        <w:numPr>
          <w:ilvl w:val="2"/>
          <w:numId w:val="0"/>
        </w:numPr>
        <w:spacing w:line="240" w:lineRule="auto"/>
        <w:ind w:firstLine="632" w:firstLineChars="200"/>
        <w:outlineLvl w:val="9"/>
        <w:rPr>
          <w:rFonts w:hint="eastAsia" w:ascii="仿宋_GB2312" w:hAnsi="仿宋_GB2312" w:eastAsia="仿宋_GB2312" w:cs="仿宋_GB2312"/>
          <w:b w:val="0"/>
          <w:bCs/>
          <w:spacing w:val="-2"/>
          <w:sz w:val="32"/>
          <w:szCs w:val="32"/>
        </w:rPr>
      </w:pPr>
      <w:r>
        <w:rPr>
          <w:rFonts w:hint="eastAsia" w:ascii="仿宋_GB2312" w:hAnsi="仿宋_GB2312" w:eastAsia="仿宋_GB2312" w:cs="仿宋_GB2312"/>
          <w:b w:val="0"/>
          <w:bCs/>
          <w:spacing w:val="-2"/>
          <w:sz w:val="32"/>
          <w:szCs w:val="32"/>
          <w:lang w:eastAsia="zh-CN"/>
        </w:rPr>
        <w:t>（</w:t>
      </w:r>
      <w:r>
        <w:rPr>
          <w:rFonts w:hint="eastAsia" w:ascii="仿宋_GB2312" w:hAnsi="仿宋_GB2312" w:eastAsia="仿宋_GB2312" w:cs="仿宋_GB2312"/>
          <w:b w:val="0"/>
          <w:bCs/>
          <w:spacing w:val="-2"/>
          <w:sz w:val="32"/>
          <w:szCs w:val="32"/>
          <w:lang w:val="en-US" w:eastAsia="zh-CN"/>
        </w:rPr>
        <w:t>3）设备日常维修维护：负责校区内教学设备（多媒体、投影仪等）、办公设备（打印机、空调等）、安防监控系统、网络系统的电路日常检修与维护，保障教学办公及学生使用需求。</w:t>
      </w:r>
    </w:p>
    <w:p w14:paraId="561F6FCC">
      <w:pPr>
        <w:numPr>
          <w:ilvl w:val="0"/>
          <w:numId w:val="0"/>
        </w:numPr>
        <w:spacing w:line="240" w:lineRule="auto"/>
        <w:ind w:left="540" w:leftChars="0"/>
        <w:outlineLvl w:val="9"/>
        <w:rPr>
          <w:rFonts w:hint="eastAsia" w:ascii="微软雅黑" w:hAnsi="微软雅黑" w:eastAsia="微软雅黑" w:cs="微软雅黑"/>
          <w:color w:val="000000"/>
          <w:sz w:val="24"/>
          <w:szCs w:val="24"/>
        </w:rPr>
      </w:pPr>
      <w:r>
        <w:rPr>
          <w:rFonts w:hint="eastAsia" w:ascii="仿宋_GB2312" w:hAnsi="仿宋_GB2312" w:eastAsia="仿宋_GB2312" w:cs="仿宋_GB2312"/>
          <w:b w:val="0"/>
          <w:bCs/>
          <w:spacing w:val="-2"/>
          <w:sz w:val="32"/>
          <w:szCs w:val="32"/>
          <w:lang w:eastAsia="zh-CN"/>
        </w:rPr>
        <w:t>（</w:t>
      </w:r>
      <w:r>
        <w:rPr>
          <w:rFonts w:hint="eastAsia" w:ascii="仿宋_GB2312" w:hAnsi="仿宋_GB2312" w:eastAsia="仿宋_GB2312" w:cs="仿宋_GB2312"/>
          <w:b w:val="0"/>
          <w:bCs/>
          <w:spacing w:val="-2"/>
          <w:sz w:val="32"/>
          <w:szCs w:val="32"/>
          <w:lang w:val="en-US" w:eastAsia="zh-CN"/>
        </w:rPr>
        <w:t>4）</w:t>
      </w:r>
      <w:r>
        <w:rPr>
          <w:rFonts w:hint="eastAsia" w:ascii="仿宋_GB2312" w:hAnsi="仿宋_GB2312" w:eastAsia="仿宋_GB2312" w:cs="仿宋_GB2312"/>
          <w:b w:val="0"/>
          <w:bCs/>
          <w:spacing w:val="-2"/>
          <w:sz w:val="32"/>
          <w:szCs w:val="32"/>
        </w:rPr>
        <w:t>专项任务</w:t>
      </w:r>
      <w:r>
        <w:rPr>
          <w:rFonts w:hint="eastAsia" w:ascii="仿宋_GB2312" w:hAnsi="仿宋_GB2312" w:eastAsia="仿宋_GB2312" w:cs="仿宋_GB2312"/>
          <w:b w:val="0"/>
          <w:bCs/>
          <w:spacing w:val="-2"/>
          <w:sz w:val="32"/>
          <w:szCs w:val="32"/>
          <w:lang w:eastAsia="zh-CN"/>
        </w:rPr>
        <w:t>执行</w:t>
      </w:r>
      <w:r>
        <w:rPr>
          <w:rFonts w:hint="eastAsia" w:ascii="仿宋_GB2312" w:hAnsi="仿宋_GB2312" w:eastAsia="仿宋_GB2312" w:cs="仿宋_GB2312"/>
          <w:b w:val="0"/>
          <w:bCs/>
          <w:spacing w:val="-2"/>
          <w:sz w:val="32"/>
          <w:szCs w:val="32"/>
        </w:rPr>
        <w:t>：根据学校总务科统一安排，完成校园内设备相关专项工作任务</w:t>
      </w:r>
      <w:r>
        <w:rPr>
          <w:rFonts w:hint="eastAsia" w:ascii="微软雅黑" w:hAnsi="微软雅黑" w:eastAsia="微软雅黑" w:cs="微软雅黑"/>
          <w:b w:val="0"/>
          <w:bCs/>
          <w:spacing w:val="-2"/>
          <w:sz w:val="24"/>
          <w:szCs w:val="24"/>
        </w:rPr>
        <w:t>。</w:t>
      </w:r>
    </w:p>
    <w:p w14:paraId="69866A55">
      <w:pPr>
        <w:pStyle w:val="4"/>
        <w:numPr>
          <w:ilvl w:val="2"/>
          <w:numId w:val="3"/>
        </w:num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服务要求</w:t>
      </w:r>
    </w:p>
    <w:p w14:paraId="427C7D09">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（1）运行保障：</w:t>
      </w:r>
      <w:r>
        <w:rPr>
          <w:rFonts w:hint="eastAsia" w:ascii="仿宋_GB2312" w:hAnsi="仿宋_GB2312" w:eastAsia="仿宋_GB2312" w:cs="仿宋_GB2312"/>
          <w:b w:val="0"/>
          <w:bCs w:val="0"/>
          <w:color w:val="auto"/>
          <w:sz w:val="32"/>
          <w:szCs w:val="32"/>
        </w:rPr>
        <w:t>保证各类水电设施、设备正常运行，做好供水供电系统运行情况记录，确保正常供水供电。</w:t>
      </w:r>
    </w:p>
    <w:p w14:paraId="5D428743">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（2）</w:t>
      </w:r>
      <w:r>
        <w:rPr>
          <w:rFonts w:hint="eastAsia" w:ascii="仿宋_GB2312" w:hAnsi="仿宋_GB2312" w:eastAsia="仿宋_GB2312" w:cs="仿宋_GB2312"/>
          <w:b w:val="0"/>
          <w:bCs w:val="0"/>
          <w:color w:val="auto"/>
          <w:sz w:val="32"/>
          <w:szCs w:val="32"/>
        </w:rPr>
        <w:t>安全管理：提高安全意识，定期检查水电设施、设备，发现问题及时处理；严格遵守操作规程，禁止他人乱接乱拉电线，线路接头包扎牢固，隐蔽线路不得外露；清查全校水电路线，合理利用水电，防止浪费，严禁私自将水源、电源接出校外。</w:t>
      </w:r>
    </w:p>
    <w:p w14:paraId="7C9E90F4">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（3）报修响应：开通校园24小时报修服务电话并向校方公布，接到报修后即时记录并调度维修人员，具体响应时限如下：</w:t>
      </w:r>
    </w:p>
    <w:p w14:paraId="46E1B10D">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 设备急修项目（影响教学办公正常开展的故障）：接报后20分钟内抵达校园现场，2小时内完成修复；</w:t>
      </w:r>
    </w:p>
    <w:p w14:paraId="56798585">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 常规设备维修项目：30分钟内抵达现场查勘，可即时修复的当场解决，无法即时修复的按约定时间完工；</w:t>
      </w:r>
    </w:p>
    <w:p w14:paraId="746CE889">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 非责任维修项目：1小时内抵达现场查勘，与校方协商确定维修费用及工期后，按约定执行。</w:t>
      </w:r>
    </w:p>
    <w:p w14:paraId="0EAA0A74">
      <w:pPr>
        <w:numPr>
          <w:ilvl w:val="2"/>
          <w:numId w:val="0"/>
        </w:numPr>
        <w:spacing w:line="240" w:lineRule="auto"/>
        <w:ind w:left="400" w:leftChars="0"/>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（4）服务确认：维修完成后，需由校方相关负责人签名确认，同步收集服务满意度反馈。</w:t>
      </w:r>
    </w:p>
    <w:p w14:paraId="4AEA6D6E">
      <w:pPr>
        <w:pStyle w:val="4"/>
        <w:numPr>
          <w:ilvl w:val="2"/>
          <w:numId w:val="3"/>
        </w:num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服务标准</w:t>
      </w:r>
    </w:p>
    <w:p w14:paraId="68A28ED8">
      <w:pPr>
        <w:spacing w:line="240" w:lineRule="auto"/>
        <w:ind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（1）维修服务指标：校园临修急修及时率100%；维修质量合格率99%以上；校方满意率95%以上；服务回访率100%，回访发现维修质量问题的，即时预约整改。</w:t>
      </w:r>
    </w:p>
    <w:p w14:paraId="03ACCFB5">
      <w:pPr>
        <w:spacing w:line="240" w:lineRule="auto"/>
        <w:ind w:firstLine="640" w:firstLineChars="200"/>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（2）设备管理：定期开展校园设备巡检，建立设备巡检记录；</w:t>
      </w:r>
    </w:p>
    <w:p w14:paraId="2DAA9AC9">
      <w:pPr>
        <w:spacing w:line="240" w:lineRule="auto"/>
        <w:ind w:firstLine="640" w:firstLineChars="200"/>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（3）隐患处理：及时处置校园内设备使用安全隐患，更换损坏部件及设备，针对发现的隐患出具专项整改意见并协助落实。</w:t>
      </w:r>
    </w:p>
    <w:p w14:paraId="7301DDF4">
      <w:pPr>
        <w:spacing w:line="240" w:lineRule="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eastAsia="zh-CN"/>
        </w:rPr>
        <w:t>（三）</w:t>
      </w:r>
      <w:r>
        <w:rPr>
          <w:rFonts w:hint="eastAsia" w:ascii="楷体" w:hAnsi="楷体" w:eastAsia="楷体" w:cs="楷体"/>
          <w:b/>
          <w:bCs/>
          <w:color w:val="auto"/>
          <w:sz w:val="32"/>
          <w:szCs w:val="32"/>
        </w:rPr>
        <w:t>物业服务人员配置及要求</w:t>
      </w:r>
    </w:p>
    <w:p w14:paraId="152190B5">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 </w:t>
      </w:r>
      <w:r>
        <w:rPr>
          <w:rFonts w:hint="eastAsia" w:ascii="仿宋_GB2312" w:hAnsi="仿宋_GB2312" w:eastAsia="仿宋_GB2312" w:cs="仿宋_GB2312"/>
          <w:b/>
          <w:bCs/>
          <w:color w:val="auto"/>
          <w:sz w:val="32"/>
          <w:szCs w:val="32"/>
        </w:rPr>
        <w:t>人员配置及要求</w:t>
      </w:r>
    </w:p>
    <w:p w14:paraId="5B04D8B9">
      <w:pPr>
        <w:spacing w:line="240" w:lineRule="auto"/>
        <w:ind w:firstLine="540"/>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）水电工1人：需有</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年以上相关岗位工作经验，要求持有电工证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sz w:val="32"/>
          <w:szCs w:val="32"/>
        </w:rPr>
        <w:t>无违法犯罪记录、无重大安全责任事故记录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color w:val="auto"/>
          <w:sz w:val="32"/>
          <w:szCs w:val="32"/>
          <w:lang w:eastAsia="zh-CN"/>
        </w:rPr>
        <w:t>须在响应文件中提供相关证件。</w:t>
      </w:r>
    </w:p>
    <w:p w14:paraId="1E3F6DD6">
      <w:pPr>
        <w:spacing w:line="240" w:lineRule="auto"/>
        <w:ind w:firstLine="540"/>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(2)清洁工1人：</w:t>
      </w:r>
      <w:r>
        <w:rPr>
          <w:rFonts w:hint="eastAsia" w:ascii="仿宋_GB2312" w:hAnsi="仿宋_GB2312" w:eastAsia="仿宋_GB2312" w:cs="仿宋_GB2312"/>
          <w:b w:val="0"/>
          <w:bCs w:val="0"/>
          <w:color w:val="auto"/>
          <w:sz w:val="32"/>
          <w:szCs w:val="32"/>
        </w:rPr>
        <w:t>保洁人员需有2年以上相关岗位工作经验，年龄要求男、女性</w:t>
      </w:r>
      <w:r>
        <w:rPr>
          <w:rFonts w:hint="eastAsia" w:ascii="仿宋_GB2312" w:hAnsi="仿宋_GB2312" w:eastAsia="仿宋_GB2312" w:cs="仿宋_GB2312"/>
          <w:b w:val="0"/>
          <w:bCs w:val="0"/>
          <w:color w:val="auto"/>
          <w:sz w:val="32"/>
          <w:szCs w:val="32"/>
          <w:lang w:val="en-US" w:eastAsia="zh-CN"/>
        </w:rPr>
        <w:t>均</w:t>
      </w:r>
      <w:r>
        <w:rPr>
          <w:rFonts w:hint="eastAsia" w:ascii="仿宋_GB2312" w:hAnsi="仿宋_GB2312" w:eastAsia="仿宋_GB2312" w:cs="仿宋_GB2312"/>
          <w:b w:val="0"/>
          <w:bCs w:val="0"/>
          <w:color w:val="auto"/>
          <w:sz w:val="32"/>
          <w:szCs w:val="32"/>
        </w:rPr>
        <w:t>不超过</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0岁，具有服务意识</w:t>
      </w:r>
      <w:r>
        <w:rPr>
          <w:rFonts w:hint="eastAsia" w:ascii="仿宋_GB2312" w:hAnsi="仿宋_GB2312" w:eastAsia="仿宋_GB2312" w:cs="仿宋_GB2312"/>
          <w:b w:val="0"/>
          <w:bCs w:val="0"/>
          <w:color w:val="auto"/>
          <w:sz w:val="32"/>
          <w:szCs w:val="32"/>
          <w:lang w:eastAsia="zh-CN"/>
        </w:rPr>
        <w:t>，</w:t>
      </w:r>
    </w:p>
    <w:p w14:paraId="3773CE34">
      <w:pPr>
        <w:spacing w:line="240" w:lineRule="auto"/>
        <w:ind w:firstLine="540"/>
        <w:outlineLvl w:val="9"/>
        <w:rPr>
          <w:rFonts w:hint="eastAsia" w:ascii="微软雅黑" w:hAnsi="微软雅黑" w:eastAsia="微软雅黑" w:cs="微软雅黑"/>
          <w:b w:val="0"/>
          <w:bCs w:val="0"/>
          <w:color w:val="FF0000"/>
          <w:sz w:val="24"/>
          <w:szCs w:val="24"/>
          <w:lang w:eastAsia="zh-CN"/>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）保洁员</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rPr>
        <w:t>人：保洁人员需有2年以上相关岗位工作经验，年龄要求男、女性</w:t>
      </w:r>
      <w:r>
        <w:rPr>
          <w:rFonts w:hint="eastAsia" w:ascii="仿宋_GB2312" w:hAnsi="仿宋_GB2312" w:eastAsia="仿宋_GB2312" w:cs="仿宋_GB2312"/>
          <w:b w:val="0"/>
          <w:bCs w:val="0"/>
          <w:color w:val="auto"/>
          <w:sz w:val="32"/>
          <w:szCs w:val="32"/>
          <w:lang w:val="en-US" w:eastAsia="zh-CN"/>
        </w:rPr>
        <w:t>均</w:t>
      </w:r>
      <w:r>
        <w:rPr>
          <w:rFonts w:hint="eastAsia" w:ascii="仿宋_GB2312" w:hAnsi="仿宋_GB2312" w:eastAsia="仿宋_GB2312" w:cs="仿宋_GB2312"/>
          <w:b w:val="0"/>
          <w:bCs w:val="0"/>
          <w:color w:val="auto"/>
          <w:sz w:val="32"/>
          <w:szCs w:val="32"/>
        </w:rPr>
        <w:t>不超过</w:t>
      </w: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0岁，具有服务意识</w:t>
      </w:r>
      <w:r>
        <w:rPr>
          <w:rFonts w:hint="eastAsia" w:ascii="仿宋_GB2312" w:hAnsi="仿宋_GB2312" w:eastAsia="仿宋_GB2312" w:cs="仿宋_GB2312"/>
          <w:b w:val="0"/>
          <w:bCs w:val="0"/>
          <w:color w:val="FF0000"/>
          <w:sz w:val="32"/>
          <w:szCs w:val="32"/>
          <w:lang w:eastAsia="zh-CN"/>
        </w:rPr>
        <w:t>。</w:t>
      </w:r>
    </w:p>
    <w:p w14:paraId="73B15642">
      <w:pPr>
        <w:spacing w:line="240" w:lineRule="auto"/>
        <w:ind w:firstLine="54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rPr>
        <w:t xml:space="preserve">2. </w:t>
      </w:r>
      <w:r>
        <w:rPr>
          <w:rFonts w:hint="eastAsia" w:ascii="仿宋_GB2312" w:hAnsi="仿宋_GB2312" w:eastAsia="仿宋_GB2312" w:cs="仿宋_GB2312"/>
          <w:b/>
          <w:bCs/>
          <w:color w:val="auto"/>
          <w:sz w:val="32"/>
          <w:szCs w:val="32"/>
        </w:rPr>
        <w:t>人员管理要求</w:t>
      </w:r>
    </w:p>
    <w:p w14:paraId="1AA57FB9">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所有服务人员需经过采购方面试合格后方可上岗。</w:t>
      </w:r>
    </w:p>
    <w:p w14:paraId="26D05DCE">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供应商须在响应文件中提供所有服务人员相关证件复印件，原件备查。</w:t>
      </w:r>
    </w:p>
    <w:p w14:paraId="2E6C44A5">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供应商需在本采购单位所在地为服务人员购买社保，并提供响应文件递交截止之日前 3 个月的社保缴纳证明复印件。</w:t>
      </w:r>
    </w:p>
    <w:p w14:paraId="72C2E8C1">
      <w:pPr>
        <w:pStyle w:val="2"/>
        <w:bidi w:val="0"/>
        <w:ind w:left="0" w:leftChars="0" w:firstLine="0" w:firstLineChars="0"/>
        <w:rPr>
          <w:rFonts w:hint="eastAsia" w:ascii="黑体" w:hAnsi="黑体" w:eastAsia="黑体" w:cs="黑体"/>
        </w:rPr>
      </w:pPr>
      <w:r>
        <w:rPr>
          <w:rFonts w:hint="eastAsia" w:ascii="黑体" w:hAnsi="黑体" w:eastAsia="黑体" w:cs="黑体"/>
        </w:rPr>
        <w:t>报价说明</w:t>
      </w:r>
    </w:p>
    <w:p w14:paraId="7B5AFD09">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（一）劳务派遣服务管理费报价：按派遣人员工资总额的X%计取劳务派遣管理费，费率区间为8%—12%，以费率最低报价为中标。</w:t>
      </w:r>
    </w:p>
    <w:p w14:paraId="0E2AC12E">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（二）费用构成：劳务派遣服务管理费包含社会保险、服装费、工具费、税费及管理费等。</w:t>
      </w:r>
    </w:p>
    <w:p w14:paraId="4B4DC4F1">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（三）报价一致性：</w:t>
      </w:r>
      <w:r>
        <w:rPr>
          <w:rFonts w:hint="eastAsia" w:ascii="仿宋_GB2312" w:hAnsi="仿宋_GB2312" w:eastAsia="仿宋_GB2312" w:cs="仿宋_GB2312"/>
          <w:b/>
          <w:bCs/>
          <w:color w:val="auto"/>
          <w:sz w:val="32"/>
          <w:szCs w:val="32"/>
          <w:lang w:val="en-US" w:eastAsia="zh-CN"/>
        </w:rPr>
        <w:t>响应文件中的报价需与政采云系统报价一致，误差超过 0.1%，视为报价无效；为了中标而</w:t>
      </w:r>
      <w:r>
        <w:rPr>
          <w:rFonts w:hint="eastAsia" w:ascii="仿宋_GB2312" w:hAnsi="仿宋_GB2312" w:eastAsia="仿宋_GB2312" w:cs="仿宋_GB2312"/>
          <w:color w:val="auto"/>
          <w:sz w:val="32"/>
          <w:szCs w:val="32"/>
          <w:lang w:val="en-US" w:eastAsia="zh-CN"/>
        </w:rPr>
        <w:t>故意填报低价后再申请调价，直接解除合同并上报监管部门。</w:t>
      </w:r>
    </w:p>
    <w:p w14:paraId="0EA2B643">
      <w:pPr>
        <w:spacing w:line="240" w:lineRule="auto"/>
        <w:outlineLvl w:val="9"/>
        <w:rPr>
          <w:rFonts w:hint="eastAsia" w:ascii="黑体" w:hAnsi="黑体" w:eastAsia="黑体" w:cs="黑体"/>
          <w:color w:val="auto"/>
          <w:sz w:val="32"/>
          <w:szCs w:val="32"/>
          <w:lang w:val="en-US" w:eastAsia="zh-CN"/>
        </w:rPr>
      </w:pPr>
      <w:r>
        <w:rPr>
          <w:rFonts w:hint="eastAsia" w:ascii="黑体" w:hAnsi="黑体" w:eastAsia="黑体" w:cs="黑体"/>
          <w:b/>
          <w:bCs/>
          <w:color w:val="auto"/>
          <w:sz w:val="32"/>
          <w:szCs w:val="32"/>
          <w:lang w:val="en-US" w:eastAsia="zh-CN"/>
        </w:rPr>
        <w:t>三、劳务派遣人员的劳动报酬、各项社会保险费</w:t>
      </w:r>
    </w:p>
    <w:p w14:paraId="68E4A41A">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（一）劳务派遣人员的工资标准和福利</w:t>
      </w:r>
      <w:bookmarkStart w:id="0" w:name="_GoBack"/>
      <w:bookmarkEnd w:id="0"/>
      <w:r>
        <w:rPr>
          <w:rFonts w:hint="eastAsia" w:ascii="仿宋_GB2312" w:hAnsi="仿宋_GB2312" w:eastAsia="仿宋_GB2312" w:cs="仿宋_GB2312"/>
          <w:color w:val="auto"/>
          <w:sz w:val="32"/>
          <w:szCs w:val="32"/>
          <w:lang w:val="en-US" w:eastAsia="zh-CN"/>
        </w:rPr>
        <w:t>待遇按照业主依法制定的标准执行</w:t>
      </w:r>
      <w:r>
        <w:rPr>
          <w:rFonts w:hint="eastAsia" w:ascii="仿宋_GB2312" w:hAnsi="仿宋_GB2312" w:eastAsia="仿宋_GB2312" w:cs="仿宋_GB2312"/>
          <w:color w:val="auto"/>
          <w:kern w:val="0"/>
          <w:sz w:val="32"/>
          <w:szCs w:val="32"/>
        </w:rPr>
        <w:t>，以实际结算为准。</w:t>
      </w:r>
    </w:p>
    <w:p w14:paraId="35F80A64">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（二）业主应于每月10日前将劳务派遣人员的工资、各项社会保险费等劳务费用转入物业管理公司的银行账户。</w:t>
      </w:r>
    </w:p>
    <w:p w14:paraId="76CD4338">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（三）业主应做好劳务派遣人员的工资、物业管理服务费的明细表，</w:t>
      </w:r>
    </w:p>
    <w:p w14:paraId="1C9247B4">
      <w:pPr>
        <w:spacing w:line="240" w:lineRule="auto"/>
        <w:ind w:firstLine="640" w:firstLineChars="200"/>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物业管理公司根据业主转入的劳务费用足额发放和缴纳，不得克扣、占用、挪用业主拨付给物业管理公司用于支付劳务派遣人员的工资、劳务费用。</w:t>
      </w:r>
    </w:p>
    <w:p w14:paraId="089A2E99">
      <w:pPr>
        <w:spacing w:line="240" w:lineRule="auto"/>
        <w:outlineLvl w:val="0"/>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四</w:t>
      </w:r>
      <w:r>
        <w:rPr>
          <w:rFonts w:hint="eastAsia" w:ascii="黑体" w:hAnsi="黑体" w:eastAsia="黑体" w:cs="黑体"/>
          <w:b/>
          <w:bCs/>
          <w:color w:val="auto"/>
          <w:sz w:val="32"/>
          <w:szCs w:val="32"/>
        </w:rPr>
        <w:t>、</w:t>
      </w:r>
      <w:r>
        <w:rPr>
          <w:rFonts w:hint="eastAsia" w:ascii="黑体" w:hAnsi="黑体" w:eastAsia="黑体" w:cs="黑体"/>
          <w:b/>
          <w:bCs/>
          <w:color w:val="auto"/>
          <w:sz w:val="32"/>
          <w:szCs w:val="32"/>
          <w:lang w:eastAsia="zh-CN"/>
        </w:rPr>
        <w:t>商务条款</w:t>
      </w:r>
    </w:p>
    <w:p w14:paraId="3494BA70">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、合同签订期：自成交通知书发出之日起 25 日内签订合同。若因成交供应商自身原因未按时签订，视为放弃成交资格，没收投标保证金（若有），并上报监管部门记入不良信用记录。</w:t>
      </w:r>
    </w:p>
    <w:p w14:paraId="1251C077">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、服务期限与地点：</w:t>
      </w:r>
      <w:r>
        <w:rPr>
          <w:rFonts w:hint="eastAsia" w:ascii="仿宋_GB2312" w:hAnsi="仿宋_GB2312" w:eastAsia="仿宋_GB2312" w:cs="仿宋_GB2312"/>
          <w:b/>
          <w:bCs/>
          <w:color w:val="auto"/>
          <w:sz w:val="32"/>
          <w:szCs w:val="32"/>
        </w:rPr>
        <w:t>服务期限</w:t>
      </w: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个月</w:t>
      </w:r>
      <w:r>
        <w:rPr>
          <w:rFonts w:hint="eastAsia" w:ascii="仿宋_GB2312" w:hAnsi="仿宋_GB2312" w:eastAsia="仿宋_GB2312" w:cs="仿宋_GB2312"/>
          <w:color w:val="auto"/>
          <w:sz w:val="32"/>
          <w:szCs w:val="32"/>
        </w:rPr>
        <w:t>，服务地点为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玉林市</w:t>
      </w:r>
      <w:r>
        <w:rPr>
          <w:rFonts w:hint="eastAsia" w:ascii="仿宋_GB2312" w:hAnsi="仿宋_GB2312" w:eastAsia="仿宋_GB2312" w:cs="仿宋_GB2312"/>
          <w:b/>
          <w:bCs/>
          <w:color w:val="auto"/>
          <w:sz w:val="32"/>
          <w:szCs w:val="32"/>
          <w:lang w:eastAsia="zh-CN"/>
        </w:rPr>
        <w:t>玉州区大塘镇初级中学</w:t>
      </w:r>
      <w:r>
        <w:rPr>
          <w:rFonts w:hint="eastAsia" w:ascii="仿宋_GB2312" w:hAnsi="仿宋_GB2312" w:eastAsia="仿宋_GB2312" w:cs="仿宋_GB2312"/>
          <w:color w:val="auto"/>
          <w:sz w:val="32"/>
          <w:szCs w:val="32"/>
        </w:rPr>
        <w:t>（不得擅自将服务转包或分包，发现转包/分包，直接解除合同并要求赔偿合同总额 20% 的违约金）。</w:t>
      </w:r>
    </w:p>
    <w:p w14:paraId="0EB9DF04">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、服务要求：</w:t>
      </w:r>
    </w:p>
    <w:p w14:paraId="55DBB692">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成交供应商应严格遵守国家有关保密法律法规，不得泄露与本项目有关的秘密，不得将其用于履行本项目之外的其他用途，造成泄密的，将依法追究有关人员的法律责任。</w:t>
      </w:r>
    </w:p>
    <w:p w14:paraId="3FC8CB8A">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服务及验收标准：按国家有关服务行业规定执行，如标注有“▲号”的服务内容则在竞标时必须满足；</w:t>
      </w:r>
    </w:p>
    <w:p w14:paraId="337EE0D8">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成交供应商在进行日常维护工作中，必须遵守相关安全法律法规，并确保安全，由于成交供应商原因造成的安全事件，成交供应商承担全部责任。</w:t>
      </w:r>
    </w:p>
    <w:p w14:paraId="51DCCEF8">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、售后服务：按国家有关规定执行“三包”并按学校要求派驻工作人员服务。 </w:t>
      </w:r>
    </w:p>
    <w:p w14:paraId="5A9B6530">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、付款方式：按学校实际使用的数量据实进行结算付款。</w:t>
      </w:r>
    </w:p>
    <w:p w14:paraId="1730378C">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供应商自觉接受我单位的监督和检查，如发现不按规定和标准执行的，我单位有权视情况扣除物业服务相关费用，供应商对此无异议。</w:t>
      </w:r>
    </w:p>
    <w:p w14:paraId="0A237256">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供应商委派驻场的工作人员必须按时到岗，全勤在岗，工作时佩戴工作牌。</w:t>
      </w:r>
    </w:p>
    <w:p w14:paraId="12338683">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请参与在线询价的供应商看清相关文件要求后再进行报价，如出现故意、恶意竞标者，我单位将上报相关部门并追究相应责任。</w:t>
      </w:r>
    </w:p>
    <w:p w14:paraId="474F558F">
      <w:pPr>
        <w:spacing w:line="240" w:lineRule="auto"/>
        <w:ind w:firstLine="5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供应商在进行报价响应时必须上传响应文件，响应文件中的报价必须与政采云系统报价一致，否则报价无效。</w:t>
      </w:r>
    </w:p>
    <w:p w14:paraId="5DFB6AD1">
      <w:pPr>
        <w:spacing w:line="240" w:lineRule="auto"/>
        <w:outlineLvl w:val="0"/>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五</w:t>
      </w:r>
      <w:r>
        <w:rPr>
          <w:rFonts w:hint="eastAsia" w:ascii="黑体" w:hAnsi="黑体" w:eastAsia="黑体" w:cs="黑体"/>
          <w:b/>
          <w:bCs/>
          <w:color w:val="auto"/>
          <w:sz w:val="32"/>
          <w:szCs w:val="32"/>
        </w:rPr>
        <w:t>、供应商在政采云系统内报价的同时须上传响应文件，包含但不限于以下内容：</w:t>
      </w:r>
    </w:p>
    <w:p w14:paraId="41C4758E">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b/>
          <w:bCs/>
          <w:color w:val="auto"/>
          <w:sz w:val="32"/>
          <w:szCs w:val="32"/>
        </w:rPr>
        <w:t>供应商有效的营业执照复印件</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（必须提供，经营范围包含物业管理，无相关经营范围视为无效）。</w:t>
      </w:r>
    </w:p>
    <w:p w14:paraId="2FC1A059">
      <w:pPr>
        <w:spacing w:line="24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rPr>
        <w:t>2024年</w:t>
      </w:r>
      <w:r>
        <w:rPr>
          <w:rFonts w:hint="eastAsia" w:ascii="仿宋_GB2312" w:hAnsi="仿宋_GB2312" w:eastAsia="仿宋_GB2312" w:cs="仿宋_GB2312"/>
          <w:b/>
          <w:bCs/>
          <w:color w:val="auto"/>
          <w:sz w:val="32"/>
          <w:szCs w:val="32"/>
          <w:lang w:eastAsia="zh-CN"/>
        </w:rPr>
        <w:t>或</w:t>
      </w:r>
      <w:r>
        <w:rPr>
          <w:rFonts w:hint="eastAsia" w:ascii="仿宋_GB2312" w:hAnsi="仿宋_GB2312" w:eastAsia="仿宋_GB2312" w:cs="仿宋_GB2312"/>
          <w:b/>
          <w:bCs/>
          <w:color w:val="auto"/>
          <w:sz w:val="32"/>
          <w:szCs w:val="32"/>
          <w:lang w:val="en-US" w:eastAsia="zh-CN"/>
        </w:rPr>
        <w:t>2025年</w:t>
      </w:r>
      <w:r>
        <w:rPr>
          <w:rFonts w:hint="eastAsia" w:ascii="仿宋_GB2312" w:hAnsi="仿宋_GB2312" w:eastAsia="仿宋_GB2312" w:cs="仿宋_GB2312"/>
          <w:b/>
          <w:bCs/>
          <w:color w:val="auto"/>
          <w:sz w:val="32"/>
          <w:szCs w:val="32"/>
        </w:rPr>
        <w:t>度</w:t>
      </w:r>
      <w:r>
        <w:rPr>
          <w:rFonts w:hint="eastAsia" w:ascii="仿宋_GB2312" w:hAnsi="仿宋_GB2312" w:eastAsia="仿宋_GB2312" w:cs="仿宋_GB2312"/>
          <w:b/>
          <w:bCs/>
          <w:color w:val="auto"/>
          <w:sz w:val="32"/>
          <w:szCs w:val="32"/>
          <w:lang w:eastAsia="zh-CN"/>
        </w:rPr>
        <w:t>财务报表</w:t>
      </w:r>
      <w:r>
        <w:rPr>
          <w:rFonts w:hint="eastAsia" w:ascii="仿宋_GB2312" w:hAnsi="仿宋_GB2312" w:eastAsia="仿宋_GB2312" w:cs="仿宋_GB2312"/>
          <w:b w:val="0"/>
          <w:bCs w:val="0"/>
          <w:color w:val="auto"/>
          <w:sz w:val="32"/>
          <w:szCs w:val="32"/>
          <w:lang w:eastAsia="zh-CN"/>
        </w:rPr>
        <w:t>：新成立单位据实提供，必须提供，需包含资产负债表、利润表，无报表视为无效）。</w:t>
      </w:r>
    </w:p>
    <w:p w14:paraId="1ED44CB1">
      <w:pPr>
        <w:spacing w:line="24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lang w:eastAsia="zh-CN"/>
        </w:rPr>
        <w:t>纳税证明：</w:t>
      </w:r>
      <w:r>
        <w:rPr>
          <w:rFonts w:hint="eastAsia" w:ascii="仿宋_GB2312" w:hAnsi="仿宋_GB2312" w:eastAsia="仿宋_GB2312" w:cs="仿宋_GB2312"/>
          <w:b w:val="0"/>
          <w:bCs w:val="0"/>
          <w:color w:val="auto"/>
          <w:sz w:val="32"/>
          <w:szCs w:val="32"/>
          <w:lang w:eastAsia="zh-CN"/>
        </w:rPr>
        <w:t>响应文件递交截止之日前半年内依法缴纳税费的证明复印件；无纳税记录的，需提供供应商所在地主管税务部门出具的《依法纳税或依法免税证明》复印件（必须提供，证明虚假视为无效）。</w:t>
      </w:r>
    </w:p>
    <w:p w14:paraId="3D8A506E">
      <w:pPr>
        <w:spacing w:line="24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lang w:eastAsia="zh-CN"/>
        </w:rPr>
        <w:t>社保缴纳证明：</w:t>
      </w:r>
      <w:r>
        <w:rPr>
          <w:rFonts w:hint="eastAsia" w:ascii="仿宋_GB2312" w:hAnsi="仿宋_GB2312" w:eastAsia="仿宋_GB2312" w:cs="仿宋_GB2312"/>
          <w:b w:val="0"/>
          <w:bCs w:val="0"/>
          <w:color w:val="auto"/>
          <w:sz w:val="32"/>
          <w:szCs w:val="32"/>
          <w:lang w:eastAsia="zh-CN"/>
        </w:rPr>
        <w:t>响应文件递交截止之日前半年内连续 3 个月依法缴纳社会保障资金的缴费凭证复印件；无缴费记录的，需提供供应商所在地社保部门出具的《依法免缴社保费证明》复印件（必须提供，需与投标单位一致，第三方代缴视为无效）。</w:t>
      </w:r>
    </w:p>
    <w:p w14:paraId="4DE0ABDB">
      <w:pPr>
        <w:spacing w:line="240" w:lineRule="auto"/>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lang w:eastAsia="zh-CN"/>
        </w:rPr>
        <w:t>类似项目业绩：</w:t>
      </w:r>
      <w:r>
        <w:rPr>
          <w:rFonts w:hint="eastAsia" w:ascii="仿宋_GB2312" w:hAnsi="仿宋_GB2312" w:eastAsia="仿宋_GB2312" w:cs="仿宋_GB2312"/>
          <w:b w:val="0"/>
          <w:bCs w:val="0"/>
          <w:color w:val="auto"/>
          <w:sz w:val="32"/>
          <w:szCs w:val="32"/>
          <w:lang w:eastAsia="zh-CN"/>
        </w:rPr>
        <w:t>近三年内完成过类似项目，且单个合同金额不低于</w:t>
      </w: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lang w:eastAsia="zh-CN"/>
        </w:rPr>
        <w:t>万元。</w:t>
      </w:r>
    </w:p>
    <w:p w14:paraId="00404342">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6</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rPr>
        <w:t>拟派驻服务人员名单及资料</w:t>
      </w:r>
      <w:r>
        <w:rPr>
          <w:rFonts w:hint="eastAsia" w:ascii="仿宋_GB2312" w:hAnsi="仿宋_GB2312" w:eastAsia="仿宋_GB2312" w:cs="仿宋_GB2312"/>
          <w:b/>
          <w:bCs/>
          <w:color w:val="auto"/>
          <w:sz w:val="32"/>
          <w:szCs w:val="32"/>
          <w:lang w:eastAsia="zh-CN"/>
        </w:rPr>
        <w:t>：</w:t>
      </w:r>
    </w:p>
    <w:p w14:paraId="49707615">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包括姓名、性别、出生日期、相关证书复印件及社保证明（必须提供，</w:t>
      </w:r>
      <w:r>
        <w:rPr>
          <w:rFonts w:hint="eastAsia" w:ascii="仿宋_GB2312" w:hAnsi="仿宋_GB2312" w:eastAsia="仿宋_GB2312" w:cs="仿宋_GB2312"/>
          <w:b w:val="0"/>
          <w:bCs w:val="0"/>
          <w:color w:val="auto"/>
          <w:sz w:val="32"/>
          <w:szCs w:val="32"/>
          <w:lang w:eastAsia="zh-CN"/>
        </w:rPr>
        <w:t>否则响应文件按无效响应处理</w:t>
      </w:r>
      <w:r>
        <w:rPr>
          <w:rFonts w:hint="eastAsia" w:ascii="仿宋_GB2312" w:hAnsi="仿宋_GB2312" w:eastAsia="仿宋_GB2312" w:cs="仿宋_GB2312"/>
          <w:b w:val="0"/>
          <w:bCs w:val="0"/>
          <w:color w:val="auto"/>
          <w:sz w:val="32"/>
          <w:szCs w:val="32"/>
        </w:rPr>
        <w:t>）。</w:t>
      </w:r>
    </w:p>
    <w:p w14:paraId="3375CD32">
      <w:pPr>
        <w:spacing w:line="24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w:t>
      </w:r>
      <w:r>
        <w:rPr>
          <w:rFonts w:hint="eastAsia" w:ascii="仿宋_GB2312" w:hAnsi="仿宋_GB2312" w:eastAsia="仿宋_GB2312" w:cs="仿宋_GB2312"/>
          <w:b/>
          <w:bCs/>
          <w:color w:val="auto"/>
          <w:sz w:val="32"/>
          <w:szCs w:val="32"/>
          <w:lang w:val="en-US" w:eastAsia="zh-CN"/>
        </w:rPr>
        <w:t>供应商服务响应、偏离情况表：</w:t>
      </w:r>
      <w:r>
        <w:rPr>
          <w:rFonts w:hint="eastAsia" w:ascii="仿宋_GB2312" w:hAnsi="仿宋_GB2312" w:eastAsia="仿宋_GB2312" w:cs="仿宋_GB2312"/>
          <w:b w:val="0"/>
          <w:bCs w:val="0"/>
          <w:color w:val="auto"/>
          <w:sz w:val="32"/>
          <w:szCs w:val="32"/>
        </w:rPr>
        <w:t>（格式自拟，注明响应偏离内容与说明，必须提供，未明确偏离或偏离核心需求视为未实质性响应）</w:t>
      </w:r>
      <w:r>
        <w:rPr>
          <w:rFonts w:hint="eastAsia" w:ascii="仿宋_GB2312" w:hAnsi="仿宋_GB2312" w:eastAsia="仿宋_GB2312" w:cs="仿宋_GB2312"/>
          <w:b w:val="0"/>
          <w:bCs w:val="0"/>
          <w:color w:val="auto"/>
          <w:sz w:val="32"/>
          <w:szCs w:val="32"/>
          <w:lang w:eastAsia="zh-CN"/>
        </w:rPr>
        <w:t>。</w:t>
      </w:r>
    </w:p>
    <w:p w14:paraId="67DA0F77">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8</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bCs/>
          <w:color w:val="auto"/>
          <w:sz w:val="32"/>
          <w:szCs w:val="32"/>
        </w:rPr>
        <w:t>无重大违法记录声明：</w:t>
      </w:r>
      <w:r>
        <w:rPr>
          <w:rFonts w:hint="eastAsia" w:ascii="仿宋_GB2312" w:hAnsi="仿宋_GB2312" w:eastAsia="仿宋_GB2312" w:cs="仿宋_GB2312"/>
          <w:b w:val="0"/>
          <w:bCs w:val="0"/>
          <w:color w:val="auto"/>
          <w:sz w:val="32"/>
          <w:szCs w:val="32"/>
        </w:rPr>
        <w:t>参加政府采购活动前三年内在经营活动中没有重大违法记录的书面声明。（格式自拟，必须提供，声明虚假视为无效）。</w:t>
      </w:r>
    </w:p>
    <w:p w14:paraId="12A62846">
      <w:pPr>
        <w:spacing w:line="24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w:t>
      </w:r>
      <w:r>
        <w:rPr>
          <w:rFonts w:hint="eastAsia" w:ascii="仿宋_GB2312" w:hAnsi="仿宋_GB2312" w:eastAsia="仿宋_GB2312" w:cs="仿宋_GB2312"/>
          <w:b/>
          <w:bCs/>
          <w:color w:val="auto"/>
          <w:sz w:val="32"/>
          <w:szCs w:val="32"/>
          <w:lang w:val="en-US" w:eastAsia="zh-CN"/>
        </w:rPr>
        <w:t>信用记录查询结果：</w:t>
      </w:r>
      <w:r>
        <w:rPr>
          <w:rFonts w:hint="eastAsia" w:ascii="仿宋_GB2312" w:hAnsi="仿宋_GB2312" w:eastAsia="仿宋_GB2312" w:cs="仿宋_GB2312"/>
          <w:b w:val="0"/>
          <w:bCs w:val="0"/>
          <w:color w:val="auto"/>
          <w:sz w:val="32"/>
          <w:szCs w:val="32"/>
          <w:lang w:val="en-US" w:eastAsia="zh-CN"/>
        </w:rPr>
        <w:t>提供响应文件递交截止日前 7 天内的以下平台查询结果（必须提供，有失信记录视为无效）：</w:t>
      </w:r>
    </w:p>
    <w:p w14:paraId="3D5ED1AA">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9.1“信用中国” 网站（https://www.creditchina.gov.cn/）：失信被执行人、重大税收违法案件当事人名单、政府采购严重违法失信行为记录名单。</w:t>
      </w:r>
    </w:p>
    <w:p w14:paraId="376B1452">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9.2“中国政府采购网”（http://www.ccgp.gov.cn/search/cr/）：政府采购严重违法失信行为记录名单。</w:t>
      </w:r>
    </w:p>
    <w:p w14:paraId="4FA6AA91">
      <w:pPr>
        <w:spacing w:line="240" w:lineRule="auto"/>
        <w:ind w:firstLine="640" w:firstLineChars="200"/>
        <w:jc w:val="left"/>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9.3“国家企业信用信息公示系统”https://shiming.gsxt.gov.cn/socialuser-use-rllogin.html）：行政处罚信息、经营异常名录、严重违法失信名单。</w:t>
      </w:r>
    </w:p>
    <w:p w14:paraId="34708D59">
      <w:pPr>
        <w:spacing w:line="240" w:lineRule="auto"/>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10.</w:t>
      </w:r>
      <w:r>
        <w:rPr>
          <w:rFonts w:hint="eastAsia" w:ascii="仿宋_GB2312" w:hAnsi="仿宋_GB2312" w:eastAsia="仿宋_GB2312" w:cs="仿宋_GB2312"/>
          <w:b/>
          <w:bCs/>
          <w:color w:val="auto"/>
          <w:sz w:val="32"/>
          <w:szCs w:val="32"/>
          <w:lang w:val="en-US" w:eastAsia="zh-CN"/>
        </w:rPr>
        <w:t>报价表：</w:t>
      </w:r>
      <w:r>
        <w:rPr>
          <w:rFonts w:hint="eastAsia" w:ascii="仿宋_GB2312" w:hAnsi="仿宋_GB2312" w:eastAsia="仿宋_GB2312" w:cs="仿宋_GB2312"/>
          <w:b w:val="0"/>
          <w:bCs w:val="0"/>
          <w:color w:val="auto"/>
          <w:sz w:val="32"/>
          <w:szCs w:val="32"/>
          <w:lang w:val="en-US" w:eastAsia="zh-CN"/>
        </w:rPr>
        <w:t>格式自拟，需明确单价、总价及各项费用构成（如社保、工具费等，必须提供，构成模糊视野的为无效）。</w:t>
      </w:r>
    </w:p>
    <w:p w14:paraId="2760DC5F">
      <w:pPr>
        <w:spacing w:line="240" w:lineRule="auto"/>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11</w:t>
      </w:r>
      <w:r>
        <w:rPr>
          <w:rFonts w:hint="eastAsia" w:ascii="仿宋_GB2312" w:hAnsi="仿宋_GB2312" w:eastAsia="仿宋_GB2312" w:cs="仿宋_GB2312"/>
          <w:b/>
          <w:bCs/>
          <w:color w:val="auto"/>
          <w:sz w:val="32"/>
          <w:szCs w:val="32"/>
        </w:rPr>
        <w:t>.供应商认为需要提供的其他文件</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（如服务方案、应急预案、工具采购合同模板等）</w:t>
      </w:r>
      <w:r>
        <w:rPr>
          <w:rFonts w:hint="eastAsia" w:ascii="仿宋_GB2312" w:hAnsi="仿宋_GB2312" w:eastAsia="仿宋_GB2312" w:cs="仿宋_GB2312"/>
          <w:b w:val="0"/>
          <w:bCs w:val="0"/>
          <w:color w:val="auto"/>
          <w:sz w:val="32"/>
          <w:szCs w:val="32"/>
        </w:rPr>
        <w:t>。</w:t>
      </w:r>
    </w:p>
    <w:p w14:paraId="3FC2A0F0">
      <w:pPr>
        <w:spacing w:line="240" w:lineRule="auto"/>
        <w:ind w:firstLine="640" w:firstLineChars="200"/>
        <w:rPr>
          <w:rFonts w:hint="eastAsia" w:ascii="微软雅黑" w:hAnsi="微软雅黑" w:eastAsia="微软雅黑" w:cs="微软雅黑"/>
          <w:b w:val="0"/>
          <w:bCs w:val="0"/>
          <w:color w:val="auto"/>
          <w:sz w:val="24"/>
          <w:szCs w:val="24"/>
        </w:rPr>
      </w:pPr>
      <w:r>
        <w:rPr>
          <w:rFonts w:hint="eastAsia" w:ascii="仿宋_GB2312" w:hAnsi="仿宋_GB2312" w:eastAsia="仿宋_GB2312" w:cs="仿宋_GB2312"/>
          <w:b w:val="0"/>
          <w:bCs w:val="0"/>
          <w:color w:val="auto"/>
          <w:sz w:val="32"/>
          <w:szCs w:val="32"/>
        </w:rPr>
        <w:t>注：响应文件需以 PDF 格式上传，内容清晰可见，加盖单位公章，否则竞标无效；</w:t>
      </w:r>
    </w:p>
    <w:p w14:paraId="080B932D">
      <w:pPr>
        <w:spacing w:line="240" w:lineRule="auto"/>
        <w:outlineLvl w:val="0"/>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eastAsia="zh-CN"/>
        </w:rPr>
        <w:t>六、成交规则</w:t>
      </w:r>
    </w:p>
    <w:p w14:paraId="1F787E1A">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640" w:firstLineChars="200"/>
        <w:jc w:val="left"/>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w:t>
      </w:r>
      <w:r>
        <w:rPr>
          <w:rFonts w:hint="eastAsia" w:ascii="仿宋_GB2312" w:hAnsi="仿宋_GB2312" w:eastAsia="仿宋_GB2312" w:cs="仿宋_GB2312"/>
          <w:b w:val="0"/>
          <w:bCs w:val="0"/>
          <w:color w:val="auto"/>
          <w:kern w:val="2"/>
          <w:sz w:val="32"/>
          <w:szCs w:val="32"/>
          <w:lang w:val="en-US" w:eastAsia="zh-CN" w:bidi="ar-SA"/>
        </w:rPr>
        <w:t>经对上传的响应文件比较，以全部条件完全响应本询价要求及单位采购需求原则且价格最低者确定成交供应商。</w:t>
      </w:r>
    </w:p>
    <w:p w14:paraId="13B91385">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640" w:firstLineChars="200"/>
        <w:jc w:val="left"/>
        <w:textAlignment w:val="baseline"/>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（二）本次报价如果第一候选人放弃后，以第二候选人入选递补，以此类推。</w:t>
      </w:r>
    </w:p>
    <w:p w14:paraId="679E3702">
      <w:pPr>
        <w:spacing w:line="360" w:lineRule="auto"/>
        <w:ind w:firstLine="54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（三）如只在政采云系统内报价，不提供响应文件或响应文件内容不全的，</w:t>
      </w:r>
      <w:r>
        <w:rPr>
          <w:rFonts w:hint="eastAsia" w:ascii="仿宋_GB2312" w:hAnsi="仿宋_GB2312" w:eastAsia="仿宋_GB2312" w:cs="仿宋_GB2312"/>
          <w:color w:val="auto"/>
          <w:kern w:val="2"/>
          <w:sz w:val="32"/>
          <w:szCs w:val="32"/>
          <w:lang w:val="en-US" w:eastAsia="zh-CN" w:bidi="ar-SA"/>
        </w:rPr>
        <w:t>且</w:t>
      </w:r>
      <w:r>
        <w:rPr>
          <w:rFonts w:hint="eastAsia" w:ascii="仿宋_GB2312" w:hAnsi="仿宋_GB2312" w:eastAsia="仿宋_GB2312" w:cs="仿宋_GB2312"/>
          <w:b/>
          <w:bCs/>
          <w:color w:val="auto"/>
          <w:sz w:val="32"/>
          <w:szCs w:val="32"/>
        </w:rPr>
        <w:t>响应文件中的报价必须与政采云系统报价一致，</w:t>
      </w:r>
      <w:r>
        <w:rPr>
          <w:rFonts w:hint="eastAsia" w:ascii="仿宋_GB2312" w:hAnsi="仿宋_GB2312" w:eastAsia="仿宋_GB2312" w:cs="仿宋_GB2312"/>
          <w:b/>
          <w:bCs/>
          <w:color w:val="auto"/>
          <w:sz w:val="32"/>
          <w:szCs w:val="32"/>
          <w:lang w:eastAsia="zh-CN"/>
        </w:rPr>
        <w:t>否则</w:t>
      </w:r>
      <w:r>
        <w:rPr>
          <w:rFonts w:hint="eastAsia" w:ascii="仿宋_GB2312" w:hAnsi="仿宋_GB2312" w:eastAsia="仿宋_GB2312" w:cs="仿宋_GB2312"/>
          <w:b/>
          <w:bCs/>
          <w:color w:val="auto"/>
          <w:kern w:val="2"/>
          <w:sz w:val="32"/>
          <w:szCs w:val="32"/>
          <w:lang w:val="en-US" w:eastAsia="zh-CN" w:bidi="ar-SA"/>
        </w:rPr>
        <w:t>我单位以无效投标处理</w:t>
      </w:r>
      <w:r>
        <w:rPr>
          <w:rFonts w:hint="eastAsia" w:ascii="仿宋_GB2312" w:hAnsi="仿宋_GB2312" w:eastAsia="仿宋_GB2312" w:cs="仿宋_GB2312"/>
          <w:color w:val="auto"/>
          <w:kern w:val="2"/>
          <w:sz w:val="32"/>
          <w:szCs w:val="32"/>
          <w:lang w:val="en-US" w:eastAsia="zh-CN" w:bidi="ar-SA"/>
        </w:rPr>
        <w:t>。</w:t>
      </w:r>
    </w:p>
    <w:p w14:paraId="4DA7AFF6">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w:t>
      </w:r>
      <w:r>
        <w:rPr>
          <w:rFonts w:hint="eastAsia" w:ascii="仿宋_GB2312" w:hAnsi="仿宋_GB2312" w:eastAsia="仿宋_GB2312" w:cs="仿宋_GB2312"/>
          <w:b/>
          <w:bCs/>
          <w:color w:val="auto"/>
          <w:kern w:val="2"/>
          <w:sz w:val="32"/>
          <w:szCs w:val="32"/>
          <w:lang w:val="en-US" w:eastAsia="zh-CN" w:bidi="ar-SA"/>
        </w:rPr>
        <w:t>无效投标情形</w:t>
      </w:r>
      <w:r>
        <w:rPr>
          <w:rFonts w:hint="eastAsia" w:ascii="仿宋_GB2312" w:hAnsi="仿宋_GB2312" w:eastAsia="仿宋_GB2312" w:cs="仿宋_GB2312"/>
          <w:color w:val="auto"/>
          <w:kern w:val="2"/>
          <w:sz w:val="32"/>
          <w:szCs w:val="32"/>
          <w:lang w:val="en-US" w:eastAsia="zh-CN" w:bidi="ar-SA"/>
        </w:rPr>
        <w:t>：</w:t>
      </w:r>
    </w:p>
    <w:p w14:paraId="6C481C9F">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1.未上传响应文件或响应文件内容不全（缺任意 1 项 “必须提供” 材料）；</w:t>
      </w:r>
    </w:p>
    <w:p w14:paraId="57853D55">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2.响应文件中的报价与政采云系统报价不一致；</w:t>
      </w:r>
    </w:p>
    <w:p w14:paraId="46C06721">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3.材料虚假（如证书伪造、业绩造假、社保代缴）；</w:t>
      </w:r>
    </w:p>
    <w:p w14:paraId="4DB2901F">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4.未实质性响应采购需求（如偏离核心服务标准、人员配置不达标）；</w:t>
      </w:r>
    </w:p>
    <w:p w14:paraId="02FC4B9F">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5.报价低于成本且无法提供合理说明（视为恶意低价）。</w:t>
      </w:r>
    </w:p>
    <w:p w14:paraId="31A8E61E">
      <w:pPr>
        <w:spacing w:line="240" w:lineRule="auto"/>
        <w:ind w:firstLine="640" w:firstLineChars="200"/>
        <w:rPr>
          <w:rFonts w:hint="eastAsia" w:ascii="仿宋_GB2312" w:hAnsi="仿宋_GB2312" w:eastAsia="仿宋_GB2312" w:cs="仿宋_GB2312"/>
          <w:color w:val="auto"/>
          <w:kern w:val="2"/>
          <w:sz w:val="32"/>
          <w:szCs w:val="32"/>
          <w:lang w:val="en-US" w:eastAsia="zh-CN" w:bidi="ar-SA"/>
        </w:rPr>
      </w:pPr>
    </w:p>
    <w:sectPr>
      <w:footerReference r:id="rId3" w:type="default"/>
      <w:pgSz w:w="11906" w:h="16838"/>
      <w:pgMar w:top="820" w:right="1049" w:bottom="678" w:left="13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42F9F4-1EC3-46CC-851F-E018BAF455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50CD65F8-40E0-486D-8203-895745405C8F}"/>
  </w:font>
  <w:font w:name="楷体">
    <w:panose1 w:val="02010609060101010101"/>
    <w:charset w:val="86"/>
    <w:family w:val="auto"/>
    <w:pitch w:val="default"/>
    <w:sig w:usb0="800002BF" w:usb1="38CF7CFA" w:usb2="00000016" w:usb3="00000000" w:csb0="00040001" w:csb1="00000000"/>
    <w:embedRegular r:id="rId3" w:fontKey="{307ACBA1-56BD-4A38-A700-C95F1EC75491}"/>
  </w:font>
  <w:font w:name="仿宋_GB2312">
    <w:panose1 w:val="02010609030101010101"/>
    <w:charset w:val="86"/>
    <w:family w:val="auto"/>
    <w:pitch w:val="default"/>
    <w:sig w:usb0="00000001" w:usb1="080E0000" w:usb2="00000000" w:usb3="00000000" w:csb0="00040000" w:csb1="00000000"/>
    <w:embedRegular r:id="rId4" w:fontKey="{E05CDF43-EF23-48DC-B198-35E317D5D753}"/>
  </w:font>
  <w:font w:name="微软雅黑">
    <w:panose1 w:val="020B0503020204020204"/>
    <w:charset w:val="86"/>
    <w:family w:val="auto"/>
    <w:pitch w:val="default"/>
    <w:sig w:usb0="80000287" w:usb1="280F3C52" w:usb2="00000016" w:usb3="00000000" w:csb0="0004001F" w:csb1="00000000"/>
    <w:embedRegular r:id="rId5" w:fontKey="{4BA82005-354A-4785-81A3-820D433F09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64C5E"/>
    <w:multiLevelType w:val="singleLevel"/>
    <w:tmpl w:val="9B864C5E"/>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18F38F6"/>
    <w:rsid w:val="02E367F0"/>
    <w:rsid w:val="0358051C"/>
    <w:rsid w:val="04E45813"/>
    <w:rsid w:val="050531F4"/>
    <w:rsid w:val="055E6E53"/>
    <w:rsid w:val="05790336"/>
    <w:rsid w:val="067E0BBE"/>
    <w:rsid w:val="0684105D"/>
    <w:rsid w:val="069C50F1"/>
    <w:rsid w:val="06A62718"/>
    <w:rsid w:val="06D417F5"/>
    <w:rsid w:val="072916E2"/>
    <w:rsid w:val="0734173C"/>
    <w:rsid w:val="074240D0"/>
    <w:rsid w:val="07442078"/>
    <w:rsid w:val="07EC6998"/>
    <w:rsid w:val="080953AA"/>
    <w:rsid w:val="08512C9F"/>
    <w:rsid w:val="08527E3E"/>
    <w:rsid w:val="092F1C11"/>
    <w:rsid w:val="095D32EB"/>
    <w:rsid w:val="09A03FC2"/>
    <w:rsid w:val="09C65540"/>
    <w:rsid w:val="09FC4E8C"/>
    <w:rsid w:val="0AA329E6"/>
    <w:rsid w:val="0C374AFD"/>
    <w:rsid w:val="0D044784"/>
    <w:rsid w:val="0D1B387B"/>
    <w:rsid w:val="0D570D57"/>
    <w:rsid w:val="0DE417ED"/>
    <w:rsid w:val="0E2010D7"/>
    <w:rsid w:val="0E2D3866"/>
    <w:rsid w:val="0E6401EF"/>
    <w:rsid w:val="0EEA668C"/>
    <w:rsid w:val="0EED0C8B"/>
    <w:rsid w:val="0EF4796D"/>
    <w:rsid w:val="0F655282"/>
    <w:rsid w:val="0FA423B1"/>
    <w:rsid w:val="0FBD54DC"/>
    <w:rsid w:val="10263327"/>
    <w:rsid w:val="10667F1C"/>
    <w:rsid w:val="10A20BE6"/>
    <w:rsid w:val="10F15EDF"/>
    <w:rsid w:val="11131E71"/>
    <w:rsid w:val="114F61E9"/>
    <w:rsid w:val="116577BB"/>
    <w:rsid w:val="1368553F"/>
    <w:rsid w:val="13CE1647"/>
    <w:rsid w:val="13DB3D64"/>
    <w:rsid w:val="146D0B1E"/>
    <w:rsid w:val="146D101F"/>
    <w:rsid w:val="14B9274B"/>
    <w:rsid w:val="167714C8"/>
    <w:rsid w:val="178B0D94"/>
    <w:rsid w:val="17957572"/>
    <w:rsid w:val="17AF0882"/>
    <w:rsid w:val="186A4132"/>
    <w:rsid w:val="18B85D9C"/>
    <w:rsid w:val="18BF5A03"/>
    <w:rsid w:val="18C179CD"/>
    <w:rsid w:val="1AC47579"/>
    <w:rsid w:val="1BCC3399"/>
    <w:rsid w:val="1C073A38"/>
    <w:rsid w:val="1C177F56"/>
    <w:rsid w:val="1C8138C9"/>
    <w:rsid w:val="1C8B5906"/>
    <w:rsid w:val="1E6D00FB"/>
    <w:rsid w:val="1F51312D"/>
    <w:rsid w:val="1FA60737"/>
    <w:rsid w:val="1FC956D4"/>
    <w:rsid w:val="204C78C3"/>
    <w:rsid w:val="209F6845"/>
    <w:rsid w:val="20B70241"/>
    <w:rsid w:val="20CE00EF"/>
    <w:rsid w:val="21140E9C"/>
    <w:rsid w:val="21B46321"/>
    <w:rsid w:val="22374563"/>
    <w:rsid w:val="25046AA6"/>
    <w:rsid w:val="25AD37B3"/>
    <w:rsid w:val="25E4609E"/>
    <w:rsid w:val="26286395"/>
    <w:rsid w:val="27F443D9"/>
    <w:rsid w:val="2879265E"/>
    <w:rsid w:val="28B65451"/>
    <w:rsid w:val="2905530D"/>
    <w:rsid w:val="296E7C07"/>
    <w:rsid w:val="299627B0"/>
    <w:rsid w:val="2B546836"/>
    <w:rsid w:val="2B98409C"/>
    <w:rsid w:val="2BA74026"/>
    <w:rsid w:val="2C792640"/>
    <w:rsid w:val="2D1934DC"/>
    <w:rsid w:val="2D460049"/>
    <w:rsid w:val="2E3C4CA4"/>
    <w:rsid w:val="2E5F1507"/>
    <w:rsid w:val="2ECB616D"/>
    <w:rsid w:val="30676426"/>
    <w:rsid w:val="30693E4C"/>
    <w:rsid w:val="30A661AC"/>
    <w:rsid w:val="30A77050"/>
    <w:rsid w:val="30FA44EA"/>
    <w:rsid w:val="31436B2B"/>
    <w:rsid w:val="32AE58F9"/>
    <w:rsid w:val="33010E09"/>
    <w:rsid w:val="338830BA"/>
    <w:rsid w:val="3504046E"/>
    <w:rsid w:val="3650100C"/>
    <w:rsid w:val="37C4498C"/>
    <w:rsid w:val="398919E9"/>
    <w:rsid w:val="3A234B2E"/>
    <w:rsid w:val="3BDD041B"/>
    <w:rsid w:val="3C793F97"/>
    <w:rsid w:val="3C7D748F"/>
    <w:rsid w:val="3CAA70B7"/>
    <w:rsid w:val="3CB1695D"/>
    <w:rsid w:val="3CC95186"/>
    <w:rsid w:val="3CD74F51"/>
    <w:rsid w:val="3D4972FF"/>
    <w:rsid w:val="3D583A9A"/>
    <w:rsid w:val="3D874491"/>
    <w:rsid w:val="3DB42DAD"/>
    <w:rsid w:val="3EC07EFC"/>
    <w:rsid w:val="3F924AAF"/>
    <w:rsid w:val="3F9C70A7"/>
    <w:rsid w:val="4171065E"/>
    <w:rsid w:val="42310E70"/>
    <w:rsid w:val="424566C9"/>
    <w:rsid w:val="42975AAB"/>
    <w:rsid w:val="429A3325"/>
    <w:rsid w:val="43882A36"/>
    <w:rsid w:val="44C602C6"/>
    <w:rsid w:val="44E60EA8"/>
    <w:rsid w:val="44FF3FBC"/>
    <w:rsid w:val="45441E26"/>
    <w:rsid w:val="460055F1"/>
    <w:rsid w:val="467852BF"/>
    <w:rsid w:val="46C74C15"/>
    <w:rsid w:val="46E26BDC"/>
    <w:rsid w:val="46EA2912"/>
    <w:rsid w:val="46F33F95"/>
    <w:rsid w:val="48D61225"/>
    <w:rsid w:val="48D93187"/>
    <w:rsid w:val="48EE64A5"/>
    <w:rsid w:val="49AE7168"/>
    <w:rsid w:val="4A1D0657"/>
    <w:rsid w:val="4A686E5C"/>
    <w:rsid w:val="4B0F6DC8"/>
    <w:rsid w:val="4B3F31DE"/>
    <w:rsid w:val="4CDF5288"/>
    <w:rsid w:val="4CE44376"/>
    <w:rsid w:val="4D2A1D88"/>
    <w:rsid w:val="4DE120BE"/>
    <w:rsid w:val="4F040F35"/>
    <w:rsid w:val="4F102BE2"/>
    <w:rsid w:val="4F423342"/>
    <w:rsid w:val="4F773CEF"/>
    <w:rsid w:val="4FEC4A28"/>
    <w:rsid w:val="508433D5"/>
    <w:rsid w:val="50DA74C8"/>
    <w:rsid w:val="50DE21C3"/>
    <w:rsid w:val="521417A5"/>
    <w:rsid w:val="522B4F1F"/>
    <w:rsid w:val="53397B4D"/>
    <w:rsid w:val="549F28CA"/>
    <w:rsid w:val="54E23EFE"/>
    <w:rsid w:val="551E7032"/>
    <w:rsid w:val="5577614A"/>
    <w:rsid w:val="564D27D5"/>
    <w:rsid w:val="569864A3"/>
    <w:rsid w:val="57823F3E"/>
    <w:rsid w:val="5783023E"/>
    <w:rsid w:val="59814221"/>
    <w:rsid w:val="59831B59"/>
    <w:rsid w:val="599315A9"/>
    <w:rsid w:val="5A0A0C84"/>
    <w:rsid w:val="5A3F751D"/>
    <w:rsid w:val="5A6976FE"/>
    <w:rsid w:val="5BA320C9"/>
    <w:rsid w:val="5BDB3ECE"/>
    <w:rsid w:val="5C2B343C"/>
    <w:rsid w:val="5CE609FA"/>
    <w:rsid w:val="5DDA0D3B"/>
    <w:rsid w:val="5E1875E1"/>
    <w:rsid w:val="5EB50A07"/>
    <w:rsid w:val="6002296F"/>
    <w:rsid w:val="60125EE4"/>
    <w:rsid w:val="6184058B"/>
    <w:rsid w:val="619B3170"/>
    <w:rsid w:val="62DE0FD8"/>
    <w:rsid w:val="62F0539E"/>
    <w:rsid w:val="632830D8"/>
    <w:rsid w:val="64835103"/>
    <w:rsid w:val="64B13A1E"/>
    <w:rsid w:val="6545060B"/>
    <w:rsid w:val="65725B42"/>
    <w:rsid w:val="659571A1"/>
    <w:rsid w:val="65B45650"/>
    <w:rsid w:val="663821E0"/>
    <w:rsid w:val="664A7F53"/>
    <w:rsid w:val="67A4673A"/>
    <w:rsid w:val="67EC2FBF"/>
    <w:rsid w:val="689F24AF"/>
    <w:rsid w:val="68C0675C"/>
    <w:rsid w:val="68E11616"/>
    <w:rsid w:val="69730251"/>
    <w:rsid w:val="697C017F"/>
    <w:rsid w:val="6A51271E"/>
    <w:rsid w:val="6A907BF0"/>
    <w:rsid w:val="6ACD38A3"/>
    <w:rsid w:val="6B071A62"/>
    <w:rsid w:val="6B1E5B3E"/>
    <w:rsid w:val="6B3709F5"/>
    <w:rsid w:val="6B382D3A"/>
    <w:rsid w:val="6B6F54F9"/>
    <w:rsid w:val="6B714F89"/>
    <w:rsid w:val="6BA741A6"/>
    <w:rsid w:val="6CC56A5C"/>
    <w:rsid w:val="6D046757"/>
    <w:rsid w:val="6D100D4B"/>
    <w:rsid w:val="6DB23EDA"/>
    <w:rsid w:val="6F2B4B68"/>
    <w:rsid w:val="6FC80BA5"/>
    <w:rsid w:val="6FD956D8"/>
    <w:rsid w:val="705C33D8"/>
    <w:rsid w:val="708F2934"/>
    <w:rsid w:val="71102E1C"/>
    <w:rsid w:val="713C4FB8"/>
    <w:rsid w:val="71DB0960"/>
    <w:rsid w:val="71FA376F"/>
    <w:rsid w:val="725D7191"/>
    <w:rsid w:val="729C7FB4"/>
    <w:rsid w:val="73637E23"/>
    <w:rsid w:val="736F3422"/>
    <w:rsid w:val="74EC6D7E"/>
    <w:rsid w:val="76214543"/>
    <w:rsid w:val="764F3097"/>
    <w:rsid w:val="76674885"/>
    <w:rsid w:val="76AA29C3"/>
    <w:rsid w:val="77775ED1"/>
    <w:rsid w:val="77B419E0"/>
    <w:rsid w:val="79393B8B"/>
    <w:rsid w:val="7B3E36DA"/>
    <w:rsid w:val="7B5C3AC4"/>
    <w:rsid w:val="7D9F5ED3"/>
    <w:rsid w:val="7DD71AD1"/>
    <w:rsid w:val="7EEA1BAF"/>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qFormat/>
    <w:uiPriority w:val="0"/>
    <w:pPr>
      <w:ind w:firstLine="420" w:firstLineChars="100"/>
    </w:pPr>
  </w:style>
  <w:style w:type="character" w:styleId="13">
    <w:name w:val="Strong"/>
    <w:basedOn w:val="12"/>
    <w:qFormat/>
    <w:uiPriority w:val="0"/>
    <w:rPr>
      <w:b/>
    </w:rPr>
  </w:style>
  <w:style w:type="character" w:styleId="14">
    <w:name w:val="Hyperlink"/>
    <w:autoRedefine/>
    <w:qFormat/>
    <w:uiPriority w:val="0"/>
    <w:rPr>
      <w:color w:val="0000FF"/>
      <w:u w:val="single"/>
    </w:rPr>
  </w:style>
  <w:style w:type="character" w:customStyle="1" w:styleId="15">
    <w:name w:val="font11"/>
    <w:basedOn w:val="12"/>
    <w:autoRedefine/>
    <w:qFormat/>
    <w:uiPriority w:val="0"/>
    <w:rPr>
      <w:rFonts w:hint="eastAsia" w:ascii="宋体" w:hAnsi="宋体" w:eastAsia="宋体" w:cs="宋体"/>
      <w:b/>
      <w:bCs/>
      <w:color w:val="000000"/>
      <w:sz w:val="20"/>
      <w:szCs w:val="20"/>
      <w:u w:val="none"/>
    </w:rPr>
  </w:style>
  <w:style w:type="character" w:customStyle="1" w:styleId="16">
    <w:name w:val="font31"/>
    <w:basedOn w:val="12"/>
    <w:autoRedefine/>
    <w:qFormat/>
    <w:uiPriority w:val="0"/>
    <w:rPr>
      <w:rFonts w:hint="eastAsia" w:ascii="宋体" w:hAnsi="宋体" w:eastAsia="宋体" w:cs="宋体"/>
      <w:color w:val="000000"/>
      <w:sz w:val="22"/>
      <w:szCs w:val="22"/>
      <w:u w:val="none"/>
    </w:rPr>
  </w:style>
  <w:style w:type="paragraph" w:customStyle="1" w:styleId="17">
    <w:name w:val="Table Text"/>
    <w:basedOn w:val="1"/>
    <w:semiHidden/>
    <w:qFormat/>
    <w:uiPriority w:val="0"/>
    <w:rPr>
      <w:rFonts w:ascii="宋体" w:hAnsi="宋体" w:eastAsia="宋体" w:cs="宋体"/>
      <w:sz w:val="24"/>
      <w:szCs w:val="24"/>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4150</Words>
  <Characters>4337</Characters>
  <Lines>0</Lines>
  <Paragraphs>0</Paragraphs>
  <TotalTime>90</TotalTime>
  <ScaleCrop>false</ScaleCrop>
  <LinksUpToDate>false</LinksUpToDate>
  <CharactersWithSpaces>4369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大哥</cp:lastModifiedBy>
  <dcterms:modified xsi:type="dcterms:W3CDTF">2026-05-25T01:53:09Z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8ED5AB6CCA6D41DB92FED3A740D0D36C_11</vt:lpwstr>
  </property>
  <property fmtid="{D5CDD505-2E9C-101B-9397-08002B2CF9AE}" pid="4" name="KSOTemplateDocerSaveRecord">
    <vt:lpwstr>eyJoZGlkIjoiMzRjNjEwMDE3YjY0OGM2MzU5NjY4OTM3MjAyMGNlNzAiLCJ1c2VySWQiOiIzODc4NjEyODkifQ==</vt:lpwstr>
  </property>
</Properties>
</file>