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A6462">
      <w:pPr>
        <w:pStyle w:val="3"/>
        <w:wordWrap w:val="0"/>
        <w:spacing w:before="100" w:beforeAutospacing="1" w:after="100" w:afterAutospacing="1" w:line="240" w:lineRule="auto"/>
        <w:jc w:val="center"/>
        <w:rPr>
          <w:rFonts w:ascii="宋体" w:hAnsi="宋体" w:cs="宋体"/>
        </w:rPr>
      </w:pPr>
      <w:bookmarkStart w:id="0" w:name="_Toc27606"/>
      <w:r>
        <w:rPr>
          <w:rFonts w:hint="eastAsia" w:ascii="宋体" w:hAnsi="宋体" w:cs="宋体"/>
        </w:rPr>
        <w:t xml:space="preserve"> 采购需求</w:t>
      </w:r>
      <w:bookmarkEnd w:id="0"/>
    </w:p>
    <w:p w14:paraId="0F3D140E">
      <w:pPr>
        <w:wordWrap w:val="0"/>
        <w:jc w:val="center"/>
        <w:rPr>
          <w:rFonts w:ascii="宋体" w:hAnsi="宋体" w:cs="宋体"/>
          <w:b/>
          <w:bCs/>
          <w:szCs w:val="21"/>
        </w:rPr>
      </w:pPr>
      <w:r>
        <w:rPr>
          <w:rFonts w:hint="eastAsia" w:ascii="宋体" w:hAnsi="宋体" w:cs="宋体"/>
          <w:b/>
          <w:sz w:val="32"/>
          <w:szCs w:val="32"/>
        </w:rPr>
        <w:t>采购项目技术规格、参数及要求</w:t>
      </w:r>
    </w:p>
    <w:p w14:paraId="5D8A7A75">
      <w:pPr>
        <w:wordWrap w:val="0"/>
        <w:spacing w:line="440" w:lineRule="exact"/>
        <w:jc w:val="left"/>
        <w:rPr>
          <w:rFonts w:ascii="宋体" w:hAnsi="宋体" w:cs="宋体"/>
          <w:szCs w:val="21"/>
        </w:rPr>
      </w:pPr>
      <w:r>
        <w:rPr>
          <w:rFonts w:hint="eastAsia" w:ascii="宋体" w:hAnsi="宋体" w:cs="宋体"/>
          <w:b/>
          <w:bCs/>
          <w:szCs w:val="21"/>
        </w:rPr>
        <w:t>说明</w:t>
      </w:r>
      <w:r>
        <w:rPr>
          <w:rFonts w:hint="eastAsia" w:ascii="宋体" w:hAnsi="宋体" w:cs="宋体"/>
          <w:szCs w:val="21"/>
        </w:rPr>
        <w:t>：</w:t>
      </w:r>
    </w:p>
    <w:p w14:paraId="20E0D5D9">
      <w:pPr>
        <w:wordWrap w:val="0"/>
        <w:spacing w:line="440" w:lineRule="exact"/>
        <w:ind w:firstLine="424" w:firstLineChars="202"/>
        <w:jc w:val="left"/>
        <w:rPr>
          <w:rFonts w:ascii="宋体" w:hAnsi="宋体" w:cs="宋体"/>
          <w:szCs w:val="21"/>
        </w:rPr>
      </w:pPr>
      <w:r>
        <w:rPr>
          <w:rFonts w:hint="eastAsia" w:ascii="宋体" w:hAnsi="宋体" w:cs="宋体"/>
          <w:szCs w:val="21"/>
        </w:rPr>
        <w:t>1.“实质性要求”是指采购需求中带“▲”的条款或者不能负偏离的条款或者已经指明不满足</w:t>
      </w:r>
      <w:r>
        <w:rPr>
          <w:rFonts w:hint="eastAsia" w:ascii="宋体" w:hAnsi="宋体" w:cs="宋体"/>
          <w:b/>
          <w:bCs/>
          <w:szCs w:val="21"/>
        </w:rPr>
        <w:t>按响应文件按无效处理的条款</w:t>
      </w:r>
      <w:r>
        <w:rPr>
          <w:rFonts w:hint="eastAsia" w:ascii="宋体" w:hAnsi="宋体" w:cs="宋体"/>
          <w:szCs w:val="21"/>
        </w:rPr>
        <w:t>。</w:t>
      </w:r>
    </w:p>
    <w:p w14:paraId="22E110D3">
      <w:pPr>
        <w:wordWrap w:val="0"/>
        <w:spacing w:line="440" w:lineRule="exact"/>
        <w:ind w:firstLine="424" w:firstLineChars="202"/>
        <w:jc w:val="left"/>
        <w:rPr>
          <w:rFonts w:ascii="宋体" w:hAnsi="宋体" w:cs="宋体"/>
          <w:szCs w:val="21"/>
        </w:rPr>
      </w:pPr>
      <w:r>
        <w:rPr>
          <w:rFonts w:hint="eastAsia" w:ascii="宋体" w:hAnsi="宋体" w:cs="宋体"/>
          <w:szCs w:val="21"/>
        </w:rPr>
        <w:t>2.采购需求中出现的品牌、型号或者生产供应商仅起参考作用，不属于指定品牌、型号或者生产供应商的情形。供应商可参照或者选用其他相当的品牌、型号或者生产供应商替代。</w:t>
      </w:r>
    </w:p>
    <w:p w14:paraId="3319B33B">
      <w:pPr>
        <w:wordWrap w:val="0"/>
        <w:spacing w:line="440" w:lineRule="exact"/>
        <w:ind w:firstLine="424" w:firstLineChars="202"/>
        <w:jc w:val="left"/>
        <w:rPr>
          <w:rFonts w:ascii="宋体" w:hAnsi="宋体" w:cs="宋体"/>
          <w:szCs w:val="21"/>
        </w:rPr>
      </w:pPr>
      <w:r>
        <w:rPr>
          <w:rFonts w:hint="eastAsia" w:ascii="宋体" w:hAnsi="宋体" w:cs="宋体"/>
          <w:szCs w:val="21"/>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2DE445A2">
      <w:pPr>
        <w:wordWrap w:val="0"/>
        <w:spacing w:line="440" w:lineRule="exact"/>
        <w:ind w:firstLine="424" w:firstLineChars="202"/>
        <w:jc w:val="left"/>
        <w:rPr>
          <w:rFonts w:ascii="宋体" w:hAnsi="宋体" w:cs="宋体"/>
          <w:szCs w:val="21"/>
        </w:rPr>
      </w:pPr>
      <w:r>
        <w:rPr>
          <w:rFonts w:hint="eastAsia" w:ascii="宋体" w:hAnsi="宋体" w:cs="宋体"/>
          <w:szCs w:val="21"/>
        </w:rPr>
        <w:t>4.供应商必须自行为其竞标产品侵犯他人的知识产权或者专利成果的行为承担相应法律责任。</w:t>
      </w:r>
    </w:p>
    <w:p w14:paraId="053C88D1">
      <w:pPr>
        <w:wordWrap w:val="0"/>
        <w:spacing w:line="440" w:lineRule="exact"/>
        <w:ind w:firstLine="424" w:firstLineChars="202"/>
        <w:jc w:val="left"/>
        <w:rPr>
          <w:rFonts w:ascii="宋体" w:hAnsi="宋体" w:cs="宋体"/>
          <w:szCs w:val="21"/>
        </w:rPr>
      </w:pPr>
      <w:r>
        <w:rPr>
          <w:rFonts w:hint="eastAsia" w:ascii="宋体" w:hAnsi="宋体" w:cs="宋体"/>
          <w:szCs w:val="21"/>
        </w:rPr>
        <w:t>5.采购需求中标注</w:t>
      </w:r>
      <w:r>
        <w:rPr>
          <w:rFonts w:hint="eastAsia" w:ascii="宋体" w:hAnsi="宋体" w:cs="宋体"/>
          <w:b/>
          <w:bCs/>
          <w:szCs w:val="21"/>
        </w:rPr>
        <w:t>“</w:t>
      </w:r>
      <w:r>
        <w:rPr>
          <w:rFonts w:hint="eastAsia" w:ascii="宋体" w:hAnsi="宋体" w:cs="宋体"/>
          <w:b/>
          <w:bCs/>
          <w:szCs w:val="21"/>
          <w:lang w:val="zh-CN"/>
        </w:rPr>
        <w:t>※</w:t>
      </w:r>
      <w:r>
        <w:rPr>
          <w:rFonts w:hint="eastAsia" w:ascii="宋体" w:hAnsi="宋体" w:cs="宋体"/>
          <w:b/>
          <w:bCs/>
          <w:szCs w:val="21"/>
        </w:rPr>
        <w:t>”</w:t>
      </w:r>
      <w:r>
        <w:rPr>
          <w:rFonts w:hint="eastAsia" w:ascii="宋体" w:hAnsi="宋体" w:cs="宋体"/>
          <w:szCs w:val="21"/>
        </w:rPr>
        <w:t>项的技术要求为重要技术参数。</w:t>
      </w:r>
    </w:p>
    <w:p w14:paraId="00341B91">
      <w:pPr>
        <w:wordWrap w:val="0"/>
        <w:spacing w:line="440" w:lineRule="exact"/>
        <w:ind w:firstLine="426" w:firstLineChars="202"/>
        <w:jc w:val="left"/>
        <w:rPr>
          <w:rFonts w:ascii="宋体" w:hAnsi="宋体" w:cs="宋体"/>
          <w:b/>
          <w:bCs/>
          <w:szCs w:val="21"/>
        </w:rPr>
      </w:pPr>
      <w:r>
        <w:rPr>
          <w:rFonts w:hint="eastAsia" w:ascii="宋体" w:hAnsi="宋体" w:cs="宋体"/>
          <w:b/>
          <w:bCs/>
          <w:szCs w:val="21"/>
        </w:rPr>
        <w:t>6.采购预算（元）：</w:t>
      </w:r>
      <w:r>
        <w:rPr>
          <w:rFonts w:hint="eastAsia" w:ascii="宋体" w:hAnsi="宋体" w:cs="宋体"/>
          <w:b/>
          <w:bCs/>
          <w:szCs w:val="21"/>
          <w:u w:val="single"/>
        </w:rPr>
        <w:t>31</w:t>
      </w:r>
      <w:r>
        <w:rPr>
          <w:rFonts w:hint="eastAsia" w:ascii="宋体" w:hAnsi="宋体" w:cs="宋体"/>
          <w:b/>
          <w:bCs/>
          <w:szCs w:val="21"/>
          <w:u w:val="single"/>
          <w:lang w:val="en-US" w:eastAsia="zh-CN"/>
        </w:rPr>
        <w:t>4</w:t>
      </w:r>
      <w:r>
        <w:rPr>
          <w:rFonts w:hint="eastAsia" w:ascii="宋体" w:hAnsi="宋体" w:cs="宋体"/>
          <w:b/>
          <w:bCs/>
          <w:szCs w:val="21"/>
          <w:u w:val="single"/>
        </w:rPr>
        <w:t>800.00</w:t>
      </w:r>
      <w:r>
        <w:rPr>
          <w:rFonts w:hint="eastAsia" w:ascii="宋体" w:hAnsi="宋体" w:cs="宋体"/>
          <w:b/>
          <w:bCs/>
          <w:szCs w:val="21"/>
        </w:rPr>
        <w:t>。</w:t>
      </w:r>
    </w:p>
    <w:tbl>
      <w:tblPr>
        <w:tblStyle w:val="6"/>
        <w:tblW w:w="98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3"/>
        <w:gridCol w:w="889"/>
        <w:gridCol w:w="205"/>
        <w:gridCol w:w="706"/>
        <w:gridCol w:w="6184"/>
        <w:gridCol w:w="1226"/>
      </w:tblGrid>
      <w:tr w14:paraId="448DE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9853" w:type="dxa"/>
            <w:gridSpan w:val="6"/>
            <w:tcBorders>
              <w:top w:val="single" w:color="000000" w:sz="4" w:space="0"/>
              <w:left w:val="single" w:color="000000" w:sz="4" w:space="0"/>
              <w:bottom w:val="single" w:color="000000" w:sz="4" w:space="0"/>
              <w:right w:val="single" w:color="000000" w:sz="4" w:space="0"/>
            </w:tcBorders>
            <w:vAlign w:val="center"/>
          </w:tcPr>
          <w:p w14:paraId="3E9A0A91">
            <w:pPr>
              <w:tabs>
                <w:tab w:val="left" w:pos="180"/>
                <w:tab w:val="left" w:pos="1620"/>
              </w:tabs>
              <w:wordWrap w:val="0"/>
              <w:spacing w:line="360" w:lineRule="auto"/>
              <w:jc w:val="left"/>
              <w:rPr>
                <w:rFonts w:ascii="宋体" w:hAnsi="宋体" w:cs="宋体"/>
                <w:b/>
                <w:sz w:val="22"/>
                <w:szCs w:val="22"/>
              </w:rPr>
            </w:pPr>
            <w:bookmarkStart w:id="1" w:name="_Hlk48036094"/>
            <w:r>
              <w:rPr>
                <w:rFonts w:hint="eastAsia" w:ascii="宋体" w:hAnsi="宋体" w:cs="宋体"/>
                <w:b/>
                <w:sz w:val="22"/>
                <w:szCs w:val="22"/>
              </w:rPr>
              <w:t>一、技术要求</w:t>
            </w:r>
          </w:p>
        </w:tc>
      </w:tr>
      <w:tr w14:paraId="60F3B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9" w:hRule="atLeast"/>
          <w:jc w:val="center"/>
        </w:trPr>
        <w:tc>
          <w:tcPr>
            <w:tcW w:w="643" w:type="dxa"/>
            <w:tcBorders>
              <w:top w:val="single" w:color="000000" w:sz="4" w:space="0"/>
              <w:left w:val="single" w:color="000000" w:sz="4" w:space="0"/>
              <w:bottom w:val="single" w:color="000000" w:sz="4" w:space="0"/>
              <w:right w:val="single" w:color="000000" w:sz="4" w:space="0"/>
            </w:tcBorders>
            <w:vAlign w:val="center"/>
          </w:tcPr>
          <w:p w14:paraId="2B3165AF">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序号</w:t>
            </w:r>
          </w:p>
        </w:tc>
        <w:tc>
          <w:tcPr>
            <w:tcW w:w="889" w:type="dxa"/>
            <w:tcBorders>
              <w:top w:val="single" w:color="000000" w:sz="4" w:space="0"/>
              <w:left w:val="single" w:color="000000" w:sz="4" w:space="0"/>
              <w:bottom w:val="single" w:color="000000" w:sz="4" w:space="0"/>
              <w:right w:val="single" w:color="000000" w:sz="4" w:space="0"/>
            </w:tcBorders>
            <w:vAlign w:val="center"/>
          </w:tcPr>
          <w:p w14:paraId="197E6952">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申购设备名称</w:t>
            </w:r>
          </w:p>
        </w:tc>
        <w:tc>
          <w:tcPr>
            <w:tcW w:w="911" w:type="dxa"/>
            <w:gridSpan w:val="2"/>
            <w:tcBorders>
              <w:top w:val="single" w:color="000000" w:sz="4" w:space="0"/>
              <w:left w:val="single" w:color="000000" w:sz="4" w:space="0"/>
              <w:bottom w:val="single" w:color="000000" w:sz="4" w:space="0"/>
              <w:right w:val="single" w:color="auto" w:sz="4" w:space="0"/>
            </w:tcBorders>
            <w:vAlign w:val="center"/>
          </w:tcPr>
          <w:p w14:paraId="770764AD">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数量及单位</w:t>
            </w:r>
          </w:p>
        </w:tc>
        <w:tc>
          <w:tcPr>
            <w:tcW w:w="6184" w:type="dxa"/>
            <w:tcBorders>
              <w:top w:val="single" w:color="000000" w:sz="4" w:space="0"/>
              <w:left w:val="single" w:color="auto" w:sz="4" w:space="0"/>
              <w:bottom w:val="single" w:color="000000" w:sz="4" w:space="0"/>
              <w:right w:val="single" w:color="auto" w:sz="4" w:space="0"/>
            </w:tcBorders>
            <w:vAlign w:val="center"/>
          </w:tcPr>
          <w:p w14:paraId="54070E87">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技术要求</w:t>
            </w:r>
          </w:p>
        </w:tc>
        <w:tc>
          <w:tcPr>
            <w:tcW w:w="1226" w:type="dxa"/>
            <w:tcBorders>
              <w:top w:val="single" w:color="000000" w:sz="4" w:space="0"/>
              <w:left w:val="single" w:color="auto" w:sz="4" w:space="0"/>
              <w:bottom w:val="single" w:color="000000" w:sz="4" w:space="0"/>
              <w:right w:val="single" w:color="000000" w:sz="4" w:space="0"/>
            </w:tcBorders>
            <w:vAlign w:val="center"/>
          </w:tcPr>
          <w:p w14:paraId="1FDD38A1">
            <w:pPr>
              <w:tabs>
                <w:tab w:val="left" w:pos="180"/>
                <w:tab w:val="left" w:pos="1620"/>
              </w:tabs>
              <w:wordWrap w:val="0"/>
              <w:rPr>
                <w:rFonts w:ascii="宋体" w:hAnsi="宋体" w:cs="宋体"/>
                <w:b/>
                <w:sz w:val="22"/>
                <w:szCs w:val="22"/>
              </w:rPr>
            </w:pPr>
            <w:r>
              <w:rPr>
                <w:rFonts w:hint="eastAsia" w:ascii="宋体" w:hAnsi="宋体" w:cs="宋体"/>
                <w:b/>
                <w:sz w:val="22"/>
                <w:szCs w:val="22"/>
              </w:rPr>
              <w:t>预算单价 （元）</w:t>
            </w:r>
          </w:p>
        </w:tc>
      </w:tr>
      <w:tr w14:paraId="27F7D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9" w:hRule="atLeast"/>
          <w:jc w:val="center"/>
        </w:trPr>
        <w:tc>
          <w:tcPr>
            <w:tcW w:w="643" w:type="dxa"/>
            <w:tcBorders>
              <w:top w:val="single" w:color="000000" w:sz="4" w:space="0"/>
              <w:left w:val="single" w:color="000000" w:sz="4" w:space="0"/>
              <w:bottom w:val="single" w:color="000000" w:sz="4" w:space="0"/>
              <w:right w:val="single" w:color="000000" w:sz="4" w:space="0"/>
            </w:tcBorders>
            <w:vAlign w:val="center"/>
          </w:tcPr>
          <w:p w14:paraId="3003372B">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1</w:t>
            </w:r>
          </w:p>
        </w:tc>
        <w:tc>
          <w:tcPr>
            <w:tcW w:w="889" w:type="dxa"/>
            <w:tcBorders>
              <w:top w:val="single" w:color="000000" w:sz="4" w:space="0"/>
              <w:left w:val="single" w:color="000000" w:sz="4" w:space="0"/>
              <w:bottom w:val="single" w:color="000000" w:sz="4" w:space="0"/>
              <w:right w:val="single" w:color="000000" w:sz="4" w:space="0"/>
            </w:tcBorders>
            <w:vAlign w:val="center"/>
          </w:tcPr>
          <w:p w14:paraId="7636A611">
            <w:pPr>
              <w:tabs>
                <w:tab w:val="left" w:pos="180"/>
                <w:tab w:val="left" w:pos="1620"/>
              </w:tabs>
              <w:wordWrap w:val="0"/>
              <w:jc w:val="center"/>
              <w:rPr>
                <w:rFonts w:ascii="宋体" w:hAnsi="宋体" w:cs="宋体"/>
                <w:b/>
                <w:sz w:val="22"/>
                <w:szCs w:val="22"/>
              </w:rPr>
            </w:pPr>
            <w:r>
              <w:rPr>
                <w:rFonts w:hint="eastAsia" w:ascii="宋体" w:hAnsi="宋体" w:cs="宋体"/>
                <w:b/>
                <w:sz w:val="22"/>
                <w:szCs w:val="22"/>
              </w:rPr>
              <w:t>电梯</w:t>
            </w:r>
          </w:p>
        </w:tc>
        <w:tc>
          <w:tcPr>
            <w:tcW w:w="911" w:type="dxa"/>
            <w:gridSpan w:val="2"/>
            <w:tcBorders>
              <w:top w:val="single" w:color="000000" w:sz="4" w:space="0"/>
              <w:left w:val="single" w:color="000000" w:sz="4" w:space="0"/>
              <w:bottom w:val="single" w:color="000000" w:sz="4" w:space="0"/>
              <w:right w:val="single" w:color="auto" w:sz="4" w:space="0"/>
            </w:tcBorders>
            <w:vAlign w:val="center"/>
          </w:tcPr>
          <w:p w14:paraId="251C9EA6">
            <w:pPr>
              <w:tabs>
                <w:tab w:val="left" w:pos="180"/>
                <w:tab w:val="left" w:pos="1620"/>
              </w:tabs>
              <w:wordWrap w:val="0"/>
              <w:jc w:val="center"/>
              <w:rPr>
                <w:rFonts w:ascii="宋体" w:hAnsi="宋体" w:cs="宋体"/>
                <w:b/>
                <w:sz w:val="22"/>
                <w:szCs w:val="22"/>
              </w:rPr>
            </w:pPr>
            <w:r>
              <w:rPr>
                <w:rFonts w:hint="eastAsia" w:ascii="宋体" w:hAnsi="宋体" w:cs="宋体"/>
                <w:sz w:val="22"/>
                <w:szCs w:val="22"/>
              </w:rPr>
              <w:t>1台</w:t>
            </w:r>
          </w:p>
        </w:tc>
        <w:tc>
          <w:tcPr>
            <w:tcW w:w="6184" w:type="dxa"/>
            <w:tcBorders>
              <w:top w:val="single" w:color="000000" w:sz="4" w:space="0"/>
              <w:left w:val="single" w:color="auto" w:sz="4" w:space="0"/>
              <w:bottom w:val="single" w:color="000000" w:sz="4" w:space="0"/>
              <w:right w:val="single" w:color="auto" w:sz="4" w:space="0"/>
            </w:tcBorders>
            <w:shd w:val="clear" w:color="auto" w:fill="auto"/>
            <w:vAlign w:val="center"/>
          </w:tcPr>
          <w:p w14:paraId="0440AB1C">
            <w:pPr>
              <w:pStyle w:val="5"/>
              <w:ind w:left="0" w:leftChars="0" w:firstLine="0" w:firstLineChars="0"/>
              <w:rPr>
                <w:rFonts w:ascii="宋体" w:hAnsi="宋体" w:cs="宋体"/>
                <w:bCs/>
                <w:sz w:val="22"/>
                <w:szCs w:val="28"/>
              </w:rPr>
            </w:pPr>
            <w:r>
              <w:rPr>
                <w:rFonts w:hint="eastAsia" w:ascii="宋体" w:hAnsi="宋体" w:cs="宋体"/>
                <w:bCs/>
                <w:sz w:val="22"/>
                <w:szCs w:val="28"/>
              </w:rPr>
              <w:t>一、技术需求</w:t>
            </w:r>
          </w:p>
          <w:p w14:paraId="07CBEB26">
            <w:pPr>
              <w:pStyle w:val="5"/>
              <w:ind w:left="0" w:leftChars="0" w:firstLine="0" w:firstLineChars="0"/>
              <w:rPr>
                <w:rFonts w:ascii="宋体" w:hAnsi="宋体" w:cs="宋体"/>
                <w:bCs/>
                <w:sz w:val="22"/>
                <w:szCs w:val="28"/>
              </w:rPr>
            </w:pPr>
            <w:r>
              <w:rPr>
                <w:rFonts w:hint="eastAsia" w:ascii="宋体" w:hAnsi="宋体" w:cs="宋体"/>
                <w:bCs/>
                <w:sz w:val="22"/>
                <w:szCs w:val="28"/>
              </w:rPr>
              <w:t>1.台数:1台</w:t>
            </w:r>
          </w:p>
          <w:p w14:paraId="162D6729">
            <w:pPr>
              <w:pStyle w:val="5"/>
              <w:ind w:left="0" w:leftChars="0" w:firstLine="0" w:firstLineChars="0"/>
              <w:rPr>
                <w:rFonts w:ascii="宋体" w:hAnsi="宋体" w:cs="宋体"/>
                <w:bCs/>
                <w:sz w:val="22"/>
                <w:szCs w:val="28"/>
              </w:rPr>
            </w:pPr>
            <w:r>
              <w:rPr>
                <w:rFonts w:hint="eastAsia" w:ascii="宋体" w:hAnsi="宋体" w:cs="宋体"/>
                <w:bCs/>
                <w:sz w:val="22"/>
                <w:szCs w:val="28"/>
              </w:rPr>
              <w:t>2.层站门:13/13/13</w:t>
            </w:r>
          </w:p>
          <w:p w14:paraId="7B8EF599">
            <w:pPr>
              <w:pStyle w:val="5"/>
              <w:ind w:left="0" w:leftChars="0" w:firstLine="0" w:firstLineChars="0"/>
              <w:rPr>
                <w:rFonts w:ascii="宋体" w:hAnsi="宋体" w:cs="宋体"/>
                <w:bCs/>
                <w:sz w:val="22"/>
                <w:szCs w:val="28"/>
              </w:rPr>
            </w:pPr>
            <w:r>
              <w:rPr>
                <w:rFonts w:hint="eastAsia" w:ascii="宋体" w:hAnsi="宋体" w:cs="宋体"/>
                <w:bCs/>
                <w:sz w:val="22"/>
                <w:szCs w:val="28"/>
              </w:rPr>
              <w:t>3.开门方式:中开</w:t>
            </w:r>
          </w:p>
          <w:p w14:paraId="126D1444">
            <w:pPr>
              <w:pStyle w:val="5"/>
              <w:ind w:left="0" w:leftChars="0" w:firstLine="0" w:firstLineChars="0"/>
              <w:rPr>
                <w:rFonts w:ascii="宋体" w:hAnsi="宋体" w:cs="宋体"/>
                <w:bCs/>
                <w:sz w:val="22"/>
                <w:szCs w:val="28"/>
              </w:rPr>
            </w:pPr>
            <w:r>
              <w:rPr>
                <w:rFonts w:hint="eastAsia" w:ascii="宋体" w:hAnsi="宋体" w:cs="宋体"/>
                <w:bCs/>
                <w:sz w:val="22"/>
                <w:szCs w:val="28"/>
              </w:rPr>
              <w:t xml:space="preserve">4.速度: </w:t>
            </w:r>
            <w:r>
              <w:rPr>
                <w:rFonts w:hint="eastAsia" w:ascii="宋体" w:hAnsi="宋体" w:cs="宋体"/>
                <w:bCs/>
                <w:color w:val="FF0000"/>
                <w:sz w:val="22"/>
                <w:szCs w:val="28"/>
                <w:highlight w:val="yellow"/>
              </w:rPr>
              <w:t>≥</w:t>
            </w:r>
            <w:r>
              <w:rPr>
                <w:rFonts w:hint="eastAsia" w:ascii="宋体" w:hAnsi="宋体" w:cs="宋体"/>
                <w:bCs/>
                <w:sz w:val="22"/>
                <w:szCs w:val="28"/>
              </w:rPr>
              <w:t>1.5 m/s</w:t>
            </w:r>
          </w:p>
          <w:p w14:paraId="60750040">
            <w:pPr>
              <w:pStyle w:val="5"/>
              <w:ind w:left="0" w:leftChars="0" w:firstLine="0" w:firstLineChars="0"/>
              <w:rPr>
                <w:rFonts w:ascii="宋体" w:hAnsi="宋体" w:cs="宋体"/>
                <w:bCs/>
                <w:sz w:val="22"/>
                <w:szCs w:val="28"/>
              </w:rPr>
            </w:pPr>
            <w:r>
              <w:rPr>
                <w:rFonts w:hint="eastAsia" w:ascii="宋体" w:hAnsi="宋体" w:cs="宋体"/>
                <w:bCs/>
                <w:sz w:val="22"/>
                <w:szCs w:val="28"/>
              </w:rPr>
              <w:t>5.</w:t>
            </w:r>
            <w:r>
              <w:rPr>
                <w:rFonts w:hint="eastAsia" w:hAnsi="宋体" w:cs="宋体"/>
                <w:sz w:val="24"/>
              </w:rPr>
              <w:t>▲</w:t>
            </w:r>
            <w:r>
              <w:rPr>
                <w:rFonts w:hint="eastAsia" w:ascii="宋体" w:hAnsi="宋体" w:cs="宋体"/>
                <w:bCs/>
                <w:sz w:val="22"/>
                <w:szCs w:val="28"/>
              </w:rPr>
              <w:t>载</w:t>
            </w:r>
            <w:r>
              <w:rPr>
                <w:rFonts w:hint="eastAsia" w:ascii="宋体" w:hAnsi="宋体" w:cs="宋体"/>
                <w:bCs/>
                <w:color w:val="FF0000"/>
                <w:sz w:val="22"/>
                <w:szCs w:val="28"/>
                <w:highlight w:val="yellow"/>
              </w:rPr>
              <w:t>重</w:t>
            </w:r>
            <w:r>
              <w:rPr>
                <w:rFonts w:hint="eastAsia" w:ascii="宋体" w:hAnsi="宋体" w:cs="宋体"/>
                <w:bCs/>
                <w:sz w:val="22"/>
                <w:szCs w:val="28"/>
              </w:rPr>
              <w:t>:</w:t>
            </w:r>
            <w:bookmarkStart w:id="2" w:name="OLE_LINK2"/>
            <w:bookmarkStart w:id="3" w:name="OLE_LINK3"/>
            <w:r>
              <w:rPr>
                <w:rFonts w:hint="eastAsia" w:ascii="宋体" w:hAnsi="宋体" w:cs="宋体"/>
                <w:bCs/>
                <w:sz w:val="22"/>
                <w:szCs w:val="28"/>
              </w:rPr>
              <w:t>≥</w:t>
            </w:r>
            <w:bookmarkEnd w:id="2"/>
            <w:bookmarkEnd w:id="3"/>
            <w:r>
              <w:rPr>
                <w:rFonts w:hint="eastAsia" w:ascii="宋体" w:hAnsi="宋体" w:cs="宋体"/>
                <w:bCs/>
                <w:sz w:val="22"/>
                <w:szCs w:val="28"/>
              </w:rPr>
              <w:t>1600kg</w:t>
            </w:r>
          </w:p>
          <w:p w14:paraId="3D176AAC">
            <w:pPr>
              <w:pStyle w:val="5"/>
              <w:ind w:left="0" w:leftChars="0" w:firstLine="0" w:firstLineChars="0"/>
              <w:rPr>
                <w:rFonts w:ascii="宋体" w:hAnsi="宋体" w:cs="宋体"/>
                <w:bCs/>
                <w:sz w:val="22"/>
                <w:szCs w:val="28"/>
              </w:rPr>
            </w:pPr>
            <w:r>
              <w:rPr>
                <w:rFonts w:hint="eastAsia" w:ascii="宋体" w:hAnsi="宋体" w:cs="宋体"/>
                <w:bCs/>
                <w:sz w:val="22"/>
                <w:szCs w:val="28"/>
              </w:rPr>
              <w:t>6.基站:1F</w:t>
            </w:r>
          </w:p>
          <w:p w14:paraId="5A7003EC">
            <w:pPr>
              <w:pStyle w:val="5"/>
              <w:ind w:left="0" w:leftChars="0" w:firstLine="0" w:firstLineChars="0"/>
              <w:rPr>
                <w:rFonts w:ascii="宋体" w:hAnsi="宋体" w:cs="宋体"/>
                <w:bCs/>
                <w:sz w:val="22"/>
                <w:szCs w:val="28"/>
              </w:rPr>
            </w:pPr>
            <w:r>
              <w:rPr>
                <w:rFonts w:hint="eastAsia" w:ascii="宋体" w:hAnsi="宋体" w:cs="宋体"/>
                <w:bCs/>
                <w:sz w:val="22"/>
                <w:szCs w:val="28"/>
              </w:rPr>
              <w:t>7.</w:t>
            </w:r>
            <w:r>
              <w:rPr>
                <w:rFonts w:hint="eastAsia" w:hAnsi="宋体" w:cs="宋体"/>
                <w:sz w:val="24"/>
              </w:rPr>
              <w:t>▲</w:t>
            </w:r>
            <w:r>
              <w:rPr>
                <w:rFonts w:hint="eastAsia" w:ascii="宋体" w:hAnsi="宋体" w:cs="宋体"/>
                <w:bCs/>
                <w:sz w:val="22"/>
                <w:szCs w:val="28"/>
              </w:rPr>
              <w:t>驱动方式:微机控制交流变频调压调速</w:t>
            </w:r>
          </w:p>
          <w:p w14:paraId="737586E3">
            <w:pPr>
              <w:pStyle w:val="5"/>
              <w:ind w:left="0" w:leftChars="0" w:firstLine="0" w:firstLineChars="0"/>
              <w:rPr>
                <w:rFonts w:ascii="宋体" w:hAnsi="宋体" w:cs="宋体"/>
                <w:bCs/>
                <w:sz w:val="22"/>
                <w:szCs w:val="28"/>
              </w:rPr>
            </w:pPr>
            <w:r>
              <w:rPr>
                <w:rFonts w:hint="eastAsia" w:ascii="宋体" w:hAnsi="宋体" w:cs="宋体"/>
                <w:bCs/>
                <w:sz w:val="22"/>
                <w:szCs w:val="28"/>
              </w:rPr>
              <w:t>8.</w:t>
            </w:r>
            <w:r>
              <w:rPr>
                <w:rFonts w:hint="eastAsia" w:hAnsi="宋体" w:cs="宋体"/>
                <w:sz w:val="24"/>
              </w:rPr>
              <w:t>▲</w:t>
            </w:r>
            <w:r>
              <w:rPr>
                <w:rFonts w:hint="eastAsia" w:ascii="宋体" w:hAnsi="宋体" w:cs="宋体"/>
                <w:bCs/>
                <w:sz w:val="22"/>
                <w:szCs w:val="28"/>
              </w:rPr>
              <w:t>电源:动力电源:三相五线制，交流380伏50赫兹，照明电源:单相交流220伏50赫兹。</w:t>
            </w:r>
          </w:p>
          <w:p w14:paraId="352EA814">
            <w:pPr>
              <w:pStyle w:val="5"/>
              <w:ind w:left="0" w:leftChars="0" w:firstLine="0" w:firstLineChars="0"/>
              <w:rPr>
                <w:rFonts w:ascii="宋体" w:hAnsi="宋体" w:cs="宋体"/>
                <w:bCs/>
                <w:sz w:val="22"/>
                <w:szCs w:val="28"/>
              </w:rPr>
            </w:pPr>
            <w:r>
              <w:rPr>
                <w:rFonts w:hint="eastAsia" w:ascii="宋体" w:hAnsi="宋体" w:cs="宋体"/>
                <w:bCs/>
                <w:sz w:val="22"/>
                <w:szCs w:val="28"/>
              </w:rPr>
              <w:t>9.控制方式:单控</w:t>
            </w:r>
          </w:p>
          <w:p w14:paraId="27EA283E">
            <w:pPr>
              <w:pStyle w:val="5"/>
              <w:ind w:left="0" w:leftChars="0" w:firstLine="0" w:firstLineChars="0"/>
              <w:rPr>
                <w:rFonts w:ascii="宋体" w:hAnsi="宋体" w:cs="宋体"/>
                <w:bCs/>
                <w:sz w:val="22"/>
                <w:szCs w:val="28"/>
              </w:rPr>
            </w:pPr>
            <w:r>
              <w:rPr>
                <w:rFonts w:hint="eastAsia" w:ascii="宋体" w:hAnsi="宋体" w:cs="宋体"/>
                <w:bCs/>
                <w:sz w:val="22"/>
                <w:szCs w:val="28"/>
              </w:rPr>
              <w:t>10.</w:t>
            </w:r>
            <w:r>
              <w:rPr>
                <w:rFonts w:hint="eastAsia" w:hAnsi="宋体" w:cs="宋体"/>
                <w:sz w:val="24"/>
              </w:rPr>
              <w:t>▲</w:t>
            </w:r>
            <w:r>
              <w:rPr>
                <w:rFonts w:hint="eastAsia" w:ascii="宋体" w:hAnsi="宋体" w:cs="宋体"/>
                <w:bCs/>
                <w:sz w:val="22"/>
                <w:szCs w:val="28"/>
              </w:rPr>
              <w:t>制作标准:《电梯制造与安装安全规范》GB7588-2023</w:t>
            </w:r>
          </w:p>
          <w:p w14:paraId="1AE05919">
            <w:pPr>
              <w:pStyle w:val="5"/>
              <w:ind w:left="0" w:leftChars="0" w:firstLine="0" w:firstLineChars="0"/>
              <w:rPr>
                <w:rFonts w:ascii="宋体" w:hAnsi="宋体" w:cs="宋体"/>
                <w:bCs/>
                <w:sz w:val="22"/>
                <w:szCs w:val="28"/>
              </w:rPr>
            </w:pPr>
            <w:r>
              <w:rPr>
                <w:rFonts w:hint="eastAsia" w:ascii="宋体" w:hAnsi="宋体" w:cs="宋体"/>
                <w:bCs/>
                <w:sz w:val="22"/>
                <w:szCs w:val="28"/>
              </w:rPr>
              <w:t>11.井道尺寸(宽</w:t>
            </w:r>
            <w:r>
              <w:rPr>
                <w:rFonts w:ascii="Arial" w:hAnsi="Arial" w:cs="Arial"/>
                <w:bCs/>
                <w:sz w:val="22"/>
                <w:szCs w:val="28"/>
              </w:rPr>
              <w:t>×</w:t>
            </w:r>
            <w:r>
              <w:rPr>
                <w:rFonts w:hint="eastAsia" w:ascii="宋体" w:hAnsi="宋体" w:cs="宋体"/>
                <w:bCs/>
                <w:sz w:val="22"/>
                <w:szCs w:val="28"/>
              </w:rPr>
              <w:t>深):实测</w:t>
            </w:r>
          </w:p>
          <w:p w14:paraId="6E428014">
            <w:pPr>
              <w:pStyle w:val="5"/>
              <w:ind w:left="0" w:leftChars="0" w:firstLine="0" w:firstLineChars="0"/>
              <w:rPr>
                <w:rFonts w:ascii="宋体" w:hAnsi="宋体" w:cs="宋体"/>
                <w:bCs/>
                <w:sz w:val="22"/>
                <w:szCs w:val="28"/>
              </w:rPr>
            </w:pPr>
            <w:r>
              <w:rPr>
                <w:rFonts w:hint="eastAsia" w:ascii="宋体" w:hAnsi="宋体" w:cs="宋体"/>
                <w:bCs/>
                <w:sz w:val="22"/>
                <w:szCs w:val="28"/>
              </w:rPr>
              <w:t>12.提升高度(mm):实测</w:t>
            </w:r>
          </w:p>
          <w:p w14:paraId="2E9B7350">
            <w:pPr>
              <w:pStyle w:val="5"/>
              <w:ind w:left="0" w:leftChars="0" w:firstLine="0" w:firstLineChars="0"/>
              <w:rPr>
                <w:rFonts w:ascii="宋体" w:hAnsi="宋体" w:cs="宋体"/>
                <w:bCs/>
                <w:sz w:val="22"/>
                <w:szCs w:val="28"/>
              </w:rPr>
            </w:pPr>
            <w:r>
              <w:rPr>
                <w:rFonts w:hint="eastAsia" w:ascii="宋体" w:hAnsi="宋体" w:cs="宋体"/>
                <w:bCs/>
                <w:sz w:val="22"/>
                <w:szCs w:val="28"/>
              </w:rPr>
              <w:t>13.机房尺寸(宽</w:t>
            </w:r>
            <w:r>
              <w:rPr>
                <w:rFonts w:ascii="Arial" w:hAnsi="Arial" w:cs="Arial"/>
                <w:bCs/>
                <w:sz w:val="22"/>
                <w:szCs w:val="28"/>
              </w:rPr>
              <w:t>×</w:t>
            </w:r>
            <w:r>
              <w:rPr>
                <w:rFonts w:hint="eastAsia" w:ascii="宋体" w:hAnsi="宋体" w:cs="宋体"/>
                <w:bCs/>
                <w:sz w:val="22"/>
                <w:szCs w:val="28"/>
              </w:rPr>
              <w:t>深):实测</w:t>
            </w:r>
          </w:p>
          <w:p w14:paraId="7E2D4A93">
            <w:pPr>
              <w:pStyle w:val="5"/>
              <w:ind w:left="0" w:leftChars="0" w:firstLine="0" w:firstLineChars="0"/>
              <w:rPr>
                <w:rFonts w:ascii="宋体" w:hAnsi="宋体" w:cs="宋体"/>
                <w:bCs/>
                <w:sz w:val="22"/>
                <w:szCs w:val="28"/>
              </w:rPr>
            </w:pPr>
            <w:r>
              <w:rPr>
                <w:rFonts w:hint="eastAsia" w:ascii="宋体" w:hAnsi="宋体" w:cs="宋体"/>
                <w:bCs/>
                <w:sz w:val="22"/>
                <w:szCs w:val="28"/>
              </w:rPr>
              <w:t>14.顶层净高度:实测</w:t>
            </w:r>
          </w:p>
          <w:p w14:paraId="16CAF444">
            <w:pPr>
              <w:pStyle w:val="5"/>
              <w:ind w:left="0" w:leftChars="0" w:firstLine="0" w:firstLineChars="0"/>
              <w:rPr>
                <w:rFonts w:ascii="宋体" w:hAnsi="宋体" w:cs="宋体"/>
                <w:bCs/>
                <w:sz w:val="22"/>
                <w:szCs w:val="28"/>
              </w:rPr>
            </w:pPr>
            <w:r>
              <w:rPr>
                <w:rFonts w:hint="eastAsia" w:ascii="宋体" w:hAnsi="宋体" w:cs="宋体"/>
                <w:bCs/>
                <w:sz w:val="22"/>
                <w:szCs w:val="28"/>
              </w:rPr>
              <w:t>15.底坑深度:实测</w:t>
            </w:r>
          </w:p>
          <w:p w14:paraId="67DC8BE4">
            <w:pPr>
              <w:pStyle w:val="5"/>
              <w:ind w:left="0" w:leftChars="0" w:firstLine="0" w:firstLineChars="0"/>
              <w:rPr>
                <w:rFonts w:hint="eastAsia" w:ascii="宋体" w:hAnsi="宋体" w:eastAsia="宋体" w:cs="宋体"/>
                <w:bCs/>
                <w:color w:val="FF0000"/>
                <w:sz w:val="22"/>
                <w:szCs w:val="28"/>
                <w:lang w:val="en-US" w:eastAsia="zh-CN"/>
              </w:rPr>
            </w:pPr>
            <w:r>
              <w:rPr>
                <w:rFonts w:hint="eastAsia" w:ascii="宋体" w:hAnsi="宋体" w:cs="宋体"/>
                <w:bCs/>
                <w:sz w:val="22"/>
                <w:szCs w:val="28"/>
              </w:rPr>
              <w:t>16.轿厢内尺寸:</w:t>
            </w:r>
            <w:r>
              <w:rPr>
                <w:rFonts w:hint="eastAsia" w:ascii="宋体" w:hAnsi="宋体" w:cs="宋体"/>
                <w:bCs/>
                <w:sz w:val="22"/>
                <w:szCs w:val="28"/>
                <w:highlight w:val="yellow"/>
              </w:rPr>
              <w:t>≤</w:t>
            </w:r>
            <w:r>
              <w:rPr>
                <w:rFonts w:hint="eastAsia" w:ascii="宋体" w:hAnsi="宋体" w:cs="宋体"/>
                <w:bCs/>
                <w:sz w:val="22"/>
                <w:szCs w:val="28"/>
              </w:rPr>
              <w:t>1500mm</w:t>
            </w:r>
            <w:r>
              <w:rPr>
                <w:rFonts w:ascii="Arial" w:hAnsi="Arial" w:cs="Arial"/>
                <w:bCs/>
                <w:sz w:val="22"/>
                <w:szCs w:val="28"/>
              </w:rPr>
              <w:t>×</w:t>
            </w:r>
            <w:r>
              <w:rPr>
                <w:rFonts w:hint="eastAsia" w:ascii="宋体" w:hAnsi="宋体" w:cs="宋体"/>
                <w:bCs/>
                <w:sz w:val="22"/>
                <w:szCs w:val="28"/>
              </w:rPr>
              <w:t>2400mm</w:t>
            </w:r>
            <w:r>
              <w:rPr>
                <w:rFonts w:ascii="Arial" w:hAnsi="Arial" w:cs="Arial"/>
                <w:bCs/>
                <w:sz w:val="22"/>
                <w:szCs w:val="28"/>
              </w:rPr>
              <w:t>×</w:t>
            </w:r>
            <w:r>
              <w:rPr>
                <w:rFonts w:hint="eastAsia" w:ascii="宋体" w:hAnsi="宋体" w:cs="宋体"/>
                <w:bCs/>
                <w:sz w:val="22"/>
                <w:szCs w:val="28"/>
              </w:rPr>
              <w:t>2500mm</w:t>
            </w:r>
            <w:r>
              <w:rPr>
                <w:rFonts w:hint="eastAsia" w:ascii="宋体" w:hAnsi="宋体" w:cs="宋体"/>
                <w:bCs/>
                <w:sz w:val="22"/>
                <w:szCs w:val="28"/>
                <w:lang w:eastAsia="zh-CN"/>
              </w:rPr>
              <w:t>（</w:t>
            </w:r>
            <w:r>
              <w:rPr>
                <w:rFonts w:hint="eastAsia" w:ascii="宋体" w:hAnsi="宋体" w:cs="宋体"/>
                <w:bCs/>
                <w:sz w:val="22"/>
                <w:szCs w:val="28"/>
                <w:lang w:val="en-US" w:eastAsia="zh-CN"/>
              </w:rPr>
              <w:t>按</w:t>
            </w:r>
            <w:r>
              <w:rPr>
                <w:rFonts w:hint="eastAsia" w:ascii="宋体" w:hAnsi="宋体" w:cs="宋体"/>
                <w:bCs/>
                <w:sz w:val="22"/>
                <w:szCs w:val="28"/>
              </w:rPr>
              <w:t>实测</w:t>
            </w:r>
            <w:r>
              <w:rPr>
                <w:rFonts w:hint="eastAsia" w:ascii="宋体" w:hAnsi="宋体" w:cs="宋体"/>
                <w:bCs/>
                <w:sz w:val="22"/>
                <w:szCs w:val="28"/>
                <w:lang w:eastAsia="zh-CN"/>
              </w:rPr>
              <w:t>）</w:t>
            </w:r>
            <w:bookmarkStart w:id="4" w:name="_GoBack"/>
            <w:bookmarkEnd w:id="4"/>
          </w:p>
          <w:p w14:paraId="22905ED6">
            <w:pPr>
              <w:pStyle w:val="5"/>
              <w:ind w:left="0" w:leftChars="0" w:firstLine="0" w:firstLineChars="0"/>
              <w:rPr>
                <w:rFonts w:ascii="宋体" w:hAnsi="宋体" w:cs="宋体"/>
                <w:bCs/>
                <w:sz w:val="22"/>
                <w:szCs w:val="28"/>
              </w:rPr>
            </w:pPr>
            <w:r>
              <w:rPr>
                <w:rFonts w:hint="eastAsia" w:ascii="宋体" w:hAnsi="宋体" w:cs="宋体"/>
                <w:bCs/>
                <w:sz w:val="22"/>
                <w:szCs w:val="28"/>
              </w:rPr>
              <w:t>17.轿厢天花:四侧出风方式</w:t>
            </w:r>
          </w:p>
          <w:p w14:paraId="52DE738D">
            <w:pPr>
              <w:pStyle w:val="5"/>
              <w:ind w:left="0" w:leftChars="0" w:firstLine="0" w:firstLineChars="0"/>
              <w:rPr>
                <w:rFonts w:ascii="宋体" w:hAnsi="宋体" w:cs="宋体"/>
                <w:bCs/>
                <w:sz w:val="22"/>
                <w:szCs w:val="28"/>
              </w:rPr>
            </w:pPr>
            <w:r>
              <w:rPr>
                <w:rFonts w:hint="eastAsia" w:ascii="宋体" w:hAnsi="宋体" w:cs="宋体"/>
                <w:bCs/>
                <w:sz w:val="22"/>
                <w:szCs w:val="28"/>
              </w:rPr>
              <w:t>18.轿厢前壁:发纹不锈钢</w:t>
            </w:r>
          </w:p>
          <w:p w14:paraId="6C708300">
            <w:pPr>
              <w:pStyle w:val="5"/>
              <w:ind w:left="0" w:leftChars="0" w:firstLine="0" w:firstLineChars="0"/>
              <w:rPr>
                <w:rFonts w:ascii="宋体" w:hAnsi="宋体" w:cs="宋体"/>
                <w:bCs/>
                <w:sz w:val="22"/>
                <w:szCs w:val="28"/>
              </w:rPr>
            </w:pPr>
            <w:r>
              <w:rPr>
                <w:rFonts w:hint="eastAsia" w:ascii="宋体" w:hAnsi="宋体" w:cs="宋体"/>
                <w:bCs/>
                <w:sz w:val="22"/>
                <w:szCs w:val="28"/>
              </w:rPr>
              <w:t>19.轿厢侧壁:发纹不锈钢</w:t>
            </w:r>
          </w:p>
          <w:p w14:paraId="1C873F31">
            <w:pPr>
              <w:pStyle w:val="5"/>
              <w:ind w:left="0" w:leftChars="0" w:firstLine="0" w:firstLineChars="0"/>
              <w:rPr>
                <w:rFonts w:ascii="宋体" w:hAnsi="宋体" w:cs="宋体"/>
                <w:bCs/>
                <w:sz w:val="22"/>
                <w:szCs w:val="28"/>
              </w:rPr>
            </w:pPr>
            <w:r>
              <w:rPr>
                <w:rFonts w:hint="eastAsia" w:ascii="宋体" w:hAnsi="宋体" w:cs="宋体"/>
                <w:bCs/>
                <w:sz w:val="22"/>
                <w:szCs w:val="28"/>
              </w:rPr>
              <w:t>20.轿厢后壁:发纹不锈钢</w:t>
            </w:r>
          </w:p>
          <w:p w14:paraId="0D2F975E">
            <w:pPr>
              <w:pStyle w:val="5"/>
              <w:ind w:left="0" w:leftChars="0" w:firstLine="0" w:firstLineChars="0"/>
              <w:rPr>
                <w:rFonts w:ascii="宋体" w:hAnsi="宋体" w:cs="宋体"/>
                <w:bCs/>
                <w:sz w:val="22"/>
                <w:szCs w:val="28"/>
              </w:rPr>
            </w:pPr>
            <w:r>
              <w:rPr>
                <w:rFonts w:hint="eastAsia" w:ascii="宋体" w:hAnsi="宋体" w:cs="宋体"/>
                <w:bCs/>
                <w:sz w:val="22"/>
                <w:szCs w:val="28"/>
              </w:rPr>
              <w:t>21.轿厢门:发纹不锈钢</w:t>
            </w:r>
          </w:p>
          <w:p w14:paraId="40BF89CF">
            <w:pPr>
              <w:pStyle w:val="5"/>
              <w:ind w:left="0" w:leftChars="0" w:firstLine="0" w:firstLineChars="0"/>
              <w:rPr>
                <w:rFonts w:ascii="宋体" w:hAnsi="宋体" w:cs="宋体"/>
                <w:bCs/>
                <w:sz w:val="22"/>
                <w:szCs w:val="28"/>
              </w:rPr>
            </w:pPr>
            <w:r>
              <w:rPr>
                <w:rFonts w:hint="eastAsia" w:ascii="宋体" w:hAnsi="宋体" w:cs="宋体"/>
                <w:bCs/>
                <w:sz w:val="22"/>
                <w:szCs w:val="28"/>
              </w:rPr>
              <w:t>22.门灯横梁:发纹不锈钢</w:t>
            </w:r>
          </w:p>
          <w:p w14:paraId="095A7A61">
            <w:pPr>
              <w:pStyle w:val="5"/>
              <w:ind w:left="0" w:leftChars="0" w:firstLine="0" w:firstLineChars="0"/>
              <w:rPr>
                <w:rFonts w:ascii="宋体" w:hAnsi="宋体" w:cs="宋体"/>
                <w:bCs/>
                <w:sz w:val="22"/>
                <w:szCs w:val="28"/>
              </w:rPr>
            </w:pPr>
            <w:r>
              <w:rPr>
                <w:rFonts w:hint="eastAsia" w:ascii="宋体" w:hAnsi="宋体" w:cs="宋体"/>
                <w:bCs/>
                <w:sz w:val="22"/>
                <w:szCs w:val="28"/>
              </w:rPr>
              <w:t>23.轿厢地面:大理石地板</w:t>
            </w:r>
          </w:p>
          <w:p w14:paraId="4B479119">
            <w:pPr>
              <w:pStyle w:val="5"/>
              <w:ind w:left="0" w:leftChars="0" w:firstLine="0" w:firstLineChars="0"/>
              <w:rPr>
                <w:rFonts w:ascii="宋体" w:hAnsi="宋体" w:cs="宋体"/>
                <w:bCs/>
                <w:sz w:val="22"/>
                <w:szCs w:val="28"/>
              </w:rPr>
            </w:pPr>
            <w:r>
              <w:rPr>
                <w:rFonts w:hint="eastAsia" w:ascii="宋体" w:hAnsi="宋体" w:cs="宋体"/>
                <w:bCs/>
                <w:sz w:val="22"/>
                <w:szCs w:val="28"/>
              </w:rPr>
              <w:t>24.开门方式:中开</w:t>
            </w:r>
          </w:p>
          <w:p w14:paraId="09FFDC06">
            <w:pPr>
              <w:pStyle w:val="5"/>
              <w:ind w:left="0" w:leftChars="0" w:firstLine="0" w:firstLineChars="0"/>
              <w:rPr>
                <w:rFonts w:ascii="宋体" w:hAnsi="宋体" w:cs="宋体"/>
                <w:bCs/>
                <w:sz w:val="22"/>
                <w:szCs w:val="28"/>
              </w:rPr>
            </w:pPr>
            <w:r>
              <w:rPr>
                <w:rFonts w:hint="eastAsia" w:ascii="宋体" w:hAnsi="宋体" w:cs="宋体"/>
                <w:bCs/>
                <w:sz w:val="22"/>
                <w:szCs w:val="28"/>
              </w:rPr>
              <w:t>25.开门尺寸:1100mm</w:t>
            </w:r>
            <w:r>
              <w:rPr>
                <w:rFonts w:ascii="Arial" w:hAnsi="Arial" w:cs="Arial"/>
                <w:bCs/>
                <w:sz w:val="22"/>
                <w:szCs w:val="28"/>
              </w:rPr>
              <w:t>×</w:t>
            </w:r>
            <w:r>
              <w:rPr>
                <w:rFonts w:hint="eastAsia" w:ascii="宋体" w:hAnsi="宋体" w:cs="宋体"/>
                <w:bCs/>
                <w:sz w:val="22"/>
                <w:szCs w:val="28"/>
              </w:rPr>
              <w:t>2100mm</w:t>
            </w:r>
          </w:p>
          <w:p w14:paraId="4829CD54">
            <w:pPr>
              <w:pStyle w:val="5"/>
              <w:ind w:left="0" w:leftChars="0" w:firstLine="0" w:firstLineChars="0"/>
              <w:rPr>
                <w:rFonts w:ascii="宋体" w:hAnsi="宋体" w:cs="宋体"/>
                <w:bCs/>
                <w:sz w:val="22"/>
                <w:szCs w:val="28"/>
              </w:rPr>
            </w:pPr>
            <w:r>
              <w:rPr>
                <w:rFonts w:hint="eastAsia" w:ascii="宋体" w:hAnsi="宋体" w:cs="宋体"/>
                <w:bCs/>
                <w:sz w:val="22"/>
                <w:szCs w:val="28"/>
              </w:rPr>
              <w:t>26.</w:t>
            </w:r>
            <w:r>
              <w:rPr>
                <w:rFonts w:hint="eastAsia" w:hAnsi="宋体" w:cs="宋体"/>
                <w:sz w:val="24"/>
              </w:rPr>
              <w:t>▲</w:t>
            </w:r>
            <w:r>
              <w:rPr>
                <w:rFonts w:hint="eastAsia" w:ascii="宋体" w:hAnsi="宋体" w:cs="宋体"/>
                <w:bCs/>
                <w:sz w:val="22"/>
                <w:szCs w:val="28"/>
              </w:rPr>
              <w:t>轿厢操纵箱:发纹不锈钢配液晶数字显示器</w:t>
            </w:r>
          </w:p>
          <w:p w14:paraId="4AEF6FE6">
            <w:pPr>
              <w:pStyle w:val="5"/>
              <w:ind w:left="0" w:leftChars="0" w:firstLine="0" w:firstLineChars="0"/>
              <w:rPr>
                <w:rFonts w:ascii="宋体" w:hAnsi="宋体" w:cs="宋体"/>
                <w:bCs/>
                <w:sz w:val="22"/>
                <w:szCs w:val="28"/>
              </w:rPr>
            </w:pPr>
            <w:r>
              <w:rPr>
                <w:rFonts w:hint="eastAsia" w:ascii="宋体" w:hAnsi="宋体" w:cs="宋体"/>
                <w:bCs/>
                <w:sz w:val="22"/>
                <w:szCs w:val="28"/>
              </w:rPr>
              <w:t>27.门套:所有层发纹不锈钢</w:t>
            </w:r>
          </w:p>
          <w:p w14:paraId="20ED283C">
            <w:pPr>
              <w:pStyle w:val="5"/>
              <w:ind w:left="0" w:leftChars="0" w:firstLine="0" w:firstLineChars="0"/>
              <w:rPr>
                <w:rFonts w:ascii="宋体" w:hAnsi="宋体" w:cs="宋体"/>
                <w:bCs/>
                <w:sz w:val="22"/>
                <w:szCs w:val="28"/>
              </w:rPr>
            </w:pPr>
            <w:r>
              <w:rPr>
                <w:rFonts w:hint="eastAsia" w:ascii="宋体" w:hAnsi="宋体" w:cs="宋体"/>
                <w:bCs/>
                <w:sz w:val="22"/>
                <w:szCs w:val="28"/>
              </w:rPr>
              <w:t>28.层(厅)门:所有层发纹不锈钢</w:t>
            </w:r>
          </w:p>
          <w:p w14:paraId="2FC80D7A">
            <w:pPr>
              <w:pStyle w:val="5"/>
              <w:ind w:left="0" w:leftChars="0" w:firstLine="0" w:firstLineChars="0"/>
              <w:rPr>
                <w:rFonts w:ascii="宋体" w:hAnsi="宋体" w:cs="宋体"/>
                <w:bCs/>
                <w:sz w:val="22"/>
                <w:szCs w:val="28"/>
              </w:rPr>
            </w:pPr>
            <w:r>
              <w:rPr>
                <w:rFonts w:hint="eastAsia" w:ascii="宋体" w:hAnsi="宋体" w:cs="宋体"/>
                <w:bCs/>
                <w:sz w:val="22"/>
                <w:szCs w:val="28"/>
              </w:rPr>
              <w:t>29.召唤指示器:发纹不锈钢配液晶数字显示器</w:t>
            </w:r>
          </w:p>
          <w:p w14:paraId="4D1B94B6">
            <w:pPr>
              <w:pStyle w:val="5"/>
              <w:ind w:left="0" w:leftChars="0" w:firstLine="0" w:firstLineChars="0"/>
              <w:rPr>
                <w:rFonts w:ascii="宋体" w:hAnsi="宋体" w:cs="宋体"/>
                <w:bCs/>
                <w:sz w:val="22"/>
                <w:szCs w:val="28"/>
              </w:rPr>
            </w:pPr>
            <w:r>
              <w:rPr>
                <w:rFonts w:hint="eastAsia" w:ascii="宋体" w:hAnsi="宋体" w:cs="宋体"/>
                <w:bCs/>
                <w:sz w:val="22"/>
                <w:szCs w:val="28"/>
              </w:rPr>
              <w:t>30.</w:t>
            </w:r>
            <w:r>
              <w:rPr>
                <w:rFonts w:hint="eastAsia" w:hAnsi="宋体" w:cs="宋体"/>
                <w:sz w:val="24"/>
              </w:rPr>
              <w:t>▲</w:t>
            </w:r>
            <w:r>
              <w:rPr>
                <w:rFonts w:hint="eastAsia" w:ascii="宋体" w:hAnsi="宋体" w:cs="宋体"/>
                <w:bCs/>
                <w:sz w:val="22"/>
                <w:szCs w:val="28"/>
              </w:rPr>
              <w:t>控制方式:全集选控制运行功能、层高自测定功能、轿顶检修操作功能、轿内慢速运行功能。</w:t>
            </w:r>
          </w:p>
          <w:p w14:paraId="06AD0D99">
            <w:pPr>
              <w:pStyle w:val="5"/>
              <w:ind w:left="0" w:leftChars="0" w:firstLine="0" w:firstLineChars="0"/>
              <w:rPr>
                <w:rFonts w:ascii="宋体" w:hAnsi="宋体" w:cs="宋体"/>
                <w:bCs/>
                <w:sz w:val="22"/>
                <w:szCs w:val="28"/>
              </w:rPr>
            </w:pPr>
            <w:r>
              <w:rPr>
                <w:rFonts w:hint="eastAsia" w:ascii="宋体" w:hAnsi="宋体" w:cs="宋体"/>
                <w:bCs/>
                <w:sz w:val="22"/>
                <w:szCs w:val="28"/>
              </w:rPr>
              <w:t>31.</w:t>
            </w:r>
            <w:r>
              <w:rPr>
                <w:rFonts w:hint="eastAsia" w:hAnsi="宋体" w:cs="宋体"/>
                <w:sz w:val="24"/>
              </w:rPr>
              <w:t>▲</w:t>
            </w:r>
            <w:r>
              <w:rPr>
                <w:rFonts w:hint="eastAsia" w:ascii="宋体" w:hAnsi="宋体" w:cs="宋体"/>
                <w:bCs/>
                <w:sz w:val="22"/>
                <w:szCs w:val="28"/>
              </w:rPr>
              <w:t>系统保护:超速电气保护功能、超速机械保护功能、电动机空转保护功能、电动机过载保护功能、故障自动检测功能、故障自动存储功能、待机定期自检功能、抱闸动作双安全检测功能、同步电机磁极码静态测试功能、位置异常自动校正功能、故障低速自救运行功能、抗电磁干扰功能。</w:t>
            </w:r>
          </w:p>
          <w:p w14:paraId="4DA87184">
            <w:pPr>
              <w:pStyle w:val="5"/>
              <w:ind w:left="0" w:leftChars="0" w:firstLine="0" w:firstLineChars="0"/>
              <w:rPr>
                <w:rFonts w:ascii="宋体" w:hAnsi="宋体" w:cs="宋体"/>
                <w:bCs/>
                <w:sz w:val="22"/>
                <w:szCs w:val="28"/>
              </w:rPr>
            </w:pPr>
            <w:r>
              <w:rPr>
                <w:rFonts w:hint="eastAsia" w:ascii="宋体" w:hAnsi="宋体" w:cs="宋体"/>
                <w:bCs/>
                <w:sz w:val="22"/>
                <w:szCs w:val="28"/>
              </w:rPr>
              <w:t>32.</w:t>
            </w:r>
            <w:r>
              <w:rPr>
                <w:rFonts w:hint="eastAsia" w:hAnsi="宋体" w:cs="宋体"/>
                <w:sz w:val="24"/>
              </w:rPr>
              <w:t>▲</w:t>
            </w:r>
            <w:r>
              <w:rPr>
                <w:rFonts w:hint="eastAsia" w:ascii="宋体" w:hAnsi="宋体" w:cs="宋体"/>
                <w:bCs/>
                <w:sz w:val="22"/>
                <w:szCs w:val="28"/>
              </w:rPr>
              <w:t>安全通讯:对讲机通讯功能、底坑对讲机通讯功能、电梯服务支援系统满载直驶运行功能、超载保护功能、超载报警功能、开门异常自动选层功能、开门时间自动调整功能、开门时间自动控制功能、开关门时间超常保护功能、运行次数显示功能、光幕保护功能。</w:t>
            </w:r>
          </w:p>
          <w:p w14:paraId="0276683B">
            <w:pPr>
              <w:pStyle w:val="5"/>
              <w:ind w:left="0" w:leftChars="0" w:firstLine="0" w:firstLineChars="0"/>
              <w:rPr>
                <w:rFonts w:ascii="宋体" w:hAnsi="宋体" w:cs="宋体"/>
                <w:bCs/>
                <w:sz w:val="22"/>
                <w:szCs w:val="28"/>
              </w:rPr>
            </w:pPr>
            <w:r>
              <w:rPr>
                <w:rFonts w:hint="eastAsia" w:ascii="宋体" w:hAnsi="宋体" w:cs="宋体"/>
                <w:bCs/>
                <w:sz w:val="22"/>
                <w:szCs w:val="28"/>
              </w:rPr>
              <w:t>33.</w:t>
            </w:r>
            <w:r>
              <w:rPr>
                <w:rFonts w:hint="eastAsia" w:hAnsi="宋体" w:cs="宋体"/>
                <w:sz w:val="24"/>
              </w:rPr>
              <w:t>▲</w:t>
            </w:r>
            <w:r>
              <w:rPr>
                <w:rFonts w:hint="eastAsia" w:ascii="宋体" w:hAnsi="宋体" w:cs="宋体"/>
                <w:bCs/>
                <w:sz w:val="22"/>
                <w:szCs w:val="28"/>
              </w:rPr>
              <w:t>紧急应对:停电应急照明功能、消防迫降功能。</w:t>
            </w:r>
          </w:p>
          <w:p w14:paraId="22B48362">
            <w:pPr>
              <w:pStyle w:val="5"/>
              <w:ind w:left="0" w:leftChars="0" w:firstLine="0" w:firstLineChars="0"/>
              <w:rPr>
                <w:rFonts w:ascii="宋体" w:hAnsi="宋体" w:cs="宋体"/>
                <w:bCs/>
                <w:sz w:val="22"/>
                <w:szCs w:val="28"/>
              </w:rPr>
            </w:pPr>
            <w:r>
              <w:rPr>
                <w:rFonts w:hint="eastAsia" w:ascii="宋体" w:hAnsi="宋体" w:cs="宋体"/>
                <w:bCs/>
                <w:sz w:val="22"/>
                <w:szCs w:val="28"/>
              </w:rPr>
              <w:t>34.</w:t>
            </w:r>
            <w:r>
              <w:rPr>
                <w:rFonts w:hint="eastAsia" w:hAnsi="宋体" w:cs="宋体"/>
                <w:sz w:val="24"/>
              </w:rPr>
              <w:t>▲</w:t>
            </w:r>
            <w:r>
              <w:rPr>
                <w:rFonts w:hint="eastAsia" w:ascii="宋体" w:hAnsi="宋体" w:cs="宋体"/>
                <w:bCs/>
                <w:sz w:val="22"/>
                <w:szCs w:val="28"/>
              </w:rPr>
              <w:t>其他:泊梯功能、无呼自返基站功能、启动补偿功能、门停止运行功能、微动平层功能、微动平层功能、无效内指令自动消除功能、反向内指令自动消除功能、轿内照明自动控制功能、轿内通风自动控制功能、召唤按钮粘死检出处理功能、紫外线杀菌灯功能、消防员专用功能、五方通话功能、</w:t>
            </w:r>
            <w:r>
              <w:rPr>
                <w:rFonts w:hint="eastAsia" w:ascii="宋体" w:hAnsi="宋体" w:cs="宋体"/>
                <w:b/>
                <w:sz w:val="22"/>
                <w:szCs w:val="28"/>
              </w:rPr>
              <w:t>开门延时功能</w:t>
            </w:r>
            <w:r>
              <w:rPr>
                <w:rFonts w:hint="eastAsia" w:ascii="宋体" w:hAnsi="宋体" w:cs="宋体"/>
                <w:bCs/>
                <w:sz w:val="22"/>
                <w:szCs w:val="28"/>
              </w:rPr>
              <w:t>、司机操作功能、残疾人操作箱+盲文按钮+扶手+轿厢背面镜子、轿内误指令取消功能、语音播报功能、专用运行功能。</w:t>
            </w:r>
          </w:p>
          <w:p w14:paraId="6F50982C">
            <w:pPr>
              <w:pStyle w:val="5"/>
              <w:ind w:left="0" w:leftChars="0" w:firstLine="0" w:firstLineChars="0"/>
              <w:rPr>
                <w:rFonts w:ascii="宋体" w:hAnsi="宋体" w:cs="宋体"/>
                <w:bCs/>
                <w:sz w:val="22"/>
                <w:szCs w:val="28"/>
              </w:rPr>
            </w:pPr>
            <w:r>
              <w:rPr>
                <w:rFonts w:hint="eastAsia" w:ascii="宋体" w:hAnsi="宋体" w:cs="宋体"/>
                <w:bCs/>
                <w:sz w:val="22"/>
                <w:szCs w:val="28"/>
              </w:rPr>
              <w:t>35.工程部分：</w:t>
            </w:r>
          </w:p>
          <w:p w14:paraId="57EB9CA6">
            <w:pPr>
              <w:pStyle w:val="5"/>
              <w:ind w:left="0" w:leftChars="0" w:firstLine="0" w:firstLineChars="0"/>
              <w:rPr>
                <w:rFonts w:hint="eastAsia" w:ascii="宋体" w:hAnsi="宋体" w:cs="宋体"/>
                <w:bCs/>
                <w:sz w:val="22"/>
                <w:szCs w:val="28"/>
              </w:rPr>
            </w:pPr>
            <w:r>
              <w:rPr>
                <w:rFonts w:hint="eastAsia" w:ascii="宋体" w:hAnsi="宋体" w:cs="宋体"/>
                <w:bCs/>
                <w:sz w:val="22"/>
                <w:szCs w:val="28"/>
              </w:rPr>
              <w:t>(1)拆除旧电梯(旧电梯拆除到甲方指定地点:北流市人民医院院内)。(2)拆除旧梯缓冲器墩，主机墩。(3)井道整改修补。(4)地坎修补(含工料费13层)。(5)新电梯主机机座、缓冲器座捣制(含工料费1台)。(6)电梯门套保留原装饰。(7)其余土建等零星收尾工作。(8)垃圾清理。(9)电梯安装调试费、电梯报装报检费、一年质保期维保费及所需更换部件和材料的费用、运杂费、税金。</w:t>
            </w:r>
          </w:p>
          <w:p w14:paraId="3F440564">
            <w:pPr>
              <w:pStyle w:val="5"/>
              <w:ind w:left="0" w:leftChars="0" w:firstLine="0" w:firstLineChars="0"/>
              <w:rPr>
                <w:rFonts w:hint="default" w:ascii="宋体" w:hAnsi="宋体" w:eastAsia="宋体" w:cs="宋体"/>
                <w:bCs/>
                <w:sz w:val="22"/>
                <w:szCs w:val="28"/>
                <w:lang w:val="en-US" w:eastAsia="zh-CN"/>
              </w:rPr>
            </w:pPr>
            <w:r>
              <w:rPr>
                <w:rFonts w:hint="eastAsia" w:ascii="宋体" w:hAnsi="宋体" w:cs="宋体"/>
                <w:bCs/>
                <w:sz w:val="22"/>
                <w:szCs w:val="28"/>
                <w:lang w:val="en-US" w:eastAsia="zh-CN"/>
              </w:rPr>
              <w:t>36.配置1.5匹单冷空调1台，电梯可升级多媒体液晶显示屏</w:t>
            </w:r>
          </w:p>
          <w:p w14:paraId="46FF7B7B">
            <w:pPr>
              <w:pStyle w:val="5"/>
              <w:ind w:left="0" w:leftChars="0" w:firstLine="0" w:firstLineChars="0"/>
              <w:rPr>
                <w:rFonts w:ascii="宋体" w:hAnsi="宋体" w:cs="宋体"/>
                <w:bCs/>
                <w:sz w:val="22"/>
                <w:szCs w:val="28"/>
              </w:rPr>
            </w:pPr>
          </w:p>
        </w:tc>
        <w:tc>
          <w:tcPr>
            <w:tcW w:w="1226" w:type="dxa"/>
            <w:tcBorders>
              <w:top w:val="single" w:color="000000" w:sz="4" w:space="0"/>
              <w:left w:val="single" w:color="auto" w:sz="4" w:space="0"/>
              <w:bottom w:val="single" w:color="000000" w:sz="4" w:space="0"/>
              <w:right w:val="single" w:color="000000" w:sz="4" w:space="0"/>
            </w:tcBorders>
            <w:vAlign w:val="center"/>
          </w:tcPr>
          <w:p w14:paraId="6F098130">
            <w:pPr>
              <w:wordWrap w:val="0"/>
              <w:spacing w:line="288" w:lineRule="auto"/>
              <w:rPr>
                <w:rFonts w:ascii="宋体" w:hAnsi="宋体" w:cs="宋体"/>
                <w:b/>
                <w:sz w:val="22"/>
                <w:szCs w:val="22"/>
              </w:rPr>
            </w:pPr>
            <w:r>
              <w:rPr>
                <w:rFonts w:hint="eastAsia" w:ascii="宋体" w:hAnsi="宋体" w:cs="宋体"/>
                <w:b/>
                <w:bCs/>
                <w:sz w:val="22"/>
                <w:szCs w:val="28"/>
              </w:rPr>
              <w:t>31</w:t>
            </w:r>
            <w:r>
              <w:rPr>
                <w:rFonts w:hint="eastAsia" w:ascii="宋体" w:hAnsi="宋体" w:cs="宋体"/>
                <w:b/>
                <w:bCs/>
                <w:sz w:val="22"/>
                <w:szCs w:val="28"/>
                <w:lang w:val="en-US" w:eastAsia="zh-CN"/>
              </w:rPr>
              <w:t>4</w:t>
            </w:r>
            <w:r>
              <w:rPr>
                <w:rFonts w:hint="eastAsia" w:ascii="宋体" w:hAnsi="宋体" w:cs="宋体"/>
                <w:b/>
                <w:bCs/>
                <w:sz w:val="22"/>
                <w:szCs w:val="28"/>
              </w:rPr>
              <w:t>800.00</w:t>
            </w:r>
          </w:p>
        </w:tc>
      </w:tr>
      <w:bookmarkEnd w:id="1"/>
      <w:tr w14:paraId="6E45D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3" w:type="dxa"/>
            <w:gridSpan w:val="6"/>
            <w:tcBorders>
              <w:top w:val="single" w:color="auto" w:sz="4" w:space="0"/>
              <w:left w:val="single" w:color="auto" w:sz="4" w:space="0"/>
              <w:bottom w:val="single" w:color="auto" w:sz="4" w:space="0"/>
              <w:right w:val="single" w:color="auto" w:sz="4" w:space="0"/>
            </w:tcBorders>
          </w:tcPr>
          <w:p w14:paraId="14510866">
            <w:pPr>
              <w:wordWrap w:val="0"/>
              <w:spacing w:line="360" w:lineRule="auto"/>
              <w:rPr>
                <w:rFonts w:ascii="宋体" w:hAnsi="宋体" w:cs="宋体"/>
                <w:sz w:val="22"/>
                <w:szCs w:val="22"/>
              </w:rPr>
            </w:pPr>
            <w:r>
              <w:rPr>
                <w:rFonts w:hint="eastAsia" w:ascii="宋体" w:hAnsi="宋体" w:cs="宋体"/>
                <w:b/>
                <w:bCs/>
                <w:sz w:val="22"/>
                <w:szCs w:val="22"/>
              </w:rPr>
              <w:t>▲</w:t>
            </w:r>
            <w:r>
              <w:rPr>
                <w:rFonts w:hint="eastAsia" w:ascii="宋体" w:hAnsi="宋体" w:cs="宋体"/>
                <w:b/>
                <w:sz w:val="22"/>
                <w:szCs w:val="22"/>
              </w:rPr>
              <w:t>二、商务要求</w:t>
            </w:r>
          </w:p>
        </w:tc>
      </w:tr>
      <w:tr w14:paraId="5E680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79054D92">
            <w:pPr>
              <w:wordWrap w:val="0"/>
              <w:spacing w:line="300" w:lineRule="auto"/>
              <w:jc w:val="center"/>
              <w:rPr>
                <w:rFonts w:ascii="宋体" w:hAnsi="宋体" w:cs="宋体"/>
                <w:b/>
                <w:bCs/>
                <w:sz w:val="22"/>
                <w:szCs w:val="22"/>
              </w:rPr>
            </w:pPr>
            <w:r>
              <w:rPr>
                <w:rFonts w:hint="eastAsia" w:ascii="宋体" w:hAnsi="宋体" w:cs="宋体"/>
                <w:b/>
                <w:bCs/>
                <w:sz w:val="22"/>
                <w:szCs w:val="22"/>
              </w:rPr>
              <w:t>交付时间和地点</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0983A27D">
            <w:pPr>
              <w:wordWrap w:val="0"/>
              <w:spacing w:line="300" w:lineRule="auto"/>
              <w:ind w:firstLine="440" w:firstLineChars="200"/>
              <w:rPr>
                <w:rFonts w:ascii="宋体" w:hAnsi="宋体" w:cs="宋体"/>
                <w:sz w:val="22"/>
                <w:szCs w:val="22"/>
              </w:rPr>
            </w:pPr>
            <w:r>
              <w:rPr>
                <w:rFonts w:hint="eastAsia" w:ascii="宋体" w:hAnsi="宋体" w:cs="宋体"/>
                <w:sz w:val="22"/>
                <w:szCs w:val="22"/>
              </w:rPr>
              <w:t>1、交付时间：自签订合同之日起 60日内交货，30天安装调试完毕。</w:t>
            </w:r>
          </w:p>
          <w:p w14:paraId="1EE09E01">
            <w:pPr>
              <w:wordWrap w:val="0"/>
              <w:spacing w:line="300" w:lineRule="auto"/>
              <w:ind w:firstLine="440" w:firstLineChars="200"/>
              <w:rPr>
                <w:rFonts w:ascii="宋体" w:hAnsi="宋体" w:cs="宋体"/>
                <w:sz w:val="22"/>
                <w:szCs w:val="22"/>
              </w:rPr>
            </w:pPr>
            <w:r>
              <w:rPr>
                <w:rFonts w:hint="eastAsia" w:ascii="宋体" w:hAnsi="宋体" w:cs="宋体"/>
                <w:sz w:val="22"/>
                <w:szCs w:val="22"/>
              </w:rPr>
              <w:t>2、交付地点：采购人指定地点（北流市人民医院内）。</w:t>
            </w:r>
          </w:p>
        </w:tc>
      </w:tr>
      <w:tr w14:paraId="63EC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3503D787">
            <w:pPr>
              <w:wordWrap w:val="0"/>
              <w:spacing w:line="300" w:lineRule="auto"/>
              <w:jc w:val="center"/>
              <w:rPr>
                <w:rFonts w:ascii="宋体" w:hAnsi="宋体" w:cs="宋体"/>
                <w:b/>
                <w:bCs/>
                <w:sz w:val="22"/>
                <w:szCs w:val="22"/>
              </w:rPr>
            </w:pPr>
            <w:r>
              <w:rPr>
                <w:rFonts w:hint="eastAsia" w:ascii="宋体" w:hAnsi="宋体" w:cs="宋体"/>
                <w:b/>
                <w:bCs/>
                <w:sz w:val="22"/>
                <w:szCs w:val="22"/>
              </w:rPr>
              <w:t>合同签订时间</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11536678">
            <w:pPr>
              <w:wordWrap w:val="0"/>
              <w:spacing w:line="300" w:lineRule="auto"/>
              <w:ind w:firstLine="440" w:firstLineChars="200"/>
              <w:rPr>
                <w:rFonts w:ascii="宋体" w:hAnsi="宋体" w:cs="宋体"/>
                <w:b/>
                <w:sz w:val="22"/>
                <w:szCs w:val="22"/>
              </w:rPr>
            </w:pPr>
            <w:r>
              <w:rPr>
                <w:rFonts w:hint="eastAsia" w:ascii="宋体" w:hAnsi="宋体" w:cs="宋体"/>
                <w:sz w:val="22"/>
                <w:szCs w:val="22"/>
              </w:rPr>
              <w:t>自成交通知书发出之日起</w:t>
            </w:r>
            <w:r>
              <w:rPr>
                <w:rFonts w:hint="eastAsia" w:ascii="宋体" w:hAnsi="宋体" w:cs="宋体"/>
                <w:sz w:val="22"/>
                <w:szCs w:val="22"/>
                <w:u w:val="single"/>
              </w:rPr>
              <w:t>25</w:t>
            </w:r>
            <w:r>
              <w:rPr>
                <w:rFonts w:hint="eastAsia" w:ascii="宋体" w:hAnsi="宋体" w:cs="宋体"/>
                <w:sz w:val="22"/>
                <w:szCs w:val="22"/>
              </w:rPr>
              <w:t>日内。</w:t>
            </w:r>
          </w:p>
        </w:tc>
      </w:tr>
      <w:tr w14:paraId="785DA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1" w:hRule="atLeast"/>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000779CF">
            <w:pPr>
              <w:wordWrap w:val="0"/>
              <w:spacing w:line="300" w:lineRule="auto"/>
              <w:jc w:val="center"/>
              <w:rPr>
                <w:rFonts w:ascii="宋体" w:hAnsi="宋体" w:cs="宋体"/>
                <w:b/>
                <w:bCs/>
                <w:sz w:val="22"/>
                <w:szCs w:val="22"/>
              </w:rPr>
            </w:pPr>
            <w:r>
              <w:rPr>
                <w:rFonts w:hint="eastAsia" w:ascii="宋体" w:hAnsi="宋体" w:cs="宋体"/>
                <w:b/>
                <w:bCs/>
                <w:sz w:val="22"/>
                <w:szCs w:val="22"/>
              </w:rPr>
              <w:t>付款条件（进度和方式）</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34567769">
            <w:pPr>
              <w:pStyle w:val="5"/>
              <w:ind w:left="0" w:leftChars="0" w:firstLine="0" w:firstLineChars="0"/>
              <w:rPr>
                <w:rFonts w:ascii="宋体" w:hAnsi="宋体" w:cs="宋体"/>
                <w:bCs/>
                <w:sz w:val="22"/>
                <w:szCs w:val="28"/>
              </w:rPr>
            </w:pPr>
            <w:r>
              <w:rPr>
                <w:rFonts w:hint="eastAsia" w:ascii="宋体" w:hAnsi="宋体" w:cs="宋体"/>
                <w:sz w:val="22"/>
                <w:szCs w:val="22"/>
              </w:rPr>
              <w:t>本项目款项分期支付:</w:t>
            </w:r>
            <w:r>
              <w:rPr>
                <w:rFonts w:hint="eastAsia" w:ascii="宋体" w:hAnsi="宋体" w:cs="宋体"/>
                <w:bCs/>
                <w:sz w:val="22"/>
                <w:szCs w:val="28"/>
              </w:rPr>
              <w:t>第一期:电梯到货后，进场开工，10个工作日内支付合同总价的30%。</w:t>
            </w:r>
          </w:p>
          <w:p w14:paraId="7F9D488A">
            <w:pPr>
              <w:pStyle w:val="5"/>
              <w:ind w:left="0" w:leftChars="0" w:firstLine="0" w:firstLineChars="0"/>
              <w:rPr>
                <w:rFonts w:ascii="宋体" w:hAnsi="宋体" w:cs="宋体"/>
                <w:bCs/>
                <w:sz w:val="22"/>
                <w:szCs w:val="28"/>
              </w:rPr>
            </w:pPr>
            <w:r>
              <w:rPr>
                <w:rFonts w:hint="eastAsia" w:ascii="宋体" w:hAnsi="宋体" w:cs="宋体"/>
                <w:bCs/>
                <w:sz w:val="22"/>
                <w:szCs w:val="28"/>
              </w:rPr>
              <w:t>第二期:电梯安装完毕，经国家检测部门检验合格并正式投入使用后支付合同总价的30%。</w:t>
            </w:r>
          </w:p>
          <w:p w14:paraId="51B839D0">
            <w:pPr>
              <w:pStyle w:val="5"/>
              <w:ind w:left="0" w:leftChars="0" w:firstLine="0" w:firstLineChars="0"/>
              <w:rPr>
                <w:rFonts w:ascii="宋体" w:hAnsi="宋体" w:cs="宋体"/>
                <w:bCs/>
                <w:sz w:val="22"/>
                <w:szCs w:val="28"/>
              </w:rPr>
            </w:pPr>
            <w:r>
              <w:rPr>
                <w:rFonts w:hint="eastAsia" w:ascii="宋体" w:hAnsi="宋体" w:cs="宋体"/>
                <w:bCs/>
                <w:sz w:val="22"/>
                <w:szCs w:val="28"/>
              </w:rPr>
              <w:t>第三期:经国家检测部门检验合格并正式投入使用后6个月支付合同总价的30%。</w:t>
            </w:r>
          </w:p>
          <w:p w14:paraId="7BA933E6">
            <w:pPr>
              <w:pStyle w:val="5"/>
              <w:ind w:left="0" w:leftChars="0" w:firstLine="0" w:firstLineChars="0"/>
              <w:rPr>
                <w:rFonts w:ascii="宋体" w:hAnsi="宋体" w:cs="宋体"/>
                <w:sz w:val="22"/>
                <w:szCs w:val="22"/>
              </w:rPr>
            </w:pPr>
            <w:r>
              <w:rPr>
                <w:rFonts w:hint="eastAsia" w:ascii="宋体" w:hAnsi="宋体" w:cs="宋体"/>
                <w:bCs/>
                <w:sz w:val="22"/>
                <w:szCs w:val="28"/>
              </w:rPr>
              <w:t>第四期:经国家检测部门检验合格并正式投入使用后6个月支付合同总价的10%。</w:t>
            </w:r>
          </w:p>
        </w:tc>
      </w:tr>
      <w:tr w14:paraId="1B4B8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6" w:hRule="atLeast"/>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7D192DBE">
            <w:pPr>
              <w:wordWrap w:val="0"/>
              <w:spacing w:line="300" w:lineRule="auto"/>
              <w:jc w:val="center"/>
              <w:rPr>
                <w:rFonts w:ascii="宋体" w:hAnsi="宋体" w:cs="宋体"/>
                <w:b/>
                <w:bCs/>
                <w:sz w:val="22"/>
                <w:szCs w:val="22"/>
              </w:rPr>
            </w:pPr>
            <w:r>
              <w:rPr>
                <w:rFonts w:hint="eastAsia" w:ascii="宋体" w:hAnsi="宋体" w:cs="宋体"/>
                <w:b/>
                <w:bCs/>
                <w:sz w:val="22"/>
                <w:szCs w:val="22"/>
              </w:rPr>
              <w:t>服务要求</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1AC5C681">
            <w:pPr>
              <w:numPr>
                <w:ilvl w:val="0"/>
                <w:numId w:val="1"/>
              </w:numPr>
              <w:wordWrap w:val="0"/>
              <w:spacing w:line="300" w:lineRule="auto"/>
              <w:ind w:firstLine="440" w:firstLineChars="200"/>
              <w:rPr>
                <w:rFonts w:ascii="宋体" w:hAnsi="宋体" w:cs="宋体"/>
                <w:sz w:val="22"/>
                <w:szCs w:val="22"/>
              </w:rPr>
            </w:pPr>
            <w:r>
              <w:rPr>
                <w:rFonts w:hint="eastAsia" w:ascii="宋体" w:hAnsi="宋体" w:cs="宋体"/>
                <w:sz w:val="22"/>
                <w:szCs w:val="22"/>
              </w:rPr>
              <w:t>电梯符合中国国家标准GB7588-2023《电梯制造与安装安全规范》。</w:t>
            </w:r>
          </w:p>
          <w:p w14:paraId="299655D5">
            <w:pPr>
              <w:numPr>
                <w:ilvl w:val="0"/>
                <w:numId w:val="1"/>
              </w:numPr>
              <w:wordWrap w:val="0"/>
              <w:spacing w:line="300" w:lineRule="auto"/>
              <w:ind w:firstLine="440" w:firstLineChars="200"/>
              <w:rPr>
                <w:rFonts w:ascii="宋体" w:hAnsi="宋体" w:cs="宋体"/>
                <w:sz w:val="22"/>
                <w:szCs w:val="22"/>
              </w:rPr>
            </w:pPr>
            <w:r>
              <w:rPr>
                <w:rFonts w:hint="eastAsia" w:ascii="宋体" w:hAnsi="宋体" w:cs="宋体"/>
                <w:sz w:val="22"/>
                <w:szCs w:val="22"/>
              </w:rPr>
              <w:t>合同签订完毕后60天内交货，30天安装完毕。投入使用后按国家法律法规要求提供所有的特种设备资料给院方，并配合院方办理电梯使用的各种证照。</w:t>
            </w:r>
          </w:p>
          <w:p w14:paraId="54915AE6">
            <w:pPr>
              <w:numPr>
                <w:ilvl w:val="0"/>
                <w:numId w:val="1"/>
              </w:numPr>
              <w:wordWrap w:val="0"/>
              <w:spacing w:line="300" w:lineRule="auto"/>
              <w:ind w:firstLine="440" w:firstLineChars="200"/>
              <w:rPr>
                <w:rFonts w:ascii="宋体" w:hAnsi="宋体" w:cs="宋体"/>
                <w:sz w:val="22"/>
                <w:szCs w:val="22"/>
              </w:rPr>
            </w:pPr>
            <w:r>
              <w:rPr>
                <w:rFonts w:hint="eastAsia" w:ascii="宋体" w:hAnsi="宋体" w:cs="宋体"/>
                <w:sz w:val="22"/>
                <w:szCs w:val="22"/>
              </w:rPr>
              <w:t>电梯质保三年，并于安装完成交付使用一年内负责“三包”，不包括任何因使用不当或不可抗拒力而损坏的零件及装修材料的更换:如因投标方原因导致电梯不能于合同签订后3个月完成安装，“三包”期则从合同供货期起十八个月后失效。</w:t>
            </w:r>
          </w:p>
          <w:p w14:paraId="56CFDB03">
            <w:pPr>
              <w:numPr>
                <w:ilvl w:val="0"/>
                <w:numId w:val="1"/>
              </w:numPr>
              <w:wordWrap w:val="0"/>
              <w:spacing w:line="300" w:lineRule="auto"/>
              <w:ind w:firstLine="440" w:firstLineChars="200"/>
              <w:rPr>
                <w:rFonts w:ascii="宋体" w:hAnsi="宋体" w:cs="宋体"/>
                <w:sz w:val="22"/>
                <w:szCs w:val="22"/>
              </w:rPr>
            </w:pPr>
            <w:r>
              <w:rPr>
                <w:rFonts w:hint="eastAsia" w:ascii="宋体" w:hAnsi="宋体" w:cs="宋体"/>
                <w:sz w:val="22"/>
                <w:szCs w:val="22"/>
              </w:rPr>
              <w:t>电梯安装完成后一年内提供每月二次的免费保养，同期提供全天24小时免费应急维修服务。</w:t>
            </w:r>
          </w:p>
          <w:p w14:paraId="187D43C9">
            <w:pPr>
              <w:numPr>
                <w:ilvl w:val="0"/>
                <w:numId w:val="1"/>
              </w:numPr>
              <w:wordWrap w:val="0"/>
              <w:spacing w:line="300" w:lineRule="auto"/>
              <w:ind w:firstLine="440" w:firstLineChars="200"/>
              <w:rPr>
                <w:rFonts w:ascii="宋体" w:hAnsi="宋体" w:cs="宋体"/>
                <w:sz w:val="22"/>
                <w:szCs w:val="22"/>
              </w:rPr>
            </w:pPr>
            <w:r>
              <w:rPr>
                <w:rFonts w:hint="eastAsia" w:ascii="宋体" w:hAnsi="宋体" w:cs="宋体"/>
                <w:sz w:val="22"/>
                <w:szCs w:val="22"/>
              </w:rPr>
              <w:t>质保期满后终身提供有偿保养和保修服务，另有约定的按约定进行。</w:t>
            </w:r>
          </w:p>
          <w:p w14:paraId="7932EE26">
            <w:pPr>
              <w:wordWrap w:val="0"/>
              <w:spacing w:line="288" w:lineRule="auto"/>
              <w:rPr>
                <w:rFonts w:ascii="宋体" w:hAnsi="宋体" w:cs="宋体"/>
                <w:sz w:val="22"/>
                <w:szCs w:val="22"/>
              </w:rPr>
            </w:pPr>
          </w:p>
        </w:tc>
      </w:tr>
      <w:tr w14:paraId="42F62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697E0B15">
            <w:pPr>
              <w:wordWrap w:val="0"/>
              <w:spacing w:line="300" w:lineRule="auto"/>
              <w:jc w:val="center"/>
              <w:rPr>
                <w:rFonts w:ascii="宋体" w:hAnsi="宋体" w:cs="宋体"/>
                <w:b/>
                <w:bCs/>
                <w:sz w:val="22"/>
                <w:szCs w:val="22"/>
              </w:rPr>
            </w:pPr>
            <w:r>
              <w:rPr>
                <w:rFonts w:hint="eastAsia" w:ascii="宋体" w:hAnsi="宋体" w:cs="宋体"/>
                <w:b/>
                <w:bCs/>
                <w:sz w:val="22"/>
                <w:szCs w:val="22"/>
              </w:rPr>
              <w:t>报价及</w:t>
            </w:r>
          </w:p>
          <w:p w14:paraId="2D007C56">
            <w:pPr>
              <w:wordWrap w:val="0"/>
              <w:spacing w:line="300" w:lineRule="auto"/>
              <w:jc w:val="center"/>
              <w:rPr>
                <w:rFonts w:ascii="宋体" w:hAnsi="宋体" w:cs="宋体"/>
                <w:b/>
                <w:bCs/>
                <w:sz w:val="22"/>
                <w:szCs w:val="22"/>
              </w:rPr>
            </w:pPr>
            <w:r>
              <w:rPr>
                <w:rFonts w:hint="eastAsia" w:ascii="宋体" w:hAnsi="宋体" w:cs="宋体"/>
                <w:b/>
                <w:bCs/>
                <w:sz w:val="22"/>
                <w:szCs w:val="22"/>
              </w:rPr>
              <w:t>其他要求</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00E9661C">
            <w:pPr>
              <w:numPr>
                <w:ilvl w:val="0"/>
                <w:numId w:val="2"/>
              </w:numPr>
              <w:wordWrap w:val="0"/>
              <w:spacing w:line="300" w:lineRule="auto"/>
              <w:ind w:firstLine="440"/>
              <w:rPr>
                <w:rFonts w:ascii="宋体" w:hAnsi="宋体" w:cs="宋体"/>
                <w:sz w:val="22"/>
                <w:szCs w:val="22"/>
              </w:rPr>
            </w:pPr>
            <w:r>
              <w:rPr>
                <w:rFonts w:hint="eastAsia" w:ascii="宋体" w:hAnsi="宋体" w:cs="宋体"/>
                <w:sz w:val="22"/>
                <w:szCs w:val="22"/>
              </w:rPr>
              <w:t>磋商报价是履行合同的最终价格，报价应包括本次采购范围内服务价款，同时包括服务过程中所需服务的价格、技术支持、售后服务、必要的保险费用和各项税费、培训费用（包括但不限于场地费、教材等）、派出工作人员的交通费、住宿费、伙食补助费、售后服务费用、检验、验收费用及其他所有成本费用的总和；供应商综合考虑在报价中。</w:t>
            </w:r>
          </w:p>
          <w:p w14:paraId="4D25FB2E">
            <w:pPr>
              <w:numPr>
                <w:ilvl w:val="0"/>
                <w:numId w:val="2"/>
              </w:numPr>
              <w:wordWrap w:val="0"/>
              <w:spacing w:line="300" w:lineRule="auto"/>
              <w:ind w:firstLine="440" w:firstLineChars="200"/>
              <w:rPr>
                <w:rFonts w:ascii="宋体" w:hAnsi="宋体" w:cs="宋体"/>
                <w:sz w:val="22"/>
                <w:szCs w:val="22"/>
              </w:rPr>
            </w:pPr>
            <w:r>
              <w:rPr>
                <w:rFonts w:hint="eastAsia" w:ascii="宋体" w:hAnsi="宋体" w:cs="宋体"/>
                <w:sz w:val="22"/>
                <w:szCs w:val="22"/>
              </w:rPr>
              <w:t>以采购预算金额为最高限价，供应商的竞标报价超最高限价的即</w:t>
            </w:r>
            <w:r>
              <w:rPr>
                <w:rFonts w:hint="eastAsia" w:ascii="宋体" w:hAnsi="宋体" w:cs="宋体"/>
                <w:b/>
                <w:bCs/>
                <w:sz w:val="22"/>
                <w:szCs w:val="22"/>
              </w:rPr>
              <w:t>按竞标无效处理</w:t>
            </w:r>
            <w:r>
              <w:rPr>
                <w:rFonts w:hint="eastAsia" w:ascii="宋体" w:hAnsi="宋体" w:cs="宋体"/>
                <w:sz w:val="22"/>
                <w:szCs w:val="22"/>
              </w:rPr>
              <w:t>。</w:t>
            </w:r>
          </w:p>
        </w:tc>
      </w:tr>
      <w:tr w14:paraId="30974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13B18DEB">
            <w:pPr>
              <w:wordWrap w:val="0"/>
              <w:spacing w:line="300" w:lineRule="auto"/>
              <w:jc w:val="center"/>
              <w:rPr>
                <w:rFonts w:ascii="宋体" w:hAnsi="宋体" w:cs="宋体"/>
                <w:b/>
                <w:bCs/>
                <w:sz w:val="22"/>
                <w:szCs w:val="22"/>
              </w:rPr>
            </w:pPr>
            <w:r>
              <w:rPr>
                <w:rFonts w:hint="eastAsia" w:ascii="宋体" w:hAnsi="宋体" w:cs="宋体"/>
                <w:b/>
                <w:bCs/>
                <w:sz w:val="22"/>
                <w:szCs w:val="22"/>
              </w:rPr>
              <w:t>保密要求</w:t>
            </w:r>
          </w:p>
        </w:tc>
        <w:tc>
          <w:tcPr>
            <w:tcW w:w="8116" w:type="dxa"/>
            <w:gridSpan w:val="3"/>
            <w:tcBorders>
              <w:top w:val="single" w:color="auto" w:sz="4" w:space="0"/>
              <w:left w:val="single" w:color="auto" w:sz="4" w:space="0"/>
              <w:bottom w:val="single" w:color="auto" w:sz="4" w:space="0"/>
              <w:right w:val="single" w:color="auto" w:sz="4" w:space="0"/>
            </w:tcBorders>
          </w:tcPr>
          <w:p w14:paraId="7F6B86AB">
            <w:pPr>
              <w:wordWrap w:val="0"/>
              <w:spacing w:line="300" w:lineRule="auto"/>
              <w:ind w:firstLine="440" w:firstLineChars="200"/>
              <w:rPr>
                <w:rFonts w:ascii="宋体" w:hAnsi="宋体" w:cs="宋体"/>
                <w:sz w:val="22"/>
                <w:szCs w:val="22"/>
              </w:rPr>
            </w:pPr>
            <w:r>
              <w:rPr>
                <w:rFonts w:hint="eastAsia" w:ascii="宋体" w:hAnsi="宋体" w:cs="宋体"/>
                <w:sz w:val="22"/>
                <w:szCs w:val="22"/>
              </w:rPr>
              <w:t>1、成交供应商在双方合作过程中，必须为采购人保守秘密，一旦泄密，将遵照有关法律、法规追究磋商供应商及责任人的法律责任。</w:t>
            </w:r>
          </w:p>
          <w:p w14:paraId="69AF0AF7">
            <w:pPr>
              <w:wordWrap w:val="0"/>
              <w:spacing w:line="300" w:lineRule="auto"/>
              <w:ind w:firstLine="440" w:firstLineChars="200"/>
              <w:rPr>
                <w:rFonts w:ascii="宋体" w:hAnsi="宋体" w:cs="宋体"/>
                <w:sz w:val="22"/>
                <w:szCs w:val="22"/>
              </w:rPr>
            </w:pPr>
            <w:r>
              <w:rPr>
                <w:rFonts w:hint="eastAsia" w:ascii="宋体" w:hAnsi="宋体" w:cs="宋体"/>
                <w:sz w:val="22"/>
                <w:szCs w:val="22"/>
              </w:rPr>
              <w:t>2、成交供应商应严格遵守国家有关保密法律法规，不得泄露与本项目有关的秘密，不得将其用于履行本项目之外的其他用途，造成泄密的，将依法追究有关人员的法律责任。</w:t>
            </w:r>
          </w:p>
        </w:tc>
      </w:tr>
      <w:tr w14:paraId="1DE3B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74714EEC">
            <w:pPr>
              <w:wordWrap w:val="0"/>
              <w:spacing w:line="300" w:lineRule="auto"/>
              <w:jc w:val="center"/>
              <w:rPr>
                <w:rFonts w:ascii="宋体" w:hAnsi="宋体" w:cs="宋体"/>
                <w:b/>
                <w:bCs/>
                <w:sz w:val="22"/>
                <w:szCs w:val="22"/>
              </w:rPr>
            </w:pPr>
            <w:r>
              <w:rPr>
                <w:rFonts w:hint="eastAsia" w:ascii="宋体" w:hAnsi="宋体" w:cs="宋体"/>
                <w:b/>
                <w:bCs/>
                <w:sz w:val="22"/>
                <w:szCs w:val="22"/>
              </w:rPr>
              <w:t>验收标准</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598E5D3E">
            <w:pPr>
              <w:numPr>
                <w:ilvl w:val="0"/>
                <w:numId w:val="3"/>
              </w:numPr>
              <w:wordWrap w:val="0"/>
              <w:spacing w:line="300" w:lineRule="auto"/>
              <w:ind w:firstLine="440" w:firstLineChars="200"/>
              <w:rPr>
                <w:rFonts w:ascii="宋体" w:hAnsi="宋体" w:cs="宋体"/>
                <w:sz w:val="22"/>
                <w:szCs w:val="22"/>
              </w:rPr>
            </w:pPr>
            <w:r>
              <w:rPr>
                <w:rFonts w:hint="eastAsia" w:ascii="宋体" w:hAnsi="宋体" w:cs="宋体"/>
                <w:sz w:val="22"/>
                <w:szCs w:val="22"/>
              </w:rPr>
              <w:t>参照《广西壮族自治区政府采购项目履约验收管理办法》（桂财采〔2015〕22号）及现行国家相关标准、行业标准、地方标准或者其他标准、规范。</w:t>
            </w:r>
          </w:p>
          <w:p w14:paraId="1621E2DA">
            <w:pPr>
              <w:numPr>
                <w:ilvl w:val="0"/>
                <w:numId w:val="3"/>
              </w:numPr>
              <w:wordWrap w:val="0"/>
              <w:spacing w:line="300" w:lineRule="auto"/>
              <w:ind w:firstLine="440" w:firstLineChars="200"/>
              <w:rPr>
                <w:rFonts w:ascii="宋体" w:hAnsi="宋体" w:cs="宋体"/>
                <w:sz w:val="22"/>
                <w:szCs w:val="22"/>
              </w:rPr>
            </w:pPr>
            <w:r>
              <w:rPr>
                <w:rFonts w:hint="eastAsia" w:ascii="宋体" w:hAnsi="宋体" w:cs="宋体"/>
                <w:sz w:val="22"/>
                <w:szCs w:val="22"/>
              </w:rPr>
              <w:t>合同履行过程中，采购人按照本项目合同及采购文件、成交供应商响应文件承诺进行验收（或委托具有相应资质的第三方机构进行验收，费用由成交供应商承担，竞标报价时应考虑报价风险），如货物验收不合格，由成交供应商按采购人（或第三方验收机构）要求整改，成交供应商不按要求整改或拒不整改的，采购人有权终止合同，给采购单位造成的损失等费用由成交供应商承担。如不符合采购文件项目需要及技术需求以及提供虚假承诺的，按相关规定做违约处理，采购人依据相关法律规定追究成交供应商的责任，由此带来的一切损失由成交供应商自行承担。</w:t>
            </w:r>
          </w:p>
          <w:p w14:paraId="627D4FC4">
            <w:pPr>
              <w:numPr>
                <w:ilvl w:val="0"/>
                <w:numId w:val="3"/>
              </w:numPr>
              <w:wordWrap w:val="0"/>
              <w:spacing w:line="300" w:lineRule="auto"/>
              <w:ind w:firstLine="440" w:firstLineChars="200"/>
              <w:rPr>
                <w:rFonts w:ascii="宋体" w:hAnsi="宋体" w:cs="宋体"/>
                <w:sz w:val="22"/>
                <w:szCs w:val="22"/>
              </w:rPr>
            </w:pPr>
            <w:r>
              <w:rPr>
                <w:rFonts w:hint="eastAsia" w:ascii="宋体" w:hAnsi="宋体" w:cs="宋体"/>
                <w:sz w:val="22"/>
                <w:szCs w:val="22"/>
              </w:rPr>
              <w:t>符合现行国家相关标准、行业标准、地方标准或者其他标准、规范。</w:t>
            </w:r>
          </w:p>
        </w:tc>
      </w:tr>
      <w:tr w14:paraId="6FB41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3" w:type="dxa"/>
            <w:gridSpan w:val="6"/>
            <w:tcBorders>
              <w:top w:val="single" w:color="auto" w:sz="4" w:space="0"/>
              <w:left w:val="single" w:color="auto" w:sz="4" w:space="0"/>
              <w:bottom w:val="single" w:color="auto" w:sz="4" w:space="0"/>
              <w:right w:val="single" w:color="auto" w:sz="4" w:space="0"/>
            </w:tcBorders>
            <w:vAlign w:val="center"/>
          </w:tcPr>
          <w:p w14:paraId="5DD44B34">
            <w:pPr>
              <w:wordWrap w:val="0"/>
              <w:spacing w:line="300" w:lineRule="auto"/>
              <w:rPr>
                <w:rFonts w:ascii="宋体" w:hAnsi="宋体" w:cs="宋体"/>
                <w:sz w:val="22"/>
                <w:szCs w:val="22"/>
              </w:rPr>
            </w:pPr>
            <w:r>
              <w:rPr>
                <w:rFonts w:hint="eastAsia" w:ascii="宋体" w:hAnsi="宋体" w:cs="宋体"/>
                <w:b/>
                <w:sz w:val="22"/>
                <w:szCs w:val="22"/>
              </w:rPr>
              <w:t>三、其他</w:t>
            </w:r>
          </w:p>
        </w:tc>
      </w:tr>
      <w:tr w14:paraId="4DC71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jc w:val="center"/>
        </w:trPr>
        <w:tc>
          <w:tcPr>
            <w:tcW w:w="1737" w:type="dxa"/>
            <w:gridSpan w:val="3"/>
            <w:tcBorders>
              <w:top w:val="single" w:color="auto" w:sz="4" w:space="0"/>
              <w:left w:val="single" w:color="auto" w:sz="4" w:space="0"/>
              <w:bottom w:val="single" w:color="auto" w:sz="4" w:space="0"/>
              <w:right w:val="single" w:color="auto" w:sz="4" w:space="0"/>
            </w:tcBorders>
            <w:vAlign w:val="center"/>
          </w:tcPr>
          <w:p w14:paraId="08FE4F72">
            <w:pPr>
              <w:wordWrap w:val="0"/>
              <w:spacing w:line="300" w:lineRule="auto"/>
              <w:jc w:val="center"/>
              <w:rPr>
                <w:rFonts w:ascii="宋体" w:hAnsi="宋体" w:cs="宋体"/>
                <w:sz w:val="22"/>
                <w:szCs w:val="22"/>
              </w:rPr>
            </w:pPr>
            <w:r>
              <w:rPr>
                <w:rFonts w:hint="eastAsia" w:ascii="宋体" w:hAnsi="宋体" w:cs="宋体"/>
                <w:b/>
                <w:bCs/>
                <w:sz w:val="22"/>
                <w:szCs w:val="22"/>
              </w:rPr>
              <w:t>其他要求及说明</w:t>
            </w:r>
          </w:p>
        </w:tc>
        <w:tc>
          <w:tcPr>
            <w:tcW w:w="8116" w:type="dxa"/>
            <w:gridSpan w:val="3"/>
            <w:tcBorders>
              <w:top w:val="single" w:color="auto" w:sz="4" w:space="0"/>
              <w:left w:val="single" w:color="auto" w:sz="4" w:space="0"/>
              <w:bottom w:val="single" w:color="auto" w:sz="4" w:space="0"/>
              <w:right w:val="single" w:color="auto" w:sz="4" w:space="0"/>
            </w:tcBorders>
            <w:vAlign w:val="center"/>
          </w:tcPr>
          <w:p w14:paraId="16B4C6FB">
            <w:pPr>
              <w:wordWrap w:val="0"/>
              <w:spacing w:line="300" w:lineRule="auto"/>
              <w:ind w:firstLine="385" w:firstLineChars="175"/>
              <w:jc w:val="left"/>
              <w:rPr>
                <w:rFonts w:ascii="宋体" w:hAnsi="宋体" w:cs="宋体"/>
                <w:sz w:val="22"/>
                <w:szCs w:val="22"/>
              </w:rPr>
            </w:pPr>
            <w:r>
              <w:rPr>
                <w:rFonts w:hint="eastAsia" w:ascii="宋体" w:hAnsi="宋体" w:cs="宋体"/>
                <w:sz w:val="22"/>
                <w:szCs w:val="22"/>
              </w:rPr>
              <w:t>1、供应商应根据项目情况编制符合项目需求的项目实施方案、项目团队配备情况和售后服务方案。</w:t>
            </w:r>
          </w:p>
        </w:tc>
      </w:tr>
    </w:tbl>
    <w:p w14:paraId="4B7E71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8427E"/>
    <w:multiLevelType w:val="singleLevel"/>
    <w:tmpl w:val="97A8427E"/>
    <w:lvl w:ilvl="0" w:tentative="0">
      <w:start w:val="1"/>
      <w:numFmt w:val="decimal"/>
      <w:suff w:val="nothing"/>
      <w:lvlText w:val="%1、"/>
      <w:lvlJc w:val="left"/>
    </w:lvl>
  </w:abstractNum>
  <w:abstractNum w:abstractNumId="1">
    <w:nsid w:val="04514FB4"/>
    <w:multiLevelType w:val="singleLevel"/>
    <w:tmpl w:val="04514FB4"/>
    <w:lvl w:ilvl="0" w:tentative="0">
      <w:start w:val="1"/>
      <w:numFmt w:val="decimal"/>
      <w:suff w:val="nothing"/>
      <w:lvlText w:val="%1、"/>
      <w:lvlJc w:val="left"/>
      <w:rPr>
        <w:rFonts w:hint="default" w:ascii="宋体" w:hAnsi="宋体" w:eastAsia="宋体" w:cs="宋体"/>
        <w:sz w:val="21"/>
        <w:szCs w:val="21"/>
      </w:rPr>
    </w:lvl>
  </w:abstractNum>
  <w:abstractNum w:abstractNumId="2">
    <w:nsid w:val="0ECA0B68"/>
    <w:multiLevelType w:val="singleLevel"/>
    <w:tmpl w:val="0ECA0B6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9A2440"/>
    <w:rsid w:val="19FA3FC3"/>
    <w:rsid w:val="1E5A58DA"/>
    <w:rsid w:val="490E120F"/>
    <w:rsid w:val="5B087695"/>
    <w:rsid w:val="74785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 w:type="paragraph" w:styleId="4">
    <w:name w:val="Body Text Indent"/>
    <w:basedOn w:val="1"/>
    <w:qFormat/>
    <w:uiPriority w:val="0"/>
    <w:pPr>
      <w:ind w:firstLine="830" w:firstLineChars="352"/>
    </w:pPr>
    <w:rPr>
      <w:rFonts w:ascii="仿宋_GB2312" w:eastAsia="仿宋_GB2312"/>
      <w:kern w:val="0"/>
      <w:sz w:val="32"/>
      <w:szCs w:val="20"/>
    </w:rPr>
  </w:style>
  <w:style w:type="paragraph" w:styleId="5">
    <w:name w:val="Body Text First Indent 2"/>
    <w:basedOn w:val="4"/>
    <w:qFormat/>
    <w:uiPriority w:val="0"/>
    <w:pPr>
      <w:spacing w:after="120"/>
      <w:ind w:left="420" w:leftChars="200" w:firstLine="420" w:firstLineChars="200"/>
    </w:pPr>
    <w:rPr>
      <w:rFonts w:ascii="Times New Roman" w:eastAsia="宋体"/>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2689</Words>
  <Characters>2898</Characters>
  <Lines>0</Lines>
  <Paragraphs>0</Paragraphs>
  <TotalTime>4</TotalTime>
  <ScaleCrop>false</ScaleCrop>
  <LinksUpToDate>false</LinksUpToDate>
  <CharactersWithSpaces>2903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2026-06-18T09:42:00Z</dcterms:created>
  <dc:creator>cg01</dc:creator>
  <cp:lastModifiedBy>广</cp:lastModifiedBy>
  <dcterms:modified xsi:type="dcterms:W3CDTF">2026-06-29T07:50:53Z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eyJoZGlkIjoiY2U5ZmY0N2ExZWQzYzlhNGNjMDA5NzI5YmJhMGEwOTEiLCJ1c2VySWQiOiIxMTIwODQyMDgxIn0=</vt:lpwstr>
  </property>
  <property fmtid="{D5CDD505-2E9C-101B-9397-08002B2CF9AE}" pid="4" name="ICV">
    <vt:lpwstr>713ED1F53FB44EA7A4CF5A9E477459BE_13</vt:lpwstr>
  </property>
</Properties>
</file>