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采购需求</w:t>
      </w:r>
    </w:p>
    <w:p>
      <w:pPr>
        <w:pStyle w:val="3"/>
        <w:bidi w:val="0"/>
        <w:spacing w:line="240" w:lineRule="auto"/>
      </w:pPr>
      <w:r>
        <w:rPr>
          <w:rFonts w:hint="eastAsia"/>
          <w:lang w:val="en-US" w:eastAsia="zh-CN"/>
        </w:rPr>
        <w:t>项目采购需求</w:t>
      </w:r>
    </w:p>
    <w:tbl>
      <w:tblPr>
        <w:tblStyle w:val="5"/>
        <w:tblW w:w="1064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592"/>
        <w:gridCol w:w="1268"/>
        <w:gridCol w:w="699"/>
        <w:gridCol w:w="75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5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5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jc w:val="center"/>
              <w:rPr>
                <w:rFonts w:hint="eastAsia" w:ascii="宋体" w:hAnsi="宋体" w:eastAsia="宋体" w:cs="宋体"/>
                <w:b/>
                <w:bCs/>
                <w:sz w:val="24"/>
                <w:szCs w:val="24"/>
              </w:rPr>
            </w:pPr>
            <w:r>
              <w:rPr>
                <w:rFonts w:hint="eastAsia" w:ascii="宋体" w:hAnsi="宋体" w:eastAsia="宋体" w:cs="宋体"/>
                <w:b/>
                <w:bCs/>
                <w:sz w:val="24"/>
                <w:szCs w:val="24"/>
              </w:rPr>
              <w:t>设备名称</w:t>
            </w:r>
          </w:p>
        </w:tc>
        <w:tc>
          <w:tcPr>
            <w:tcW w:w="12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电梯品牌及型号</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75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jc w:val="center"/>
              <w:rPr>
                <w:rFonts w:hint="eastAsia" w:ascii="宋体" w:hAnsi="宋体" w:eastAsia="宋体" w:cs="宋体"/>
                <w:b/>
                <w:bCs/>
                <w:sz w:val="24"/>
                <w:szCs w:val="24"/>
              </w:rPr>
            </w:pPr>
            <w:r>
              <w:rPr>
                <w:rFonts w:hint="eastAsia" w:ascii="宋体" w:hAnsi="宋体" w:eastAsia="宋体" w:cs="宋体"/>
                <w:b/>
                <w:bCs/>
                <w:sz w:val="24"/>
                <w:szCs w:val="24"/>
              </w:rPr>
              <w:t>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5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5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客梯</w:t>
            </w:r>
          </w:p>
        </w:tc>
        <w:tc>
          <w:tcPr>
            <w:tcW w:w="12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rPr>
              <w:t>杭州西奥电梯 Xmodel 3(MRL)</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jc w:val="center"/>
              <w:textAlignment w:val="center"/>
              <w:rPr>
                <w:rFonts w:hint="eastAsia" w:ascii="宋体" w:hAnsi="宋体" w:eastAsia="宋体" w:cs="宋体"/>
                <w:sz w:val="24"/>
                <w:szCs w:val="24"/>
              </w:rPr>
            </w:pPr>
            <w:r>
              <w:rPr>
                <w:rFonts w:hint="eastAsia" w:ascii="宋体" w:hAnsi="宋体" w:eastAsia="宋体" w:cs="宋体"/>
                <w:sz w:val="24"/>
                <w:szCs w:val="24"/>
              </w:rPr>
              <w:t>1</w:t>
            </w:r>
          </w:p>
        </w:tc>
        <w:tc>
          <w:tcPr>
            <w:tcW w:w="75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rPr>
                <w:rFonts w:hint="eastAsia" w:ascii="宋体" w:hAnsi="宋体" w:eastAsia="宋体" w:cs="宋体"/>
                <w:b/>
                <w:kern w:val="0"/>
                <w:sz w:val="24"/>
                <w:szCs w:val="24"/>
              </w:rPr>
            </w:pPr>
            <w:r>
              <w:rPr>
                <w:rFonts w:hint="eastAsia" w:ascii="宋体" w:hAnsi="宋体" w:eastAsia="宋体" w:cs="宋体"/>
                <w:b/>
                <w:kern w:val="0"/>
                <w:sz w:val="24"/>
                <w:szCs w:val="24"/>
              </w:rPr>
              <w:t>一、基本参数</w:t>
            </w:r>
          </w:p>
          <w:p>
            <w:pPr>
              <w:keepNext w:val="0"/>
              <w:keepLines w:val="0"/>
              <w:pageBreakBefore w:val="0"/>
              <w:kinsoku/>
              <w:wordWrap/>
              <w:overflowPunct/>
              <w:topLinePunct w:val="0"/>
              <w:bidi w:val="0"/>
              <w:snapToGrid/>
              <w:spacing w:line="360" w:lineRule="exact"/>
              <w:rPr>
                <w:rFonts w:hint="default"/>
                <w:sz w:val="24"/>
                <w:szCs w:val="24"/>
                <w:lang w:val="en-US" w:eastAsia="zh-CN"/>
              </w:rPr>
            </w:pPr>
            <w:r>
              <w:rPr>
                <w:rFonts w:hint="eastAsia" w:ascii="宋体" w:hAnsi="宋体" w:eastAsia="宋体" w:cs="宋体"/>
                <w:kern w:val="0"/>
                <w:sz w:val="24"/>
                <w:szCs w:val="24"/>
              </w:rPr>
              <w:t>1、电梯</w:t>
            </w:r>
            <w:r>
              <w:rPr>
                <w:rFonts w:hint="eastAsia" w:ascii="宋体" w:hAnsi="宋体" w:eastAsia="宋体" w:cs="宋体"/>
                <w:kern w:val="0"/>
                <w:sz w:val="24"/>
                <w:szCs w:val="24"/>
                <w:lang w:val="en-US" w:eastAsia="zh-CN"/>
              </w:rPr>
              <w:t>规格</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无机房客梯</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2、额定载重量（KG）：</w:t>
            </w:r>
            <w:r>
              <w:rPr>
                <w:rFonts w:hint="eastAsia" w:ascii="宋体" w:hAnsi="宋体" w:eastAsia="宋体" w:cs="宋体"/>
                <w:bCs/>
                <w:sz w:val="24"/>
                <w:szCs w:val="24"/>
                <w:lang w:val="en-US" w:eastAsia="zh-CN"/>
              </w:rPr>
              <w:t>1150</w:t>
            </w:r>
            <w:r>
              <w:rPr>
                <w:rFonts w:hint="eastAsia" w:ascii="宋体" w:hAnsi="宋体" w:eastAsia="宋体" w:cs="宋体"/>
                <w:kern w:val="0"/>
                <w:sz w:val="24"/>
                <w:szCs w:val="24"/>
              </w:rPr>
              <w:t>KG</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3、额定速度：</w:t>
            </w:r>
            <w:r>
              <w:rPr>
                <w:rFonts w:hint="eastAsia" w:ascii="宋体" w:hAnsi="宋体" w:eastAsia="宋体" w:cs="宋体"/>
                <w:color w:val="auto"/>
                <w:sz w:val="24"/>
                <w:szCs w:val="24"/>
                <w:shd w:val="clear" w:color="auto" w:fill="FFFFFF"/>
                <w:lang w:val="en-US" w:eastAsia="zh-CN"/>
              </w:rPr>
              <w:t>1</w:t>
            </w:r>
            <w:r>
              <w:rPr>
                <w:rFonts w:hint="eastAsia" w:ascii="宋体" w:hAnsi="宋体" w:eastAsia="宋体" w:cs="宋体"/>
                <w:color w:val="auto"/>
                <w:sz w:val="24"/>
                <w:szCs w:val="24"/>
                <w:shd w:val="clear" w:color="auto" w:fill="FFFFFF"/>
              </w:rPr>
              <w:t xml:space="preserve">m/s </w:t>
            </w:r>
          </w:p>
          <w:p>
            <w:pPr>
              <w:keepNext w:val="0"/>
              <w:keepLines w:val="0"/>
              <w:pageBreakBefore w:val="0"/>
              <w:numPr>
                <w:ilvl w:val="0"/>
                <w:numId w:val="1"/>
              </w:numPr>
              <w:kinsoku/>
              <w:wordWrap/>
              <w:overflowPunct/>
              <w:topLinePunct w:val="0"/>
              <w:bidi w:val="0"/>
              <w:snapToGrid/>
              <w:spacing w:line="360" w:lineRule="exact"/>
              <w:rPr>
                <w:rFonts w:hint="eastAsia" w:ascii="宋体" w:hAnsi="宋体" w:eastAsia="宋体" w:cs="宋体"/>
                <w:sz w:val="24"/>
                <w:szCs w:val="24"/>
                <w:shd w:val="clear" w:color="auto" w:fill="FFFFFF"/>
                <w:lang w:val="en-US" w:eastAsia="zh-CN"/>
              </w:rPr>
            </w:pPr>
            <w:r>
              <w:rPr>
                <w:rFonts w:hint="eastAsia" w:ascii="宋体" w:hAnsi="宋体" w:eastAsia="宋体" w:cs="宋体"/>
                <w:kern w:val="0"/>
                <w:sz w:val="24"/>
                <w:szCs w:val="24"/>
              </w:rPr>
              <w:t>层/站/门：</w:t>
            </w:r>
            <w:r>
              <w:rPr>
                <w:rFonts w:hint="eastAsia" w:ascii="宋体" w:hAnsi="宋体" w:eastAsia="宋体" w:cs="宋体"/>
                <w:b/>
                <w:bCs/>
                <w:color w:val="auto"/>
                <w:kern w:val="0"/>
                <w:sz w:val="24"/>
                <w:szCs w:val="24"/>
                <w:lang w:val="en-US" w:eastAsia="zh-CN"/>
              </w:rPr>
              <w:t>5</w:t>
            </w:r>
            <w:r>
              <w:rPr>
                <w:rFonts w:hint="eastAsia" w:ascii="宋体" w:hAnsi="宋体" w:eastAsia="宋体" w:cs="宋体"/>
                <w:b/>
                <w:bCs/>
                <w:color w:val="auto"/>
                <w:sz w:val="24"/>
                <w:szCs w:val="24"/>
                <w:shd w:val="clear" w:color="auto" w:fill="FFFFFF"/>
              </w:rPr>
              <w:t>/</w:t>
            </w:r>
            <w:r>
              <w:rPr>
                <w:rFonts w:hint="eastAsia" w:ascii="宋体" w:hAnsi="宋体" w:eastAsia="宋体" w:cs="宋体"/>
                <w:b/>
                <w:bCs/>
                <w:color w:val="auto"/>
                <w:sz w:val="24"/>
                <w:szCs w:val="24"/>
                <w:shd w:val="clear" w:color="auto" w:fill="FFFFFF"/>
                <w:lang w:val="en-US" w:eastAsia="zh-CN"/>
              </w:rPr>
              <w:t>5</w:t>
            </w:r>
            <w:r>
              <w:rPr>
                <w:rFonts w:hint="eastAsia" w:ascii="宋体" w:hAnsi="宋体" w:eastAsia="宋体" w:cs="宋体"/>
                <w:b/>
                <w:bCs/>
                <w:color w:val="auto"/>
                <w:sz w:val="24"/>
                <w:szCs w:val="24"/>
                <w:shd w:val="clear" w:color="auto" w:fill="FFFFFF"/>
              </w:rPr>
              <w:t>/</w:t>
            </w:r>
            <w:r>
              <w:rPr>
                <w:rFonts w:hint="eastAsia" w:ascii="宋体" w:hAnsi="宋体" w:eastAsia="宋体" w:cs="宋体"/>
                <w:b/>
                <w:bCs/>
                <w:color w:val="auto"/>
                <w:sz w:val="24"/>
                <w:szCs w:val="24"/>
                <w:shd w:val="clear" w:color="auto" w:fill="FFFFFF"/>
                <w:lang w:val="en-US" w:eastAsia="zh-CN"/>
              </w:rPr>
              <w:t>5</w:t>
            </w:r>
          </w:p>
          <w:p>
            <w:pPr>
              <w:keepNext w:val="0"/>
              <w:keepLines w:val="0"/>
              <w:pageBreakBefore w:val="0"/>
              <w:numPr>
                <w:ilvl w:val="0"/>
                <w:numId w:val="0"/>
              </w:numPr>
              <w:kinsoku/>
              <w:wordWrap/>
              <w:overflowPunct/>
              <w:topLinePunct w:val="0"/>
              <w:bidi w:val="0"/>
              <w:snapToGrid/>
              <w:spacing w:line="360" w:lineRule="exact"/>
              <w:rPr>
                <w:rFonts w:hint="eastAsia" w:ascii="宋体" w:hAnsi="宋体" w:eastAsia="宋体" w:cs="宋体"/>
                <w:color w:val="FF0000"/>
                <w:kern w:val="0"/>
                <w:sz w:val="24"/>
                <w:szCs w:val="24"/>
              </w:rPr>
            </w:pPr>
            <w:r>
              <w:rPr>
                <w:rFonts w:hint="eastAsia" w:ascii="宋体" w:hAnsi="宋体" w:eastAsia="宋体" w:cs="宋体"/>
                <w:kern w:val="0"/>
                <w:sz w:val="24"/>
                <w:szCs w:val="24"/>
              </w:rPr>
              <w:t>5、提升高度：</w:t>
            </w:r>
            <w:r>
              <w:rPr>
                <w:rFonts w:hint="eastAsia" w:ascii="宋体" w:hAnsi="宋体" w:eastAsia="宋体" w:cs="宋体"/>
                <w:color w:val="auto"/>
                <w:sz w:val="24"/>
                <w:szCs w:val="24"/>
                <w:shd w:val="clear" w:color="auto" w:fill="FFFFFF"/>
              </w:rPr>
              <w:t>H=</w:t>
            </w:r>
            <w:r>
              <w:rPr>
                <w:rFonts w:ascii="宋体" w:hAnsi="宋体" w:cs="微软雅黑"/>
                <w:color w:val="auto"/>
                <w:sz w:val="24"/>
                <w:szCs w:val="24"/>
                <w:shd w:val="clear" w:color="auto" w:fill="FFFFFF"/>
              </w:rPr>
              <w:t>1</w:t>
            </w:r>
            <w:r>
              <w:rPr>
                <w:rFonts w:ascii="宋体" w:hAnsi="宋体" w:cs="微软雅黑"/>
                <w:color w:val="000000"/>
                <w:sz w:val="24"/>
                <w:szCs w:val="24"/>
                <w:shd w:val="clear" w:color="auto" w:fill="FFFFFF"/>
              </w:rPr>
              <w:t>6.200m</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6、井道尺寸（宽×深）：</w:t>
            </w:r>
            <w:r>
              <w:rPr>
                <w:rFonts w:hint="eastAsia" w:ascii="宋体" w:hAnsi="宋体" w:eastAsia="宋体" w:cs="宋体"/>
                <w:sz w:val="24"/>
                <w:szCs w:val="24"/>
                <w:shd w:val="clear" w:color="auto" w:fill="FFFFFF"/>
                <w:lang w:val="en-US" w:eastAsia="zh-CN"/>
              </w:rPr>
              <w:t>2400mm*2400mm</w:t>
            </w:r>
            <w:r>
              <w:rPr>
                <w:rFonts w:hint="eastAsia" w:ascii="宋体" w:hAnsi="宋体" w:eastAsia="宋体" w:cs="宋体"/>
                <w:kern w:val="0"/>
                <w:sz w:val="24"/>
                <w:szCs w:val="24"/>
              </w:rPr>
              <w:t>。</w:t>
            </w:r>
            <w:r>
              <w:rPr>
                <w:rFonts w:hint="eastAsia" w:ascii="宋体" w:hAnsi="宋体" w:eastAsia="宋体" w:cs="宋体"/>
                <w:sz w:val="24"/>
                <w:szCs w:val="24"/>
              </w:rPr>
              <w:t>（具体以井道实测为准)</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7、轿厢尺寸（宽×深×高）：</w:t>
            </w:r>
            <w:r>
              <w:rPr>
                <w:rFonts w:ascii="宋体" w:hAnsi="宋体" w:cs="微软雅黑"/>
                <w:color w:val="000000"/>
                <w:sz w:val="24"/>
                <w:szCs w:val="24"/>
                <w:shd w:val="clear" w:color="auto" w:fill="FFFFFF"/>
              </w:rPr>
              <w:t>1600mm*1600mm</w:t>
            </w:r>
            <w:r>
              <w:rPr>
                <w:rFonts w:hint="eastAsia" w:ascii="宋体" w:hAnsi="宋体" w:eastAsia="宋体" w:cs="宋体"/>
                <w:sz w:val="24"/>
                <w:szCs w:val="24"/>
                <w:shd w:val="clear" w:color="auto" w:fill="FFFFFF"/>
              </w:rPr>
              <w:t>*2</w:t>
            </w:r>
            <w:r>
              <w:rPr>
                <w:rFonts w:hint="eastAsia" w:ascii="宋体" w:hAnsi="宋体" w:eastAsia="宋体" w:cs="宋体"/>
                <w:sz w:val="24"/>
                <w:szCs w:val="24"/>
                <w:shd w:val="clear" w:color="auto" w:fill="FFFFFF"/>
                <w:lang w:val="en-US" w:eastAsia="zh-CN"/>
              </w:rPr>
              <w:t>4</w:t>
            </w:r>
            <w:r>
              <w:rPr>
                <w:rFonts w:hint="eastAsia" w:ascii="宋体" w:hAnsi="宋体" w:eastAsia="宋体" w:cs="宋体"/>
                <w:sz w:val="24"/>
                <w:szCs w:val="24"/>
                <w:shd w:val="clear" w:color="auto" w:fill="FFFFFF"/>
              </w:rPr>
              <w:t>00mm</w:t>
            </w:r>
            <w:r>
              <w:rPr>
                <w:rFonts w:hint="eastAsia" w:ascii="宋体" w:hAnsi="宋体" w:eastAsia="宋体" w:cs="宋体"/>
                <w:kern w:val="0"/>
                <w:sz w:val="24"/>
                <w:szCs w:val="24"/>
              </w:rPr>
              <w:t>。（由生产厂家根据现场井道尺寸提供最大尺寸）</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8、开门尺寸（宽×高）：</w:t>
            </w:r>
            <w:r>
              <w:rPr>
                <w:rFonts w:hint="eastAsia" w:ascii="宋体" w:hAnsi="宋体" w:eastAsia="宋体" w:cs="宋体"/>
                <w:sz w:val="24"/>
                <w:szCs w:val="24"/>
                <w:shd w:val="clear" w:color="auto" w:fill="FFFFFF"/>
                <w:lang w:val="en-US" w:eastAsia="zh-CN"/>
              </w:rPr>
              <w:t>900</w:t>
            </w:r>
            <w:r>
              <w:rPr>
                <w:rFonts w:hint="eastAsia" w:ascii="宋体" w:hAnsi="宋体" w:eastAsia="宋体" w:cs="宋体"/>
                <w:sz w:val="24"/>
                <w:szCs w:val="24"/>
                <w:shd w:val="clear" w:color="auto" w:fill="FFFFFF"/>
              </w:rPr>
              <w:t>mm*</w:t>
            </w:r>
            <w:r>
              <w:rPr>
                <w:rFonts w:hint="eastAsia" w:ascii="宋体" w:hAnsi="宋体" w:eastAsia="宋体" w:cs="宋体"/>
                <w:sz w:val="24"/>
                <w:szCs w:val="24"/>
                <w:shd w:val="clear" w:color="auto" w:fill="FFFFFF"/>
                <w:lang w:val="en-US" w:eastAsia="zh-CN"/>
              </w:rPr>
              <w:t>21</w:t>
            </w:r>
            <w:r>
              <w:rPr>
                <w:rFonts w:hint="eastAsia" w:ascii="宋体" w:hAnsi="宋体" w:eastAsia="宋体" w:cs="宋体"/>
                <w:sz w:val="24"/>
                <w:szCs w:val="24"/>
                <w:shd w:val="clear" w:color="auto" w:fill="FFFFFF"/>
              </w:rPr>
              <w:t>00mm</w:t>
            </w:r>
            <w:r>
              <w:rPr>
                <w:rFonts w:hint="eastAsia" w:ascii="宋体" w:hAnsi="宋体" w:eastAsia="宋体" w:cs="宋体"/>
                <w:kern w:val="0"/>
                <w:sz w:val="24"/>
                <w:szCs w:val="24"/>
              </w:rPr>
              <w:t>。</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9、开门方式：中分门。</w:t>
            </w:r>
          </w:p>
          <w:p>
            <w:pPr>
              <w:keepNext w:val="0"/>
              <w:keepLines w:val="0"/>
              <w:pageBreakBefore w:val="0"/>
              <w:kinsoku/>
              <w:wordWrap/>
              <w:overflowPunct/>
              <w:topLinePunct w:val="0"/>
              <w:bidi w:val="0"/>
              <w:snapToGrid/>
              <w:spacing w:line="360" w:lineRule="exact"/>
              <w:rPr>
                <w:rFonts w:hint="eastAsia" w:ascii="宋体" w:hAnsi="宋体" w:eastAsia="宋体" w:cs="宋体"/>
                <w:color w:val="0070C0"/>
                <w:kern w:val="0"/>
                <w:sz w:val="24"/>
                <w:szCs w:val="24"/>
              </w:rPr>
            </w:pPr>
            <w:r>
              <w:rPr>
                <w:rFonts w:hint="eastAsia" w:ascii="宋体" w:hAnsi="宋体" w:eastAsia="宋体" w:cs="宋体"/>
                <w:kern w:val="0"/>
                <w:sz w:val="24"/>
                <w:szCs w:val="24"/>
              </w:rPr>
              <w:t>10、顶层高度：</w:t>
            </w:r>
            <w:r>
              <w:rPr>
                <w:rFonts w:hint="eastAsia" w:ascii="宋体" w:hAnsi="宋体" w:eastAsia="宋体" w:cs="宋体"/>
                <w:sz w:val="24"/>
                <w:szCs w:val="24"/>
                <w:shd w:val="clear" w:color="auto" w:fill="FFFFFF"/>
                <w:lang w:val="en-US" w:eastAsia="zh-CN"/>
              </w:rPr>
              <w:t>49</w:t>
            </w:r>
            <w:r>
              <w:rPr>
                <w:rFonts w:hint="eastAsia" w:ascii="宋体" w:hAnsi="宋体" w:eastAsia="宋体" w:cs="宋体"/>
                <w:sz w:val="24"/>
                <w:szCs w:val="24"/>
                <w:shd w:val="clear" w:color="auto" w:fill="FFFFFF"/>
              </w:rPr>
              <w:t>00mm</w:t>
            </w:r>
            <w:r>
              <w:rPr>
                <w:rFonts w:hint="eastAsia" w:ascii="宋体" w:hAnsi="宋体" w:eastAsia="宋体" w:cs="宋体"/>
                <w:kern w:val="0"/>
                <w:sz w:val="24"/>
                <w:szCs w:val="24"/>
              </w:rPr>
              <w:t>。</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11、底坑深度：</w:t>
            </w:r>
            <w:r>
              <w:rPr>
                <w:rFonts w:hint="eastAsia" w:ascii="宋体" w:hAnsi="宋体" w:eastAsia="宋体" w:cs="宋体"/>
                <w:sz w:val="24"/>
                <w:szCs w:val="24"/>
                <w:shd w:val="clear" w:color="auto" w:fill="FFFFFF"/>
                <w:lang w:val="en-US" w:eastAsia="zh-CN"/>
              </w:rPr>
              <w:t>14</w:t>
            </w:r>
            <w:r>
              <w:rPr>
                <w:rFonts w:hint="eastAsia" w:ascii="宋体" w:hAnsi="宋体" w:eastAsia="宋体" w:cs="宋体"/>
                <w:sz w:val="24"/>
                <w:szCs w:val="24"/>
                <w:shd w:val="clear" w:color="auto" w:fill="FFFFFF"/>
              </w:rPr>
              <w:t>00mm</w:t>
            </w:r>
            <w:r>
              <w:rPr>
                <w:rFonts w:hint="eastAsia" w:ascii="宋体" w:hAnsi="宋体" w:eastAsia="宋体" w:cs="宋体"/>
                <w:kern w:val="0"/>
                <w:sz w:val="24"/>
                <w:szCs w:val="24"/>
              </w:rPr>
              <w:t>。</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12、控制方式：</w:t>
            </w:r>
            <w:r>
              <w:rPr>
                <w:rFonts w:hint="eastAsia" w:ascii="宋体" w:hAnsi="宋体" w:eastAsia="宋体" w:cs="宋体"/>
                <w:kern w:val="0"/>
                <w:sz w:val="24"/>
                <w:szCs w:val="24"/>
                <w:lang w:val="en-US" w:eastAsia="zh-CN"/>
              </w:rPr>
              <w:t>单控</w:t>
            </w:r>
            <w:r>
              <w:rPr>
                <w:rFonts w:hint="eastAsia" w:ascii="宋体" w:hAnsi="宋体" w:eastAsia="宋体" w:cs="宋体"/>
                <w:kern w:val="0"/>
                <w:sz w:val="24"/>
                <w:szCs w:val="24"/>
              </w:rPr>
              <w:t>。</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13、</w:t>
            </w:r>
            <w:r>
              <w:rPr>
                <w:rFonts w:hint="eastAsia" w:ascii="宋体" w:hAnsi="宋体" w:eastAsia="宋体" w:cs="宋体"/>
                <w:sz w:val="24"/>
                <w:szCs w:val="24"/>
                <w:shd w:val="clear" w:color="auto" w:fill="FFFFFF"/>
              </w:rPr>
              <w:t>动力电源：电压：380V±7% 频率：50Hz 相数：3相5</w:t>
            </w:r>
            <w:r>
              <w:rPr>
                <w:rFonts w:hint="eastAsia" w:ascii="宋体" w:hAnsi="宋体" w:eastAsia="宋体" w:cs="宋体"/>
                <w:kern w:val="0"/>
                <w:sz w:val="24"/>
                <w:szCs w:val="24"/>
              </w:rPr>
              <w:t>线制，零线和地线始终分开。</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14：通讯方式：串行通讯技术</w:t>
            </w:r>
          </w:p>
          <w:p>
            <w:pPr>
              <w:pStyle w:val="4"/>
              <w:numPr>
                <w:ilvl w:val="0"/>
                <w:numId w:val="0"/>
              </w:numPr>
              <w:rPr>
                <w:rFonts w:hint="default"/>
                <w:sz w:val="24"/>
                <w:szCs w:val="24"/>
                <w:lang w:val="en-US" w:eastAsia="zh-CN"/>
              </w:rPr>
            </w:pPr>
          </w:p>
          <w:p>
            <w:pPr>
              <w:keepNext w:val="0"/>
              <w:keepLines w:val="0"/>
              <w:pageBreakBefore w:val="0"/>
              <w:numPr>
                <w:ilvl w:val="0"/>
                <w:numId w:val="2"/>
              </w:numPr>
              <w:kinsoku/>
              <w:wordWrap/>
              <w:overflowPunct/>
              <w:topLinePunct w:val="0"/>
              <w:bidi w:val="0"/>
              <w:snapToGrid/>
              <w:spacing w:line="360" w:lineRule="exact"/>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主要部件及技术要求</w:t>
            </w:r>
          </w:p>
          <w:p>
            <w:pPr>
              <w:keepNext w:val="0"/>
              <w:keepLines w:val="0"/>
              <w:pageBreakBefore w:val="0"/>
              <w:widowControl/>
              <w:kinsoku/>
              <w:wordWrap/>
              <w:overflowPunct/>
              <w:topLinePunct w:val="0"/>
              <w:bidi w:val="0"/>
              <w:snapToGrid/>
              <w:spacing w:line="360" w:lineRule="exact"/>
              <w:rPr>
                <w:rFonts w:hint="eastAsia" w:ascii="宋体" w:hAnsi="宋体" w:eastAsia="宋体" w:cs="宋体"/>
                <w:b w:val="0"/>
                <w:bCs w:val="0"/>
                <w:color w:val="auto"/>
                <w:sz w:val="24"/>
                <w:szCs w:val="24"/>
                <w:shd w:val="clear" w:color="auto" w:fill="FFFFFF"/>
              </w:rPr>
            </w:pPr>
            <w:r>
              <w:rPr>
                <w:rFonts w:hint="eastAsia" w:ascii="宋体" w:hAnsi="宋体" w:eastAsia="宋体" w:cs="宋体"/>
                <w:sz w:val="24"/>
                <w:szCs w:val="24"/>
              </w:rPr>
              <w:t>1、</w:t>
            </w:r>
            <w:r>
              <w:rPr>
                <w:rFonts w:hint="eastAsia" w:ascii="宋体" w:hAnsi="宋体" w:eastAsia="宋体" w:cs="宋体"/>
                <w:sz w:val="24"/>
                <w:szCs w:val="24"/>
                <w:shd w:val="clear" w:color="auto" w:fill="FFFFFF"/>
              </w:rPr>
              <w:t>主机、控制柜、限速器、安全钳、缓冲器、层门门锁、轿门门锁、上行超速保护装置</w:t>
            </w:r>
            <w:r>
              <w:rPr>
                <w:rFonts w:hint="eastAsia" w:ascii="宋体" w:hAnsi="宋体" w:eastAsia="宋体" w:cs="宋体"/>
                <w:sz w:val="24"/>
                <w:szCs w:val="24"/>
                <w:shd w:val="clear" w:color="auto" w:fill="FFFFFF"/>
                <w:lang w:eastAsia="zh-CN"/>
              </w:rPr>
              <w:t>、</w:t>
            </w:r>
            <w:r>
              <w:rPr>
                <w:rFonts w:hint="eastAsia" w:ascii="宋体" w:hAnsi="宋体" w:eastAsia="宋体" w:cs="宋体"/>
                <w:sz w:val="24"/>
                <w:szCs w:val="24"/>
                <w:shd w:val="clear" w:color="auto" w:fill="FFFFFF"/>
                <w:lang w:val="en-US" w:eastAsia="zh-CN"/>
              </w:rPr>
              <w:t>轿厢意外移动保护装置</w:t>
            </w:r>
            <w:r>
              <w:rPr>
                <w:rFonts w:hint="eastAsia" w:ascii="宋体" w:hAnsi="宋体" w:eastAsia="宋体" w:cs="宋体"/>
                <w:sz w:val="24"/>
                <w:szCs w:val="24"/>
                <w:shd w:val="clear" w:color="auto" w:fill="FFFFFF"/>
              </w:rPr>
              <w:t>必须为同品牌、原厂原品牌进行生产制造，外购和贴牌生产投标无效</w:t>
            </w:r>
            <w:r>
              <w:rPr>
                <w:rFonts w:hint="eastAsia" w:ascii="宋体" w:hAnsi="宋体" w:eastAsia="宋体" w:cs="宋体"/>
                <w:b w:val="0"/>
                <w:bCs w:val="0"/>
                <w:color w:val="auto"/>
                <w:sz w:val="24"/>
                <w:szCs w:val="24"/>
                <w:shd w:val="clear" w:color="auto" w:fill="FFFFFF"/>
              </w:rPr>
              <w:t>。</w:t>
            </w:r>
          </w:p>
          <w:p>
            <w:pPr>
              <w:keepNext w:val="0"/>
              <w:keepLines w:val="0"/>
              <w:pageBreakBefore w:val="0"/>
              <w:widowControl/>
              <w:kinsoku/>
              <w:wordWrap/>
              <w:overflowPunct/>
              <w:topLinePunct w:val="0"/>
              <w:bidi w:val="0"/>
              <w:snapToGrid/>
              <w:spacing w:line="36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2、主机</w:t>
            </w:r>
            <w:r>
              <w:rPr>
                <w:rFonts w:hint="eastAsia" w:ascii="宋体" w:hAnsi="宋体" w:eastAsia="宋体" w:cs="宋体"/>
                <w:sz w:val="24"/>
                <w:szCs w:val="24"/>
              </w:rPr>
              <w:t>：采用技术先进永磁同步无齿轮曳引机，高精度磁钢</w:t>
            </w:r>
            <w:r>
              <w:rPr>
                <w:rFonts w:hint="eastAsia" w:ascii="宋体" w:hAnsi="宋体" w:eastAsia="宋体" w:cs="宋体"/>
                <w:sz w:val="24"/>
                <w:szCs w:val="24"/>
                <w:lang w:eastAsia="zh-CN"/>
              </w:rPr>
              <w:t>，</w:t>
            </w:r>
            <w:r>
              <w:rPr>
                <w:rFonts w:hint="eastAsia" w:ascii="宋体" w:hAnsi="宋体" w:eastAsia="宋体" w:cs="宋体"/>
                <w:sz w:val="24"/>
                <w:szCs w:val="24"/>
              </w:rPr>
              <w:t>运用超静音抱闸、高强度减震板、减振垫等多重减震降噪措施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且曳引机整体结构稳定。</w:t>
            </w:r>
          </w:p>
          <w:p>
            <w:pPr>
              <w:keepNext w:val="0"/>
              <w:keepLines w:val="0"/>
              <w:pageBreakBefore w:val="0"/>
              <w:widowControl/>
              <w:numPr>
                <w:ilvl w:val="0"/>
                <w:numId w:val="0"/>
              </w:numPr>
              <w:kinsoku/>
              <w:wordWrap/>
              <w:overflowPunct/>
              <w:topLinePunct w:val="0"/>
              <w:bidi w:val="0"/>
              <w:snapToGrid/>
              <w:spacing w:line="360" w:lineRule="exact"/>
              <w:ind w:left="0" w:leftChars="0"/>
              <w:rPr>
                <w:rFonts w:hint="default"/>
                <w:sz w:val="24"/>
                <w:szCs w:val="24"/>
                <w:lang w:val="en-US" w:eastAsia="zh-CN"/>
              </w:rPr>
            </w:pPr>
            <w:r>
              <w:rPr>
                <w:rFonts w:hint="eastAsia" w:ascii="宋体" w:hAnsi="宋体" w:eastAsia="宋体" w:cs="宋体"/>
                <w:color w:val="auto"/>
                <w:kern w:val="2"/>
                <w:sz w:val="24"/>
                <w:szCs w:val="24"/>
                <w:lang w:val="en-US" w:eastAsia="zh-CN" w:bidi="ar-SA"/>
              </w:rPr>
              <w:t>3、</w:t>
            </w:r>
            <w:r>
              <w:rPr>
                <w:rFonts w:hint="eastAsia" w:ascii="宋体" w:hAnsi="宋体" w:eastAsia="宋体" w:cs="宋体"/>
                <w:color w:val="auto"/>
                <w:sz w:val="24"/>
                <w:szCs w:val="24"/>
                <w:lang w:val="en-US" w:eastAsia="zh-CN"/>
              </w:rPr>
              <w:t>控制系统：双32位CPU控制柜，进行雷击浪涌干扰测试，测试电压在25kV及以上。</w:t>
            </w:r>
          </w:p>
          <w:p>
            <w:pPr>
              <w:pStyle w:val="4"/>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4、操纵箱：轿内显示器需具备一定的抗冲击能力，按照GB/T2423.55进行锤击试验后检测结果为合格。</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5、光幕为原厂原品牌，且光幕束＞154束。</w:t>
            </w:r>
          </w:p>
          <w:p>
            <w:pPr>
              <w:pStyle w:val="4"/>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6、电梯三个安全部件限速器、安全钳、缓冲器，模拟寿命需≥20 年。</w:t>
            </w:r>
          </w:p>
          <w:p>
            <w:pPr>
              <w:rPr>
                <w:rFonts w:hint="default"/>
                <w:sz w:val="24"/>
                <w:szCs w:val="24"/>
                <w:lang w:val="en-US" w:eastAsia="zh-CN"/>
              </w:rPr>
            </w:pPr>
          </w:p>
          <w:p>
            <w:pPr>
              <w:keepNext w:val="0"/>
              <w:keepLines w:val="0"/>
              <w:pageBreakBefore w:val="0"/>
              <w:widowControl/>
              <w:kinsoku/>
              <w:wordWrap/>
              <w:overflowPunct/>
              <w:topLinePunct w:val="0"/>
              <w:bidi w:val="0"/>
              <w:snapToGrid/>
              <w:spacing w:line="360" w:lineRule="exact"/>
              <w:rPr>
                <w:rFonts w:hint="eastAsia" w:ascii="宋体" w:hAnsi="宋体" w:eastAsia="宋体" w:cs="宋体"/>
                <w:b/>
                <w:bCs/>
                <w:sz w:val="24"/>
                <w:szCs w:val="24"/>
                <w:lang w:val="en-US" w:eastAsia="zh-CN"/>
              </w:rPr>
            </w:pPr>
            <w:r>
              <w:rPr>
                <w:rFonts w:hint="eastAsia" w:ascii="宋体" w:hAnsi="宋体" w:eastAsia="宋体" w:cs="宋体"/>
                <w:b/>
                <w:bCs/>
                <w:sz w:val="24"/>
                <w:szCs w:val="24"/>
              </w:rPr>
              <w:t>注：</w:t>
            </w:r>
            <w:r>
              <w:rPr>
                <w:rFonts w:hint="eastAsia" w:ascii="宋体" w:hAnsi="宋体" w:eastAsia="宋体" w:cs="宋体"/>
                <w:b/>
                <w:bCs/>
                <w:sz w:val="24"/>
                <w:szCs w:val="24"/>
                <w:lang w:val="en-US" w:eastAsia="zh-CN"/>
              </w:rPr>
              <w:t>中标后，中标人须提供以上技术要求证明材料；招标人有权委托专家对以上主要部件及相关证明材料进行专业核查。若核查发现存在弄虚作假行为，一经查实，招标人有权直接对产品作退货或换货处理，并依法追究供应商的法律责任，同时要求供应商赔偿由此造成的全部相关损失。</w:t>
            </w:r>
          </w:p>
          <w:p>
            <w:pPr>
              <w:pStyle w:val="4"/>
              <w:rPr>
                <w:rFonts w:hint="eastAsia"/>
                <w:sz w:val="24"/>
                <w:szCs w:val="24"/>
              </w:rPr>
            </w:pPr>
          </w:p>
          <w:p>
            <w:pPr>
              <w:keepNext w:val="0"/>
              <w:keepLines w:val="0"/>
              <w:pageBreakBefore w:val="0"/>
              <w:kinsoku/>
              <w:wordWrap/>
              <w:overflowPunct/>
              <w:topLinePunct w:val="0"/>
              <w:bidi w:val="0"/>
              <w:snapToGrid/>
              <w:spacing w:line="360" w:lineRule="exact"/>
              <w:rPr>
                <w:rFonts w:hint="eastAsia" w:ascii="宋体" w:hAnsi="宋体" w:eastAsia="宋体" w:cs="宋体"/>
                <w:b/>
                <w:kern w:val="0"/>
                <w:sz w:val="24"/>
                <w:szCs w:val="24"/>
              </w:rPr>
            </w:pPr>
            <w:r>
              <w:rPr>
                <w:rFonts w:hint="eastAsia" w:ascii="宋体" w:hAnsi="宋体" w:eastAsia="宋体" w:cs="宋体"/>
                <w:b/>
                <w:kern w:val="0"/>
                <w:sz w:val="24"/>
                <w:szCs w:val="24"/>
              </w:rPr>
              <w:t xml:space="preserve">三、轿厢要求 </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lang w:eastAsia="zh-CN"/>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轿厢</w:t>
            </w:r>
            <w:r>
              <w:rPr>
                <w:rFonts w:hint="eastAsia" w:ascii="宋体" w:hAnsi="宋体" w:eastAsia="宋体" w:cs="宋体"/>
                <w:color w:val="auto"/>
                <w:kern w:val="0"/>
                <w:sz w:val="24"/>
                <w:szCs w:val="24"/>
                <w:lang w:val="en-US" w:eastAsia="zh-CN"/>
              </w:rPr>
              <w:t>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发纹不锈钢。</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2、轿厢天花：</w:t>
            </w:r>
            <w:r>
              <w:rPr>
                <w:rFonts w:hint="eastAsia" w:ascii="宋体" w:hAnsi="宋体" w:eastAsia="宋体" w:cs="宋体"/>
                <w:kern w:val="0"/>
                <w:sz w:val="24"/>
                <w:szCs w:val="24"/>
                <w:lang w:val="en-US" w:eastAsia="zh-CN"/>
              </w:rPr>
              <w:t>发纹不锈钢+大面积匀光LED</w:t>
            </w:r>
            <w:r>
              <w:rPr>
                <w:rFonts w:hint="eastAsia" w:ascii="宋体" w:hAnsi="宋体" w:eastAsia="宋体" w:cs="宋体"/>
                <w:kern w:val="0"/>
                <w:sz w:val="24"/>
                <w:szCs w:val="24"/>
              </w:rPr>
              <w:t>。</w:t>
            </w:r>
          </w:p>
          <w:p>
            <w:pPr>
              <w:keepNext w:val="0"/>
              <w:keepLines w:val="0"/>
              <w:pageBreakBefore w:val="0"/>
              <w:kinsoku/>
              <w:wordWrap/>
              <w:overflowPunct/>
              <w:topLinePunct w:val="0"/>
              <w:bidi w:val="0"/>
              <w:snapToGrid/>
              <w:spacing w:line="360" w:lineRule="exact"/>
              <w:rPr>
                <w:rFonts w:hint="eastAsia" w:ascii="宋体" w:hAnsi="宋体" w:eastAsia="宋体" w:cs="宋体"/>
                <w:color w:val="70AD47" w:themeColor="accent6"/>
                <w:sz w:val="24"/>
                <w:szCs w:val="24"/>
                <w:lang w:val="en-US" w:eastAsia="zh-CN"/>
                <w14:textFill>
                  <w14:solidFill>
                    <w14:schemeClr w14:val="accent6"/>
                  </w14:solidFill>
                </w14:textFill>
              </w:rPr>
            </w:pPr>
            <w:r>
              <w:rPr>
                <w:rFonts w:hint="eastAsia" w:ascii="宋体" w:hAnsi="宋体" w:eastAsia="宋体" w:cs="宋体"/>
                <w:kern w:val="0"/>
                <w:sz w:val="24"/>
                <w:szCs w:val="24"/>
              </w:rPr>
              <w:t>3、轿门：</w:t>
            </w:r>
            <w:r>
              <w:rPr>
                <w:rFonts w:hint="eastAsia" w:ascii="宋体" w:hAnsi="宋体" w:eastAsia="宋体" w:cs="宋体"/>
                <w:color w:val="auto"/>
                <w:sz w:val="24"/>
                <w:szCs w:val="24"/>
                <w:lang w:val="en-US" w:eastAsia="zh-CN"/>
              </w:rPr>
              <w:t>发纹不锈钢。</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4、轿厢地面：</w:t>
            </w:r>
            <w:r>
              <w:rPr>
                <w:rFonts w:hint="eastAsia" w:ascii="宋体" w:hAnsi="宋体" w:eastAsia="宋体" w:cs="宋体"/>
                <w:kern w:val="0"/>
                <w:sz w:val="24"/>
                <w:szCs w:val="24"/>
                <w:lang w:val="en-US" w:eastAsia="zh-CN"/>
              </w:rPr>
              <w:t>PVC</w:t>
            </w:r>
            <w:r>
              <w:rPr>
                <w:rFonts w:hint="eastAsia" w:ascii="宋体" w:hAnsi="宋体" w:eastAsia="宋体" w:cs="宋体"/>
                <w:kern w:val="0"/>
                <w:sz w:val="24"/>
                <w:szCs w:val="24"/>
              </w:rPr>
              <w:t>。</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、厅门：</w:t>
            </w:r>
            <w:r>
              <w:rPr>
                <w:rFonts w:hint="eastAsia" w:ascii="宋体" w:hAnsi="宋体" w:eastAsia="宋体" w:cs="宋体"/>
                <w:color w:val="auto"/>
                <w:kern w:val="0"/>
                <w:sz w:val="24"/>
                <w:szCs w:val="24"/>
                <w:lang w:val="en-US" w:eastAsia="zh-CN"/>
              </w:rPr>
              <w:t>首层发纹不锈钢，其余层钢板喷粉。</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7、门套：</w:t>
            </w:r>
            <w:r>
              <w:rPr>
                <w:rFonts w:hint="eastAsia" w:ascii="宋体" w:hAnsi="宋体" w:eastAsia="宋体" w:cs="宋体"/>
                <w:color w:val="auto"/>
                <w:kern w:val="0"/>
                <w:sz w:val="24"/>
                <w:szCs w:val="24"/>
                <w:lang w:val="en-US" w:eastAsia="zh-CN"/>
              </w:rPr>
              <w:t>首层发纹不锈钢，其余层钢板喷粉</w:t>
            </w:r>
            <w:r>
              <w:rPr>
                <w:rFonts w:hint="eastAsia" w:ascii="宋体" w:hAnsi="宋体" w:eastAsia="宋体" w:cs="宋体"/>
                <w:kern w:val="0"/>
                <w:sz w:val="24"/>
                <w:szCs w:val="24"/>
              </w:rPr>
              <w:t>。</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8、轿厢操纵箱：</w:t>
            </w:r>
            <w:r>
              <w:rPr>
                <w:rFonts w:hint="eastAsia" w:ascii="宋体" w:hAnsi="宋体" w:eastAsia="宋体" w:cs="宋体"/>
                <w:kern w:val="0"/>
                <w:sz w:val="24"/>
                <w:szCs w:val="24"/>
                <w:lang w:val="en-US" w:eastAsia="zh-CN"/>
              </w:rPr>
              <w:t>一体式操纵箱，</w:t>
            </w:r>
            <w:r>
              <w:rPr>
                <w:rFonts w:hint="eastAsia" w:ascii="宋体" w:hAnsi="宋体" w:eastAsia="宋体" w:cs="宋体"/>
                <w:kern w:val="0"/>
                <w:sz w:val="24"/>
                <w:szCs w:val="24"/>
              </w:rPr>
              <w:t>全高型（与轿厢高度同高）信号系统。</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9、轿内显示：段码显示。</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10</w:t>
            </w:r>
            <w:r>
              <w:rPr>
                <w:rFonts w:hint="eastAsia" w:ascii="宋体" w:hAnsi="宋体" w:eastAsia="宋体" w:cs="宋体"/>
                <w:kern w:val="0"/>
                <w:sz w:val="24"/>
                <w:szCs w:val="24"/>
              </w:rPr>
              <w:t>、厅外</w:t>
            </w:r>
            <w:r>
              <w:rPr>
                <w:rFonts w:hint="eastAsia" w:ascii="宋体" w:hAnsi="宋体" w:eastAsia="宋体" w:cs="宋体"/>
                <w:kern w:val="0"/>
                <w:sz w:val="24"/>
                <w:szCs w:val="24"/>
                <w:lang w:val="en-US" w:eastAsia="zh-CN"/>
              </w:rPr>
              <w:t>召唤箱</w:t>
            </w:r>
            <w:r>
              <w:rPr>
                <w:rFonts w:hint="eastAsia" w:ascii="宋体" w:hAnsi="宋体" w:eastAsia="宋体" w:cs="宋体"/>
                <w:kern w:val="0"/>
                <w:sz w:val="24"/>
                <w:szCs w:val="24"/>
              </w:rPr>
              <w:t>：</w:t>
            </w:r>
            <w:r>
              <w:rPr>
                <w:rFonts w:hint="eastAsia" w:ascii="宋体" w:hAnsi="宋体" w:eastAsia="宋体" w:cs="宋体"/>
                <w:sz w:val="24"/>
                <w:szCs w:val="24"/>
                <w:shd w:val="clear" w:color="auto" w:fill="FFFFFF"/>
              </w:rPr>
              <w:t>无底盒外召，发纹不锈钢</w:t>
            </w:r>
            <w:r>
              <w:rPr>
                <w:rFonts w:hint="eastAsia" w:ascii="宋体" w:hAnsi="宋体" w:eastAsia="宋体" w:cs="宋体"/>
                <w:kern w:val="0"/>
                <w:sz w:val="24"/>
                <w:szCs w:val="24"/>
              </w:rPr>
              <w:t>盲文按钮。</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11、厅外召唤显示：段码显示楼层与箭头。</w:t>
            </w: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lang w:val="en-US" w:eastAsia="zh-CN"/>
              </w:rPr>
            </w:pPr>
          </w:p>
          <w:p>
            <w:pPr>
              <w:keepNext w:val="0"/>
              <w:keepLines w:val="0"/>
              <w:pageBreakBefore w:val="0"/>
              <w:kinsoku/>
              <w:wordWrap/>
              <w:overflowPunct/>
              <w:topLinePunct w:val="0"/>
              <w:bidi w:val="0"/>
              <w:snapToGrid/>
              <w:spacing w:line="360" w:lineRule="exact"/>
              <w:rPr>
                <w:rFonts w:hint="eastAsia" w:ascii="宋体" w:hAnsi="宋体" w:eastAsia="宋体" w:cs="宋体"/>
                <w:kern w:val="0"/>
                <w:sz w:val="24"/>
                <w:szCs w:val="24"/>
              </w:rPr>
            </w:pPr>
            <w:r>
              <w:rPr>
                <w:rFonts w:hint="eastAsia" w:ascii="宋体" w:hAnsi="宋体" w:eastAsia="宋体" w:cs="宋体"/>
                <w:b/>
                <w:bCs/>
                <w:kern w:val="0"/>
                <w:sz w:val="24"/>
                <w:szCs w:val="24"/>
              </w:rPr>
              <w:t>四、基本功能</w:t>
            </w:r>
          </w:p>
          <w:p>
            <w:pPr>
              <w:keepNext w:val="0"/>
              <w:keepLines w:val="0"/>
              <w:pageBreakBefore w:val="0"/>
              <w:numPr>
                <w:ilvl w:val="0"/>
                <w:numId w:val="3"/>
              </w:numPr>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全集选控制</w:t>
            </w:r>
            <w:r>
              <w:rPr>
                <w:rFonts w:hint="eastAsia" w:ascii="宋体" w:hAnsi="宋体" w:eastAsia="宋体" w:cs="宋体"/>
                <w:sz w:val="24"/>
                <w:szCs w:val="24"/>
              </w:rPr>
              <w:tab/>
            </w:r>
          </w:p>
          <w:p>
            <w:pPr>
              <w:keepNext w:val="0"/>
              <w:keepLines w:val="0"/>
              <w:pageBreakBefore w:val="0"/>
              <w:numPr>
                <w:ilvl w:val="0"/>
                <w:numId w:val="0"/>
              </w:numPr>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2、满载直驶</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3、自动返回基站</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4、错误指令取消</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5、楼层间距自学习</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6、锁梯开关</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7、开关门按钮</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8、厅外、轿内开门时间分别控制</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9、自动校正运行</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10、关门等待取消</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11、本层厅外重开门</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12、无称重力矩补偿</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13、末站换向预指示</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14、司机服务</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15、独立服务</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16、端站保护</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17、故障自诊断</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18、驱动设备过热保护</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19、关门力矩保护</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20、速度异常检测功能</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21、接触器异常检测功能</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22、电网异常检测功能</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23、光幕门保护</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24、超载报警</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25、轿厢开、关门延时保护</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26、紧急消防返基站</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27、抱闸异常检测功能</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28、厅门自学习</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29、安全救助功能</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30、钢丝绳滑动自检功能</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31、控制系统温度监测</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32、五方对讲</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33、轿厢警铃</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34、机房紧急电动运行</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35、轿厢内应急照明</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36、轿内照明风扇自动控制</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37、显示节能</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38、轿厢到站钟</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39、厅外及轿厢方向指示</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40、轿内、厅外显示</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41、个性化楼层显示设置</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42、轿内消防状态提醒显示</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43、按钮微亮</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44、防捣乱保护</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45、自动泊梯</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46、厅外呼梯切除开关</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47、静态定位功能</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48、轿顶检修</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49、静音模式</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50、语音安抚</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51、斜线撤电流</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52、检修零速停车</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53、免调试功能</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54、层站召唤智能登记</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55、开门保持时间智能调节</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56、智能舒适运行</w:t>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rPr>
              <w:t>57、按钮粘连自动识别</w:t>
            </w:r>
            <w:r>
              <w:rPr>
                <w:rFonts w:hint="eastAsia" w:ascii="宋体" w:hAnsi="宋体" w:eastAsia="宋体" w:cs="宋体"/>
                <w:sz w:val="24"/>
                <w:szCs w:val="24"/>
              </w:rPr>
              <w:tab/>
            </w:r>
          </w:p>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rPr>
            </w:pPr>
            <w:r>
              <w:rPr>
                <w:rFonts w:hint="eastAsia" w:ascii="宋体" w:hAnsi="宋体" w:eastAsia="宋体" w:cs="宋体"/>
                <w:sz w:val="24"/>
                <w:szCs w:val="24"/>
                <w:lang w:val="en-US" w:eastAsia="zh-CN"/>
              </w:rPr>
              <w:t>58、停电应急疏散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1064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安装及售后</w:t>
            </w:r>
            <w:r>
              <w:rPr>
                <w:rFonts w:hint="eastAsia" w:ascii="宋体" w:hAnsi="宋体" w:eastAsia="宋体" w:cs="宋体"/>
                <w:b/>
                <w:kern w:val="0"/>
                <w:sz w:val="24"/>
                <w:szCs w:val="24"/>
              </w:rPr>
              <w:t>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1064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spacing w:line="360" w:lineRule="exact"/>
              <w:rPr>
                <w:rFonts w:hint="eastAsia"/>
              </w:rPr>
            </w:pPr>
            <w:r>
              <w:rPr>
                <w:rFonts w:hint="eastAsia"/>
              </w:rPr>
              <w:t>一、安装要求：</w:t>
            </w:r>
          </w:p>
          <w:p>
            <w:pPr>
              <w:keepNext w:val="0"/>
              <w:keepLines w:val="0"/>
              <w:pageBreakBefore w:val="0"/>
              <w:kinsoku/>
              <w:wordWrap/>
              <w:overflowPunct/>
              <w:topLinePunct w:val="0"/>
              <w:bidi w:val="0"/>
              <w:snapToGrid/>
              <w:spacing w:line="360" w:lineRule="exact"/>
              <w:rPr>
                <w:rFonts w:hint="eastAsia"/>
              </w:rPr>
            </w:pPr>
            <w:r>
              <w:rPr>
                <w:rFonts w:hint="eastAsia"/>
              </w:rPr>
              <w:t>1、产品须是整套全新的满足本项目需求的技术指标的电梯设备。</w:t>
            </w:r>
          </w:p>
          <w:p>
            <w:pPr>
              <w:keepNext w:val="0"/>
              <w:keepLines w:val="0"/>
              <w:pageBreakBefore w:val="0"/>
              <w:kinsoku/>
              <w:wordWrap/>
              <w:overflowPunct/>
              <w:topLinePunct w:val="0"/>
              <w:bidi w:val="0"/>
              <w:snapToGrid/>
              <w:spacing w:line="360" w:lineRule="exact"/>
              <w:rPr>
                <w:rFonts w:hint="eastAsia"/>
              </w:rPr>
            </w:pPr>
            <w:r>
              <w:rPr>
                <w:rFonts w:hint="eastAsia"/>
              </w:rPr>
              <w:t>2、免费安装、调试直至设备验收合格。</w:t>
            </w:r>
          </w:p>
          <w:p>
            <w:pPr>
              <w:keepNext w:val="0"/>
              <w:keepLines w:val="0"/>
              <w:pageBreakBefore w:val="0"/>
              <w:kinsoku/>
              <w:wordWrap/>
              <w:overflowPunct/>
              <w:topLinePunct w:val="0"/>
              <w:bidi w:val="0"/>
              <w:snapToGrid/>
              <w:spacing w:line="360" w:lineRule="exact"/>
              <w:rPr>
                <w:rFonts w:hint="eastAsia"/>
              </w:rPr>
            </w:pPr>
            <w:r>
              <w:rPr>
                <w:rFonts w:hint="eastAsia"/>
              </w:rPr>
              <w:t>3、工程安装施工要求：</w:t>
            </w:r>
          </w:p>
          <w:p>
            <w:pPr>
              <w:keepNext w:val="0"/>
              <w:keepLines w:val="0"/>
              <w:pageBreakBefore w:val="0"/>
              <w:kinsoku/>
              <w:wordWrap/>
              <w:overflowPunct/>
              <w:topLinePunct w:val="0"/>
              <w:bidi w:val="0"/>
              <w:snapToGrid/>
              <w:spacing w:line="360" w:lineRule="exact"/>
              <w:rPr>
                <w:rFonts w:hint="eastAsia"/>
              </w:rPr>
            </w:pPr>
            <w:r>
              <w:rPr>
                <w:rFonts w:hint="eastAsia"/>
              </w:rPr>
              <w:t>（1）供应商负责全套机组的安装调试。</w:t>
            </w:r>
          </w:p>
          <w:p>
            <w:pPr>
              <w:keepNext w:val="0"/>
              <w:keepLines w:val="0"/>
              <w:pageBreakBefore w:val="0"/>
              <w:kinsoku/>
              <w:wordWrap/>
              <w:overflowPunct/>
              <w:topLinePunct w:val="0"/>
              <w:bidi w:val="0"/>
              <w:snapToGrid/>
              <w:spacing w:line="360" w:lineRule="exact"/>
              <w:rPr>
                <w:rFonts w:hint="eastAsia"/>
              </w:rPr>
            </w:pPr>
            <w:r>
              <w:rPr>
                <w:rFonts w:hint="eastAsia"/>
              </w:rPr>
              <w:t>（2）供应商要负责对井道土建勘察，并出具电梯土建图。</w:t>
            </w:r>
          </w:p>
          <w:p>
            <w:pPr>
              <w:keepNext w:val="0"/>
              <w:keepLines w:val="0"/>
              <w:pageBreakBefore w:val="0"/>
              <w:kinsoku/>
              <w:wordWrap/>
              <w:overflowPunct/>
              <w:topLinePunct w:val="0"/>
              <w:bidi w:val="0"/>
              <w:snapToGrid/>
              <w:spacing w:line="360" w:lineRule="exact"/>
              <w:rPr>
                <w:rFonts w:hint="eastAsia"/>
              </w:rPr>
            </w:pPr>
            <w:r>
              <w:rPr>
                <w:rFonts w:hint="eastAsia"/>
              </w:rPr>
              <w:t>（3）设备安装调试必须严格执行国家有关技术标准，供应商自负施工人身、设备安全责任。</w:t>
            </w:r>
          </w:p>
          <w:p>
            <w:pPr>
              <w:keepNext w:val="0"/>
              <w:keepLines w:val="0"/>
              <w:pageBreakBefore w:val="0"/>
              <w:kinsoku/>
              <w:wordWrap/>
              <w:overflowPunct/>
              <w:topLinePunct w:val="0"/>
              <w:bidi w:val="0"/>
              <w:snapToGrid/>
              <w:spacing w:line="360" w:lineRule="exact"/>
              <w:rPr>
                <w:rFonts w:hint="eastAsia"/>
              </w:rPr>
            </w:pPr>
            <w:r>
              <w:rPr>
                <w:rFonts w:hint="eastAsia"/>
              </w:rPr>
              <w:t>（4）安装调试过程中，供应商应派专业技术人员对施工进行同步指导，并负责全套机组的调试运行，达到验收要求。</w:t>
            </w:r>
          </w:p>
          <w:p>
            <w:pPr>
              <w:keepNext w:val="0"/>
              <w:keepLines w:val="0"/>
              <w:pageBreakBefore w:val="0"/>
              <w:kinsoku/>
              <w:wordWrap/>
              <w:overflowPunct/>
              <w:topLinePunct w:val="0"/>
              <w:bidi w:val="0"/>
              <w:snapToGrid/>
              <w:spacing w:line="360" w:lineRule="exact"/>
              <w:rPr>
                <w:rFonts w:hint="eastAsia"/>
              </w:rPr>
            </w:pPr>
            <w:r>
              <w:rPr>
                <w:rFonts w:hint="eastAsia"/>
              </w:rPr>
              <w:t>（5）供应商负责办理有关电梯设备安装的开工报装和竣工报验手续。</w:t>
            </w:r>
          </w:p>
          <w:p>
            <w:pPr>
              <w:keepNext w:val="0"/>
              <w:keepLines w:val="0"/>
              <w:pageBreakBefore w:val="0"/>
              <w:kinsoku/>
              <w:wordWrap/>
              <w:overflowPunct/>
              <w:topLinePunct w:val="0"/>
              <w:bidi w:val="0"/>
              <w:snapToGrid/>
              <w:spacing w:line="360" w:lineRule="exact"/>
              <w:rPr>
                <w:rFonts w:hint="eastAsia"/>
              </w:rPr>
            </w:pPr>
            <w:r>
              <w:rPr>
                <w:rFonts w:hint="eastAsia"/>
              </w:rPr>
              <w:t>（6）设备验收费用由成交供应商负责。</w:t>
            </w:r>
          </w:p>
          <w:p>
            <w:pPr>
              <w:keepNext w:val="0"/>
              <w:keepLines w:val="0"/>
              <w:pageBreakBefore w:val="0"/>
              <w:kinsoku/>
              <w:wordWrap/>
              <w:overflowPunct/>
              <w:topLinePunct w:val="0"/>
              <w:bidi w:val="0"/>
              <w:snapToGrid/>
              <w:spacing w:line="360" w:lineRule="exact"/>
              <w:rPr>
                <w:rFonts w:hint="eastAsia"/>
              </w:rPr>
            </w:pPr>
            <w:r>
              <w:rPr>
                <w:rFonts w:hint="eastAsia"/>
              </w:rPr>
              <w:t>（7）安装验收应按以下标准与规定执行：《电梯安装验收规范》（GB10060）；《电气装置安装工程电梯电气装置施工与验收规范》（GB50182）；《电梯工程施工质量验收规范》（GB50310）；电力、消防、安监部门的有关规定等。</w:t>
            </w:r>
          </w:p>
          <w:p>
            <w:pPr>
              <w:keepNext w:val="0"/>
              <w:keepLines w:val="0"/>
              <w:pageBreakBefore w:val="0"/>
              <w:kinsoku/>
              <w:wordWrap/>
              <w:overflowPunct/>
              <w:topLinePunct w:val="0"/>
              <w:bidi w:val="0"/>
              <w:snapToGrid/>
              <w:spacing w:line="360" w:lineRule="exact"/>
              <w:rPr>
                <w:rFonts w:hint="eastAsia"/>
              </w:rPr>
            </w:pPr>
            <w:r>
              <w:rPr>
                <w:rFonts w:hint="eastAsia"/>
              </w:rPr>
              <w:t>4、零部件、配件及安装材料必须是未经使用的全新的并符合国家有关质量安全标准的合格产品。</w:t>
            </w:r>
          </w:p>
          <w:p>
            <w:pPr>
              <w:keepNext w:val="0"/>
              <w:keepLines w:val="0"/>
              <w:pageBreakBefore w:val="0"/>
              <w:kinsoku/>
              <w:wordWrap/>
              <w:overflowPunct/>
              <w:topLinePunct w:val="0"/>
              <w:bidi w:val="0"/>
              <w:snapToGrid/>
              <w:spacing w:line="360" w:lineRule="exact"/>
              <w:rPr>
                <w:rFonts w:hint="eastAsia"/>
              </w:rPr>
            </w:pPr>
            <w:r>
              <w:rPr>
                <w:rFonts w:hint="eastAsia"/>
              </w:rPr>
              <w:t>二、售后后服务及其他要求：</w:t>
            </w:r>
          </w:p>
          <w:p>
            <w:pPr>
              <w:keepNext w:val="0"/>
              <w:keepLines w:val="0"/>
              <w:pageBreakBefore w:val="0"/>
              <w:kinsoku/>
              <w:wordWrap/>
              <w:overflowPunct/>
              <w:topLinePunct w:val="0"/>
              <w:bidi w:val="0"/>
              <w:snapToGrid/>
              <w:spacing w:line="360" w:lineRule="exact"/>
              <w:rPr>
                <w:rFonts w:hint="eastAsia"/>
              </w:rPr>
            </w:pPr>
            <w:r>
              <w:rPr>
                <w:rFonts w:hint="eastAsia"/>
              </w:rPr>
              <w:t>1、质保期：自安装、调试完毕并经</w:t>
            </w:r>
            <w:r>
              <w:rPr>
                <w:rFonts w:hint="eastAsia"/>
                <w:lang w:val="en-US" w:eastAsia="zh-CN"/>
              </w:rPr>
              <w:t>贺州</w:t>
            </w:r>
            <w:r>
              <w:rPr>
                <w:rFonts w:hint="eastAsia"/>
              </w:rPr>
              <w:t>市特检院验收合格之日起 1 年免费保修。</w:t>
            </w:r>
          </w:p>
          <w:p>
            <w:pPr>
              <w:keepNext w:val="0"/>
              <w:keepLines w:val="0"/>
              <w:pageBreakBefore w:val="0"/>
              <w:kinsoku/>
              <w:wordWrap/>
              <w:overflowPunct/>
              <w:topLinePunct w:val="0"/>
              <w:bidi w:val="0"/>
              <w:snapToGrid/>
              <w:spacing w:line="360" w:lineRule="exact"/>
              <w:rPr>
                <w:rFonts w:hint="eastAsia"/>
              </w:rPr>
            </w:pPr>
            <w:r>
              <w:rPr>
                <w:rFonts w:hint="eastAsia"/>
              </w:rPr>
              <w:t>2、1年质保期内，按国家规定的电梯保养标准，每15天免费定期上门保养一次（检查、清洁、除尘、加油、调整），保养结束后需双方签字确认存档。</w:t>
            </w:r>
          </w:p>
          <w:p>
            <w:pPr>
              <w:keepNext w:val="0"/>
              <w:keepLines w:val="0"/>
              <w:pageBreakBefore w:val="0"/>
              <w:kinsoku/>
              <w:wordWrap/>
              <w:overflowPunct/>
              <w:topLinePunct w:val="0"/>
              <w:bidi w:val="0"/>
              <w:snapToGrid/>
              <w:spacing w:line="360" w:lineRule="exact"/>
              <w:rPr>
                <w:rFonts w:hint="eastAsia"/>
              </w:rPr>
            </w:pPr>
            <w:r>
              <w:rPr>
                <w:rFonts w:hint="eastAsia"/>
              </w:rPr>
              <w:t>3、如采购方在设备使用过程发生质量问题，在接到通知后成交供应商的维修技术人员必须在30分钟内响应，半小时内到达现场处理，一般故障处理时限不超过24小时，重大故障处理时限不超过48小时修复。</w:t>
            </w:r>
          </w:p>
          <w:p>
            <w:pPr>
              <w:keepNext w:val="0"/>
              <w:keepLines w:val="0"/>
              <w:pageBreakBefore w:val="0"/>
              <w:kinsoku/>
              <w:wordWrap/>
              <w:overflowPunct/>
              <w:topLinePunct w:val="0"/>
              <w:bidi w:val="0"/>
              <w:snapToGrid/>
              <w:spacing w:line="360" w:lineRule="exact"/>
              <w:rPr>
                <w:rFonts w:hint="eastAsia"/>
              </w:rPr>
            </w:pPr>
            <w:r>
              <w:rPr>
                <w:rFonts w:hint="eastAsia"/>
              </w:rPr>
              <w:t>4、免费对采购方的1-2名操作人员进行操作及保养培训，在安装调试过程也应让操作人员共同参与，并进行现场培训。</w:t>
            </w:r>
          </w:p>
          <w:p>
            <w:pPr>
              <w:keepNext w:val="0"/>
              <w:keepLines w:val="0"/>
              <w:pageBreakBefore w:val="0"/>
              <w:kinsoku/>
              <w:wordWrap/>
              <w:overflowPunct/>
              <w:topLinePunct w:val="0"/>
              <w:bidi w:val="0"/>
              <w:snapToGrid/>
              <w:spacing w:line="360" w:lineRule="exact"/>
              <w:rPr>
                <w:rFonts w:hint="eastAsia"/>
              </w:rPr>
            </w:pPr>
            <w:r>
              <w:rPr>
                <w:rFonts w:hint="eastAsia"/>
              </w:rPr>
              <w:t>5、供应商应在响应文件中正确反映电梯的技术水平和科技含量，并对控制方式加以详细说明。</w:t>
            </w:r>
          </w:p>
          <w:p>
            <w:pPr>
              <w:keepNext w:val="0"/>
              <w:keepLines w:val="0"/>
              <w:pageBreakBefore w:val="0"/>
              <w:kinsoku/>
              <w:wordWrap/>
              <w:overflowPunct/>
              <w:topLinePunct w:val="0"/>
              <w:bidi w:val="0"/>
              <w:snapToGrid/>
              <w:spacing w:line="360" w:lineRule="exact"/>
              <w:rPr>
                <w:rFonts w:hint="eastAsia"/>
              </w:rPr>
            </w:pPr>
            <w:r>
              <w:rPr>
                <w:rFonts w:hint="eastAsia"/>
              </w:rPr>
              <w:t>6、成交供应商应常年备有主机易损配件，能及时处理、替换损坏的部件。</w:t>
            </w:r>
          </w:p>
          <w:p>
            <w:pPr>
              <w:keepNext w:val="0"/>
              <w:keepLines w:val="0"/>
              <w:pageBreakBefore w:val="0"/>
              <w:kinsoku/>
              <w:wordWrap/>
              <w:overflowPunct/>
              <w:topLinePunct w:val="0"/>
              <w:bidi w:val="0"/>
              <w:snapToGrid/>
              <w:spacing w:line="360" w:lineRule="exact"/>
              <w:rPr>
                <w:rFonts w:hint="eastAsia"/>
              </w:rPr>
            </w:pPr>
            <w:r>
              <w:rPr>
                <w:rFonts w:hint="eastAsia"/>
              </w:rPr>
              <w:t>7、交付使用期：签订合同之日起 90 个日历天安装调试完毕。</w:t>
            </w:r>
          </w:p>
          <w:p>
            <w:pPr>
              <w:keepNext w:val="0"/>
              <w:keepLines w:val="0"/>
              <w:pageBreakBefore w:val="0"/>
              <w:kinsoku/>
              <w:wordWrap/>
              <w:overflowPunct/>
              <w:topLinePunct w:val="0"/>
              <w:bidi w:val="0"/>
              <w:snapToGrid/>
              <w:spacing w:line="360" w:lineRule="exact"/>
              <w:rPr>
                <w:rFonts w:hint="eastAsia"/>
              </w:rPr>
            </w:pPr>
            <w:r>
              <w:rPr>
                <w:rFonts w:hint="eastAsia"/>
              </w:rPr>
              <w:t>8、交付地点：采购人指定地点 。</w:t>
            </w:r>
          </w:p>
          <w:p>
            <w:pPr>
              <w:keepNext w:val="0"/>
              <w:keepLines w:val="0"/>
              <w:pageBreakBefore w:val="0"/>
              <w:kinsoku/>
              <w:wordWrap/>
              <w:overflowPunct/>
              <w:topLinePunct w:val="0"/>
              <w:bidi w:val="0"/>
              <w:snapToGrid/>
              <w:spacing w:line="360" w:lineRule="exact"/>
              <w:rPr>
                <w:rFonts w:hint="eastAsia"/>
              </w:rPr>
            </w:pPr>
            <w:r>
              <w:rPr>
                <w:rFonts w:hint="eastAsia"/>
              </w:rPr>
              <w:t>9、供应商应根据项目要求，在响应文件中做出详细的施工安装方案（包括人员配备、机械设备、进度计划、安装调试方案、验收措施等详细内容），以作为评标依据。</w:t>
            </w:r>
          </w:p>
          <w:p>
            <w:pPr>
              <w:keepNext w:val="0"/>
              <w:keepLines w:val="0"/>
              <w:pageBreakBefore w:val="0"/>
              <w:kinsoku/>
              <w:wordWrap/>
              <w:overflowPunct/>
              <w:topLinePunct w:val="0"/>
              <w:bidi w:val="0"/>
              <w:snapToGrid/>
              <w:spacing w:line="360" w:lineRule="exact"/>
              <w:rPr>
                <w:rFonts w:hint="eastAsia"/>
              </w:rPr>
            </w:pPr>
            <w:r>
              <w:rPr>
                <w:rFonts w:hint="eastAsia"/>
              </w:rPr>
              <w:t>10、付款方式：中标人与采购方具体协商。</w:t>
            </w:r>
          </w:p>
          <w:p>
            <w:pPr>
              <w:keepNext w:val="0"/>
              <w:keepLines w:val="0"/>
              <w:pageBreakBefore w:val="0"/>
              <w:kinsoku/>
              <w:wordWrap/>
              <w:overflowPunct/>
              <w:topLinePunct w:val="0"/>
              <w:bidi w:val="0"/>
              <w:snapToGrid/>
              <w:spacing w:line="360" w:lineRule="exact"/>
              <w:rPr>
                <w:rFonts w:hint="eastAsia"/>
              </w:rPr>
            </w:pPr>
            <w:r>
              <w:rPr>
                <w:rFonts w:hint="eastAsia"/>
              </w:rPr>
              <w:t>11、有针对本工程且能够结合现场情况的施工方案，施工周期短、方案先进、描述详细、技术成熟。有实施日程表和充足的人员安排，安装人员经验强，具体实施步骤和要求描述全面，职责分工明确，进度安排合理，安全措施周密，可行性强。</w:t>
            </w:r>
          </w:p>
          <w:p>
            <w:pPr>
              <w:keepNext w:val="0"/>
              <w:keepLines w:val="0"/>
              <w:pageBreakBefore w:val="0"/>
              <w:kinsoku/>
              <w:wordWrap/>
              <w:overflowPunct/>
              <w:topLinePunct w:val="0"/>
              <w:bidi w:val="0"/>
              <w:snapToGrid/>
              <w:spacing w:line="360" w:lineRule="exact"/>
              <w:rPr>
                <w:rFonts w:hint="eastAsia"/>
              </w:rPr>
            </w:pPr>
            <w:r>
              <w:rPr>
                <w:rFonts w:hint="eastAsia"/>
              </w:rPr>
              <w:t>1</w:t>
            </w:r>
            <w:r>
              <w:rPr>
                <w:rFonts w:hint="eastAsia"/>
                <w:lang w:val="en-US" w:eastAsia="zh-CN"/>
              </w:rPr>
              <w:t>2</w:t>
            </w:r>
            <w:r>
              <w:rPr>
                <w:rFonts w:hint="eastAsia"/>
              </w:rPr>
              <w:t>、投标总报价：包括电梯设备费、运输及保险费、安装费、验收费、检验费；试运行、货物的标准附件、备品备件、专用工具的价格、运输、装卸、调试、培训、技术支持、售后服务费及必要的保险费和各项税金。</w:t>
            </w:r>
          </w:p>
          <w:p>
            <w:pPr>
              <w:spacing w:line="400" w:lineRule="exact"/>
              <w:rPr>
                <w:rFonts w:eastAsia="仿宋"/>
                <w:sz w:val="24"/>
                <w:szCs w:val="32"/>
              </w:rPr>
            </w:pPr>
            <w:r>
              <w:rPr>
                <w:rFonts w:hint="eastAsia" w:eastAsia="宋体"/>
                <w:lang w:val="en-US" w:eastAsia="zh-CN"/>
              </w:rPr>
              <w:t>三、</w:t>
            </w:r>
            <w:bookmarkStart w:id="0" w:name="_Toc359247808"/>
            <w:bookmarkStart w:id="1" w:name="_Toc492480420"/>
            <w:bookmarkStart w:id="2" w:name="_Toc415124290"/>
            <w:bookmarkStart w:id="3" w:name="_Toc425846519"/>
            <w:bookmarkStart w:id="4" w:name="_Toc387744060"/>
            <w:r>
              <w:rPr>
                <w:rFonts w:hint="eastAsia" w:asciiTheme="majorEastAsia" w:hAnsiTheme="majorEastAsia" w:eastAsiaTheme="majorEastAsia" w:cstheme="majorEastAsia"/>
                <w:b/>
                <w:kern w:val="0"/>
                <w:sz w:val="22"/>
                <w:szCs w:val="22"/>
              </w:rPr>
              <w:t>合同签订时间及付款方式</w:t>
            </w:r>
            <w:r>
              <w:rPr>
                <w:rFonts w:hint="eastAsia" w:asciiTheme="majorEastAsia" w:hAnsiTheme="majorEastAsia" w:eastAsiaTheme="majorEastAsia" w:cstheme="majorEastAsia"/>
                <w:b/>
                <w:sz w:val="22"/>
                <w:szCs w:val="22"/>
              </w:rPr>
              <w:t>：</w:t>
            </w:r>
            <w:bookmarkEnd w:id="0"/>
            <w:bookmarkEnd w:id="1"/>
            <w:bookmarkEnd w:id="2"/>
            <w:bookmarkEnd w:id="3"/>
            <w:bookmarkEnd w:id="4"/>
            <w:r>
              <w:rPr>
                <w:rFonts w:eastAsia="仿宋"/>
                <w:sz w:val="24"/>
                <w:szCs w:val="32"/>
              </w:rPr>
              <w:t xml:space="preserve"> </w:t>
            </w:r>
          </w:p>
          <w:p>
            <w:pPr>
              <w:pStyle w:val="2"/>
              <w:tabs>
                <w:tab w:val="right" w:leader="dot" w:pos="9628"/>
              </w:tabs>
              <w:spacing w:line="400" w:lineRule="exact"/>
              <w:ind w:firstLine="440" w:firstLineChars="200"/>
              <w:rPr>
                <w:rFonts w:hint="eastAsia" w:ascii="宋体" w:hAnsi="宋体" w:eastAsia="宋体" w:cs="宋体"/>
                <w:sz w:val="22"/>
                <w:szCs w:val="28"/>
              </w:rPr>
            </w:pPr>
            <w:r>
              <w:rPr>
                <w:rFonts w:hint="eastAsia" w:ascii="宋体" w:hAnsi="宋体" w:eastAsia="宋体" w:cs="宋体"/>
                <w:sz w:val="22"/>
                <w:szCs w:val="22"/>
              </w:rPr>
              <w:t>1.签订合同时间：成交通知书发出之日起</w:t>
            </w:r>
            <w:r>
              <w:rPr>
                <w:rFonts w:hint="eastAsia" w:ascii="宋体" w:hAnsi="宋体" w:eastAsia="宋体" w:cs="宋体"/>
                <w:b/>
                <w:bCs/>
                <w:sz w:val="22"/>
                <w:szCs w:val="22"/>
                <w:u w:val="single"/>
              </w:rPr>
              <w:t>7日</w:t>
            </w:r>
            <w:r>
              <w:rPr>
                <w:rFonts w:hint="eastAsia" w:ascii="宋体" w:hAnsi="宋体" w:eastAsia="宋体" w:cs="宋体"/>
                <w:sz w:val="22"/>
                <w:szCs w:val="22"/>
              </w:rPr>
              <w:t>内签订合同。</w:t>
            </w:r>
          </w:p>
          <w:p>
            <w:pPr>
              <w:autoSpaceDE w:val="0"/>
              <w:autoSpaceDN w:val="0"/>
              <w:adjustRightInd w:val="0"/>
              <w:spacing w:line="240" w:lineRule="atLeast"/>
              <w:ind w:left="420" w:leftChars="200"/>
              <w:jc w:val="left"/>
              <w:rPr>
                <w:rFonts w:hint="eastAsia" w:ascii="宋体" w:hAnsi="宋体" w:eastAsia="宋体" w:cs="宋体"/>
                <w:sz w:val="22"/>
                <w:szCs w:val="22"/>
              </w:rPr>
            </w:pPr>
            <w:r>
              <w:rPr>
                <w:rFonts w:hint="eastAsia" w:ascii="宋体" w:hAnsi="宋体" w:eastAsia="宋体" w:cs="宋体"/>
                <w:sz w:val="22"/>
                <w:szCs w:val="22"/>
              </w:rPr>
              <w:t>2.付款方式：</w:t>
            </w:r>
          </w:p>
          <w:p>
            <w:pPr>
              <w:ind w:firstLine="440" w:firstLineChars="200"/>
              <w:rPr>
                <w:rFonts w:hint="eastAsia" w:ascii="宋体" w:hAnsi="宋体" w:eastAsia="宋体" w:cs="宋体"/>
                <w:spacing w:val="-8"/>
                <w:sz w:val="22"/>
                <w:szCs w:val="22"/>
                <w:lang w:val="en-US" w:eastAsia="zh-CN"/>
              </w:rPr>
            </w:pPr>
            <w:r>
              <w:rPr>
                <w:rFonts w:hint="eastAsia" w:ascii="宋体" w:hAnsi="宋体" w:eastAsia="宋体" w:cs="宋体"/>
                <w:sz w:val="22"/>
                <w:szCs w:val="22"/>
              </w:rPr>
              <w:t>签订合同后3日内支付总价的30%作为预付款，全部货物安装完成验收合格后, 成交供应商先提供合格发票，采购单位3日内支付至结算总价的</w:t>
            </w:r>
            <w:r>
              <w:rPr>
                <w:rFonts w:hint="eastAsia" w:ascii="宋体" w:hAnsi="宋体" w:eastAsia="宋体" w:cs="宋体"/>
                <w:sz w:val="22"/>
                <w:szCs w:val="22"/>
                <w:lang w:val="en-US" w:eastAsia="zh-CN"/>
              </w:rPr>
              <w:t>100</w:t>
            </w:r>
            <w:r>
              <w:rPr>
                <w:rFonts w:hint="eastAsia" w:ascii="宋体" w:hAnsi="宋体" w:eastAsia="宋体" w:cs="宋体"/>
                <w:sz w:val="22"/>
                <w:szCs w:val="22"/>
              </w:rPr>
              <w:t>%。</w:t>
            </w:r>
          </w:p>
          <w:p>
            <w:pPr>
              <w:pStyle w:val="4"/>
              <w:rPr>
                <w:rFonts w:hint="eastAsia" w:eastAsia="宋体"/>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10648" w:type="dxa"/>
            <w:gridSpan w:val="5"/>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bidi w:val="0"/>
              <w:snapToGrid/>
              <w:spacing w:line="360" w:lineRule="exact"/>
              <w:rPr>
                <w:rFonts w:hint="eastAsia" w:ascii="宋体" w:hAnsi="宋体" w:eastAsia="宋体" w:cs="宋体"/>
                <w:sz w:val="24"/>
                <w:szCs w:val="24"/>
                <w:lang w:val="en-US" w:eastAsia="zh-CN"/>
              </w:rPr>
            </w:pPr>
            <w:r>
              <w:rPr>
                <w:rFonts w:hint="eastAsia" w:ascii="宋体" w:hAnsi="宋体" w:eastAsia="宋体" w:cs="宋体"/>
                <w:b/>
                <w:bCs/>
                <w:sz w:val="24"/>
                <w:szCs w:val="24"/>
              </w:rPr>
              <w:t>其他要求及说明</w:t>
            </w:r>
            <w:r>
              <w:rPr>
                <w:rFonts w:hint="eastAsia" w:ascii="宋体" w:hAnsi="宋体" w:eastAsia="宋体" w:cs="宋体"/>
                <w:b/>
                <w:bCs/>
                <w:sz w:val="24"/>
                <w:szCs w:val="24"/>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10648" w:type="dxa"/>
            <w:gridSpan w:val="5"/>
            <w:tcBorders>
              <w:top w:val="single" w:color="auto" w:sz="4" w:space="0"/>
              <w:left w:val="single" w:color="auto" w:sz="4" w:space="0"/>
              <w:bottom w:val="single" w:color="auto" w:sz="4" w:space="0"/>
              <w:right w:val="single" w:color="auto" w:sz="4" w:space="0"/>
            </w:tcBorders>
          </w:tcPr>
          <w:p>
            <w:pPr>
              <w:pStyle w:val="4"/>
              <w:numPr>
                <w:ilvl w:val="0"/>
                <w:numId w:val="0"/>
              </w:numPr>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供应商提交全部附件资料均须加盖供应商单位公章后扫描上传，无公章视为材料无效；第二轮、第三轮仅允许调整报价，不再受理任何资料补交。</w:t>
            </w:r>
            <w:bookmarkStart w:id="5" w:name="_GoBack"/>
            <w:bookmarkEnd w:id="5"/>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2、本项目为反向竞价，不接受其他品牌型号的商品报价。</w:t>
            </w:r>
          </w:p>
          <w:p>
            <w:pPr>
              <w:rPr>
                <w:rFonts w:hint="default"/>
                <w:lang w:val="en-US" w:eastAsia="zh-CN"/>
              </w:rPr>
            </w:pPr>
          </w:p>
        </w:tc>
      </w:tr>
    </w:tbl>
    <w:p/>
    <w:p/>
    <w:p/>
    <w:p>
      <w:pPr>
        <w:pStyle w:val="4"/>
      </w:pPr>
    </w:p>
    <w:p/>
    <w:p>
      <w:pPr>
        <w:pStyle w:val="4"/>
      </w:pPr>
    </w:p>
    <w:p/>
    <w:p>
      <w:pPr>
        <w:pStyle w:val="4"/>
      </w:pPr>
    </w:p>
    <w:p>
      <w:pPr>
        <w:jc w:val="both"/>
        <w:rPr>
          <w:rFonts w:hint="eastAsia" w:ascii="黑体" w:hAnsi="黑体" w:eastAsia="黑体" w:cs="黑体"/>
          <w:sz w:val="44"/>
          <w:szCs w:val="44"/>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D4F15"/>
    <w:multiLevelType w:val="singleLevel"/>
    <w:tmpl w:val="94FD4F15"/>
    <w:lvl w:ilvl="0" w:tentative="0">
      <w:start w:val="2"/>
      <w:numFmt w:val="chineseCounting"/>
      <w:suff w:val="nothing"/>
      <w:lvlText w:val="%1、"/>
      <w:lvlJc w:val="left"/>
      <w:rPr>
        <w:rFonts w:hint="eastAsia"/>
      </w:rPr>
    </w:lvl>
  </w:abstractNum>
  <w:abstractNum w:abstractNumId="1">
    <w:nsid w:val="99D0B19F"/>
    <w:multiLevelType w:val="singleLevel"/>
    <w:tmpl w:val="99D0B19F"/>
    <w:lvl w:ilvl="0" w:tentative="0">
      <w:start w:val="4"/>
      <w:numFmt w:val="decimal"/>
      <w:suff w:val="nothing"/>
      <w:lvlText w:val="%1、"/>
      <w:lvlJc w:val="left"/>
    </w:lvl>
  </w:abstractNum>
  <w:abstractNum w:abstractNumId="2">
    <w:nsid w:val="259F302A"/>
    <w:multiLevelType w:val="singleLevel"/>
    <w:tmpl w:val="259F302A"/>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0AB5"/>
    <w:rsid w:val="46FC0AB5"/>
    <w:rsid w:val="4D365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240" w:lineRule="auto"/>
      <w:jc w:val="center"/>
      <w:outlineLvl w:val="0"/>
    </w:pPr>
    <w:rPr>
      <w:rFonts w:asciiTheme="minorAscii" w:hAnsiTheme="minorAscii"/>
      <w:b/>
      <w:kern w:val="44"/>
      <w:sz w:val="3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style>
  <w:style w:type="paragraph" w:styleId="4">
    <w:name w:val="Body Text"/>
    <w:basedOn w:val="1"/>
    <w:next w:val="1"/>
    <w:qFormat/>
    <w:uiPriority w:val="0"/>
    <w:pPr>
      <w:spacing w:line="380" w:lineRule="exact"/>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2026-07-09T09:16:00Z</dcterms:created>
  <dc:creator>Administrator</dc:creator>
  <cp:lastModifiedBy>Administrator</cp:lastModifiedBy>
  <dcterms:modified xsi:type="dcterms:W3CDTF">2026-07-09T09:21:25Z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6AD433F3CE58422088C19E1DB7FF5A38</vt:lpwstr>
  </property>
</Properties>
</file>