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pPr w:leftFromText="180" w:rightFromText="180" w:vertAnchor="page" w:horzAnchor="margin" w:tblpXSpec="center" w:tblpY="1525"/>
        <w:tblW w:w="10900" w:type="dxa"/>
        <w:tblInd w:w="0" w:type="dxa"/>
        <w:tblLayout w:type="fixed"/>
        <w:tblCellMar>
          <w:top w:w="0" w:type="dxa"/>
          <w:left w:w="108" w:type="dxa"/>
          <w:bottom w:w="0" w:type="dxa"/>
          <w:right w:w="108" w:type="dxa"/>
        </w:tblCellMar>
      </w:tblPr>
      <w:tblGrid>
        <w:gridCol w:w="664"/>
        <w:gridCol w:w="507"/>
        <w:gridCol w:w="732"/>
        <w:gridCol w:w="1322"/>
        <w:gridCol w:w="6253"/>
        <w:gridCol w:w="709"/>
        <w:gridCol w:w="713"/>
      </w:tblGrid>
      <w:tr>
        <w:tblPrEx>
          <w:tblLayout w:type="fixed"/>
          <w:tblCellMar>
            <w:top w:w="0" w:type="dxa"/>
            <w:left w:w="108" w:type="dxa"/>
            <w:bottom w:w="0" w:type="dxa"/>
            <w:right w:w="108" w:type="dxa"/>
          </w:tblCellMar>
        </w:tblPrEx>
        <w:trPr>
          <w:trHeight w:val="673" w:hRule="atLeast"/>
        </w:trPr>
        <w:tc>
          <w:tcPr>
            <w:tcW w:w="10900"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sz w:val="24"/>
              </w:rPr>
            </w:pPr>
            <w:r>
              <w:rPr>
                <w:rFonts w:hint="eastAsia" w:ascii="宋体" w:hAnsi="宋体" w:cs="宋体"/>
                <w:b/>
                <w:bCs/>
                <w:sz w:val="24"/>
              </w:rPr>
              <w:t>货物需求参数</w:t>
            </w:r>
          </w:p>
        </w:tc>
      </w:tr>
      <w:tr>
        <w:tblPrEx>
          <w:tblLayout w:type="fixed"/>
          <w:tblCellMar>
            <w:top w:w="0" w:type="dxa"/>
            <w:left w:w="108" w:type="dxa"/>
            <w:bottom w:w="0" w:type="dxa"/>
            <w:right w:w="108" w:type="dxa"/>
          </w:tblCellMar>
        </w:tblPrEx>
        <w:trPr>
          <w:trHeight w:val="783" w:hRule="atLeast"/>
        </w:trPr>
        <w:tc>
          <w:tcPr>
            <w:tcW w:w="6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序号</w:t>
            </w:r>
          </w:p>
        </w:tc>
        <w:tc>
          <w:tcPr>
            <w:tcW w:w="123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产品名称</w:t>
            </w:r>
          </w:p>
        </w:tc>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品牌型号</w:t>
            </w:r>
          </w:p>
        </w:tc>
        <w:tc>
          <w:tcPr>
            <w:tcW w:w="62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技术参数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数量</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单位</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1</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hd w:val="clear" w:color="auto" w:fill="FFFFFF"/>
                <w:lang w:val="en-US" w:eastAsia="zh-CN"/>
              </w:rPr>
            </w:pPr>
            <w:r>
              <w:rPr>
                <w:rFonts w:hint="eastAsia" w:ascii="宋体" w:hAnsi="宋体" w:cs="宋体"/>
                <w:b w:val="0"/>
                <w:bCs w:val="0"/>
                <w:sz w:val="24"/>
                <w:shd w:val="clear" w:color="auto" w:fill="FFFFFF"/>
                <w:lang w:val="en-US" w:eastAsia="zh-CN"/>
              </w:rPr>
              <w:t>高清庭审主机</w:t>
            </w:r>
          </w:p>
        </w:tc>
        <w:tc>
          <w:tcPr>
            <w:tcW w:w="1322" w:type="dxa"/>
            <w:tcBorders>
              <w:top w:val="single" w:color="000000" w:sz="4" w:space="0"/>
              <w:left w:val="single" w:color="000000" w:sz="4" w:space="0"/>
              <w:bottom w:val="single" w:color="auto" w:sz="4" w:space="0"/>
              <w:right w:val="single" w:color="000000" w:sz="4" w:space="0"/>
            </w:tcBorders>
            <w:vAlign w:val="center"/>
          </w:tcPr>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★科达</w:t>
            </w:r>
          </w:p>
          <w:p>
            <w:pPr>
              <w:pStyle w:val="2"/>
              <w:ind w:left="0" w:leftChars="0" w:firstLine="0" w:firstLineChars="0"/>
            </w:pPr>
            <w:r>
              <w:rPr>
                <w:rFonts w:hint="eastAsia" w:ascii="宋体" w:hAnsi="宋体" w:eastAsia="宋体" w:cs="宋体"/>
                <w:sz w:val="24"/>
                <w:szCs w:val="24"/>
                <w:lang w:val="en-US" w:eastAsia="zh-CN"/>
              </w:rPr>
              <w:t>SVR2931-S-GD</w:t>
            </w:r>
          </w:p>
        </w:tc>
        <w:tc>
          <w:tcPr>
            <w:tcW w:w="6253" w:type="dxa"/>
            <w:tcBorders>
              <w:top w:val="single" w:color="000000" w:sz="4" w:space="0"/>
              <w:left w:val="single" w:color="000000" w:sz="4" w:space="0"/>
              <w:bottom w:val="single" w:color="auto" w:sz="4" w:space="0"/>
              <w:right w:val="single" w:color="000000" w:sz="4" w:space="0"/>
            </w:tcBorders>
          </w:tcPr>
          <w:p>
            <w:pPr>
              <w:pStyle w:val="2"/>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一体化嵌入式架构及嵌入式Linux操作系统，集成音视频矩阵、编解码、智能分析等模块，具有画面合成、混音录像、视音频存储、光盘刻录加密、音视频智能处理及远程提讯等功能，支持互联网庭审法庭端功能。</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2、支持6路SDI输入，支持6路HDMI输入，4路DVI视频输入</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3、支持6路DVI视频输出，3路HDMI输出，支持1路USB3.0、1路USB2.0</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4、支持2路10M/100M/1000M自适应以太网口，支持网络多址，网络容错，负载均衡模式</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5、支持12路MicIn（支持48V幻象供电）、4路LineIn（包含1路3.5mm双声道），支持3路LineOut（2路莲花，1路3.5mm双声道）、2路XLROut</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6、支持4路RS485串行接口，6路RS232串行接口</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7、支持1路红外输入，4路红外输出，支持2路告警输入，2路告警输出</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8、支持4个SATA接口，每个SATA口可支持8TB硬盘；本地硬盘容量：2T</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9、支持一键开启、停止刻录；支持一键开关机；支持一键打点；支持一键DVD回放</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▲10、内置8寸电容触控屏，支持实时显示通道状态、刻录/录制状态、USB接入状态、视频画面、光盘/硬盘总容量及已使用容量、刻录剩余时长、异常告警信息、CPU内存占用率、网络情况等</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▲11、内置双DVD刻录光驱，支持光驱热插拔，支持便捷拆卸光驱，可实现在不拆设备机箱的情况下更换光驱</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视频编码格式：支持H.264和H.265，视频编码码率：支持在128kbps-8Mbps范围内设置，音频编码格式：支持G.711、AAC_LC和ADPCM；音频采样率：支持8KHz、16KHz、32KHz和48KHz可设置；音频编码码率：支持在32kbps~128kbps范围内设置</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13、支持6路IP摄像机（H.264或H.265摄像机）和SDI摄像机混合接入，支持2路远程点接入</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▲14、支持4K、2K、1080P、720P、D1图像分辨率前端接入，并进入合成画面，支持前端接入类型：ONVIF、SIP、RTSP、H.323</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15、支持对PTZ摄像机进行PTZ操控，支持控制云台上、下、左、右、左上、左下、右上、右下转动，支持放大缩小、步长调节、光圈调节、灯光开关、雨刷开关和焦距调节（需前端设备支持）</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▲16、支持两路证据展台（HDMI、DVI）接入并编码，支持两路证据编码独立录像，可同时将两路证据画面加入到合成画面中</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17、支持25路音频输入，能够实现远程声音和本地声音混音刻录，支持5组混音器设置，每路音频输入通道自定义加入不同混音器混音</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18、支持啸叫抑制、回声抵消、自动增益、音频降噪，变声等音频处理功能</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▲19、支持SDI摄像机/IPC/远程点通道与本地/网络音频通道关联，实现自动切换发言话筒对应的前端图像，支持触发云台转动到配置的预置点</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20、支持合成画面、单通道画面和证据源画面本地录像，录像默认保存在本地硬盘</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21、录制的录像文件为标准的MP4文件，支持MP4录像文件下载，支持单独存储音频文件和获取音频文件</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22、支持合成画面的双光盘同步刻录、循环刻录和只录像不刻录，中途更换新光盘，可以识别上一张光盘停止的时间点，在新光盘中继续刻录</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23、支持断电续刻/续录功能，设备刻录过程中断电重启后，刻录机仍继续执行刻录任务</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24、支持光盘刻录自动封装通用播放器功能，光盘放入光驱中，能自动使用通用播放器播放录像，并同时展示笔录文件；支持时间进度显示功能</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25、支持重点标记功能，可以通过重点标记自动跳转到对应的录像和笔录时间点</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26、支持实时显示每个刻录机中是否有光盘、光盘刻录容量、光盘剩余时间、光盘剩余空间、刻录状态和刻录过程中的问题等状态</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▲27、支持H.323协议接入视频会议，远程点支持双流</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28、支持用户授权，由用户组统一划分权限，支持最高三级权限登录，支持限制指定MAC地址或IP地址的机器登录客户端</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▲29、支持对多种视频智能分析（证人保护、庭纪监督、区域看防、视频诊断、异常行为检测、姿态检测）的算法进行详细的参数配置，支持视频窗口绘制待检测区域</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30、支持单画面不少于2个人脸动态马赛克处理（马赛克随人脸移动），支持自定义设置马赛克等级（薄码，中码，厚码）和区域大小；支持证人声音变声功能，支持31种变声等级可选</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▲31、支持对指定区域内庭审秩序不规范检测，如迟到、早退、中途离席、缺席、法官制服不规范检测，准确率不低于95%</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▲32、在视频图像中设定检测区域，当有人员进入、逗留、离开均会产生告警信息，准确率不低于95%</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▲33、支持对视频图像全画面的清晰度、偏色、曝光、视频干扰、遮挡、视频丢失指标进行检测</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34、支持庭审过程中的笔录刻录到光盘中，支持自定义笔录模板功能，支持笔录重点标记功能</w:t>
            </w:r>
          </w:p>
          <w:p>
            <w:pPr>
              <w:rPr>
                <w:rFonts w:hint="eastAsia" w:ascii="宋体" w:hAnsi="宋体" w:eastAsia="宋体" w:cs="宋体"/>
                <w:sz w:val="21"/>
                <w:szCs w:val="21"/>
              </w:rPr>
            </w:pPr>
            <w:r>
              <w:rPr>
                <w:rFonts w:hint="eastAsia" w:ascii="宋体" w:hAnsi="宋体" w:eastAsia="宋体" w:cs="宋体"/>
                <w:sz w:val="21"/>
                <w:szCs w:val="21"/>
              </w:rPr>
              <w:t>35、支持Raid0、Raid1、Raid5、RAID6、Raid10，支持硬盘SMART信息显示和坏道检测</w:t>
            </w:r>
          </w:p>
          <w:p>
            <w:pPr>
              <w:rPr>
                <w:sz w:val="21"/>
                <w:szCs w:val="21"/>
              </w:rPr>
            </w:pPr>
            <w:r>
              <w:rPr>
                <w:rFonts w:hint="eastAsia" w:ascii="宋体" w:hAnsi="宋体" w:eastAsia="宋体" w:cs="宋体"/>
                <w:sz w:val="21"/>
                <w:szCs w:val="21"/>
              </w:rPr>
              <w:t xml:space="preserve">36、支持接入平台统一管理，可通过平台远程刻录或远程调阅录像等，具有VSIP、GB/T28181平台的接入设置选项，支持SNMP协议，支持接入运维平台                                                                                </w:t>
            </w:r>
          </w:p>
        </w:tc>
        <w:tc>
          <w:tcPr>
            <w:tcW w:w="709"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sz w:val="24"/>
              </w:rPr>
            </w:pPr>
            <w:r>
              <w:rPr>
                <w:rFonts w:hint="eastAsia" w:ascii="宋体" w:hAnsi="宋体" w:cs="宋体"/>
                <w:kern w:val="0"/>
                <w:sz w:val="24"/>
              </w:rPr>
              <w:t>1</w:t>
            </w:r>
          </w:p>
        </w:tc>
        <w:tc>
          <w:tcPr>
            <w:tcW w:w="713" w:type="dxa"/>
            <w:tcBorders>
              <w:top w:val="single" w:color="000000" w:sz="4" w:space="0"/>
              <w:left w:val="single" w:color="000000" w:sz="4" w:space="0"/>
              <w:bottom w:val="single" w:color="auto" w:sz="4" w:space="0"/>
              <w:right w:val="single" w:color="000000" w:sz="4" w:space="0"/>
            </w:tcBorders>
            <w:vAlign w:val="center"/>
          </w:tcPr>
          <w:p>
            <w:pPr>
              <w:spacing w:line="320" w:lineRule="exact"/>
              <w:ind w:left="360" w:hanging="360" w:hangingChars="150"/>
              <w:jc w:val="center"/>
              <w:rPr>
                <w:rFonts w:hint="default" w:ascii="宋体" w:hAnsi="宋体" w:eastAsia="宋体" w:cs="宋体"/>
                <w:sz w:val="24"/>
                <w:lang w:val="en-US" w:eastAsia="zh-CN"/>
              </w:rPr>
            </w:pPr>
            <w:r>
              <w:rPr>
                <w:rFonts w:hint="eastAsia" w:ascii="宋体" w:hAnsi="宋体" w:cs="宋体"/>
                <w:sz w:val="24"/>
                <w:lang w:val="en-US" w:eastAsia="zh-CN"/>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4K高清庭</w:t>
            </w:r>
          </w:p>
          <w:p>
            <w:pPr>
              <w:widowControl/>
              <w:spacing w:line="420" w:lineRule="exact"/>
              <w:jc w:val="center"/>
              <w:textAlignment w:val="center"/>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审专用一</w:t>
            </w:r>
          </w:p>
          <w:p>
            <w:pPr>
              <w:widowControl/>
              <w:spacing w:line="420" w:lineRule="exact"/>
              <w:jc w:val="center"/>
              <w:textAlignment w:val="center"/>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体机</w:t>
            </w:r>
          </w:p>
        </w:tc>
        <w:tc>
          <w:tcPr>
            <w:tcW w:w="1322"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★科达</w:t>
            </w:r>
          </w:p>
          <w:p>
            <w:pPr>
              <w:widowControl/>
              <w:spacing w:line="420" w:lineRule="exact"/>
              <w:jc w:val="center"/>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IPC820-F</w:t>
            </w:r>
            <w:r>
              <w:rPr>
                <w:rFonts w:hint="eastAsia" w:ascii="宋体" w:hAnsi="宋体" w:cs="宋体"/>
                <w:b w:val="0"/>
                <w:bCs w:val="0"/>
                <w:kern w:val="0"/>
                <w:sz w:val="24"/>
                <w:szCs w:val="24"/>
                <w:lang w:val="en-US" w:eastAsia="zh-CN" w:bidi="ar"/>
              </w:rPr>
              <w:t>8</w:t>
            </w:r>
            <w:r>
              <w:rPr>
                <w:rFonts w:hint="eastAsia" w:ascii="宋体" w:hAnsi="宋体" w:eastAsia="宋体" w:cs="宋体"/>
                <w:b w:val="0"/>
                <w:bCs w:val="0"/>
                <w:kern w:val="0"/>
                <w:sz w:val="24"/>
                <w:szCs w:val="24"/>
                <w:lang w:bidi="ar"/>
              </w:rPr>
              <w:t>30-N</w:t>
            </w:r>
          </w:p>
        </w:tc>
        <w:tc>
          <w:tcPr>
            <w:tcW w:w="6253" w:type="dxa"/>
            <w:tcBorders>
              <w:top w:val="single" w:color="000000" w:sz="4" w:space="0"/>
              <w:left w:val="single" w:color="000000" w:sz="4" w:space="0"/>
              <w:bottom w:val="single" w:color="auto" w:sz="4" w:space="0"/>
              <w:right w:val="single" w:color="000000" w:sz="4" w:space="0"/>
            </w:tcBorders>
          </w:tcPr>
          <w:p>
            <w:pPr>
              <w:pStyle w:val="2"/>
              <w:rPr>
                <w:rFonts w:hint="eastAsia" w:ascii="宋体" w:hAnsi="宋体" w:eastAsia="宋体" w:cs="宋体"/>
                <w:sz w:val="21"/>
                <w:szCs w:val="21"/>
              </w:rPr>
            </w:pPr>
            <w:r>
              <w:rPr>
                <w:rFonts w:hint="eastAsia" w:ascii="宋体" w:hAnsi="宋体" w:eastAsia="宋体" w:cs="宋体"/>
                <w:sz w:val="21"/>
                <w:szCs w:val="21"/>
              </w:rPr>
              <w:t>1、设备应采用1/1.8英寸CMOS传感器，内置2个GPU芯片，支持至少30倍光学变焦。</w:t>
            </w:r>
          </w:p>
          <w:p>
            <w:pPr>
              <w:pStyle w:val="2"/>
              <w:rPr>
                <w:rFonts w:hint="eastAsia" w:ascii="宋体" w:hAnsi="宋体" w:eastAsia="宋体" w:cs="宋体"/>
                <w:sz w:val="21"/>
                <w:szCs w:val="21"/>
              </w:rPr>
            </w:pPr>
            <w:r>
              <w:rPr>
                <w:rFonts w:hint="eastAsia" w:ascii="宋体" w:hAnsi="宋体" w:eastAsia="宋体" w:cs="宋体"/>
                <w:sz w:val="21"/>
                <w:szCs w:val="21"/>
              </w:rPr>
              <w:t>2、设备的最低照度至少为0.002Lux(彩色)， 0.0001Lux(黑白)。</w:t>
            </w:r>
          </w:p>
          <w:p>
            <w:pPr>
              <w:pStyle w:val="2"/>
              <w:rPr>
                <w:rFonts w:hint="eastAsia" w:ascii="宋体" w:hAnsi="宋体" w:eastAsia="宋体" w:cs="宋体"/>
                <w:sz w:val="21"/>
                <w:szCs w:val="21"/>
              </w:rPr>
            </w:pPr>
            <w:r>
              <w:rPr>
                <w:rFonts w:hint="eastAsia" w:ascii="宋体" w:hAnsi="宋体" w:eastAsia="宋体" w:cs="宋体"/>
                <w:sz w:val="21"/>
                <w:szCs w:val="21"/>
              </w:rPr>
              <w:t>3、设备的水平分辨力不低于2000TVL，信噪比不小于45dB,灰度等级不小于10级，宽动态范围不小于100dB。</w:t>
            </w:r>
          </w:p>
          <w:p>
            <w:pPr>
              <w:pStyle w:val="2"/>
              <w:rPr>
                <w:rFonts w:hint="eastAsia" w:ascii="宋体" w:hAnsi="宋体" w:eastAsia="宋体" w:cs="宋体"/>
                <w:sz w:val="21"/>
                <w:szCs w:val="21"/>
              </w:rPr>
            </w:pPr>
            <w:r>
              <w:rPr>
                <w:rFonts w:hint="eastAsia" w:ascii="宋体" w:hAnsi="宋体" w:eastAsia="宋体" w:cs="宋体"/>
                <w:sz w:val="21"/>
                <w:szCs w:val="21"/>
              </w:rPr>
              <w:t>4、设备支持三码流并发输出：可达到主码流4096×2160，帧率30帧/秒，第一辅码流1020×1080，帧率30帧/秒，第二辅码流704×576，帧率30帧/秒。</w:t>
            </w:r>
          </w:p>
          <w:p>
            <w:pPr>
              <w:pStyle w:val="2"/>
              <w:rPr>
                <w:rFonts w:hint="eastAsia" w:ascii="宋体" w:hAnsi="宋体" w:eastAsia="宋体" w:cs="宋体"/>
                <w:sz w:val="21"/>
                <w:szCs w:val="21"/>
              </w:rPr>
            </w:pPr>
            <w:r>
              <w:rPr>
                <w:rFonts w:hint="eastAsia" w:ascii="宋体" w:hAnsi="宋体" w:eastAsia="宋体" w:cs="宋体"/>
                <w:sz w:val="21"/>
                <w:szCs w:val="21"/>
              </w:rPr>
              <w:t>5、支持H.265、H.264、MJPEG编码格式；可将H.265、H.264格式设置为Baseline/Main/High Profile。支持Smart编码。</w:t>
            </w:r>
          </w:p>
          <w:p>
            <w:pPr>
              <w:pStyle w:val="2"/>
              <w:rPr>
                <w:rFonts w:hint="eastAsia" w:ascii="宋体" w:hAnsi="宋体" w:eastAsia="宋体" w:cs="宋体"/>
                <w:sz w:val="21"/>
                <w:szCs w:val="21"/>
              </w:rPr>
            </w:pPr>
            <w:r>
              <w:rPr>
                <w:rFonts w:hint="eastAsia" w:ascii="宋体" w:hAnsi="宋体" w:eastAsia="宋体" w:cs="宋体"/>
                <w:sz w:val="21"/>
                <w:szCs w:val="21"/>
              </w:rPr>
              <w:t>▲6、设备最大应支持分辨率4096×2160，帧率1fps~60fps可设置。</w:t>
            </w:r>
          </w:p>
          <w:p>
            <w:pPr>
              <w:pStyle w:val="2"/>
              <w:rPr>
                <w:rFonts w:hint="eastAsia" w:ascii="宋体" w:hAnsi="宋体" w:eastAsia="宋体" w:cs="宋体"/>
                <w:sz w:val="21"/>
                <w:szCs w:val="21"/>
              </w:rPr>
            </w:pPr>
            <w:r>
              <w:rPr>
                <w:rFonts w:hint="eastAsia" w:ascii="宋体" w:hAnsi="宋体" w:eastAsia="宋体" w:cs="宋体"/>
                <w:sz w:val="21"/>
                <w:szCs w:val="21"/>
              </w:rPr>
              <w:t>▲7、设备音频编码格式应支持PCMA、PCMU、ADPCM、G.711、G.722、G726、AAC_LC、OPUS音频编码标准，支持双向语音对讲、静音、哑音、混音、AEC回声抵消等功能。</w:t>
            </w:r>
          </w:p>
          <w:p>
            <w:pPr>
              <w:pStyle w:val="2"/>
              <w:rPr>
                <w:rFonts w:hint="eastAsia" w:ascii="宋体" w:hAnsi="宋体" w:eastAsia="宋体" w:cs="宋体"/>
                <w:sz w:val="21"/>
                <w:szCs w:val="21"/>
              </w:rPr>
            </w:pPr>
            <w:r>
              <w:rPr>
                <w:rFonts w:hint="eastAsia" w:ascii="宋体" w:hAnsi="宋体" w:eastAsia="宋体" w:cs="宋体"/>
                <w:sz w:val="21"/>
                <w:szCs w:val="21"/>
              </w:rPr>
              <w:t>▲8、支持1路SDI输出，支持1080P@30fps。</w:t>
            </w:r>
          </w:p>
          <w:p>
            <w:pPr>
              <w:pStyle w:val="2"/>
              <w:rPr>
                <w:rFonts w:hint="eastAsia" w:ascii="宋体" w:hAnsi="宋体" w:eastAsia="宋体" w:cs="宋体"/>
                <w:sz w:val="21"/>
                <w:szCs w:val="21"/>
              </w:rPr>
            </w:pPr>
            <w:r>
              <w:rPr>
                <w:rFonts w:hint="eastAsia" w:ascii="宋体" w:hAnsi="宋体" w:eastAsia="宋体" w:cs="宋体"/>
                <w:sz w:val="21"/>
                <w:szCs w:val="21"/>
              </w:rPr>
              <w:t>9、设备具有强光抑制功能，可以开启/关闭，支持电子透雾及光学透雾功能设置选项，支持电子防抖、陀螺仪防抖功能设置选项，防抖等级可设置，支持加热功能设置，支持除湿功能设置。</w:t>
            </w:r>
          </w:p>
          <w:p>
            <w:pPr>
              <w:pStyle w:val="2"/>
              <w:rPr>
                <w:rFonts w:hint="eastAsia" w:ascii="宋体" w:hAnsi="宋体" w:eastAsia="宋体" w:cs="宋体"/>
                <w:sz w:val="21"/>
                <w:szCs w:val="21"/>
              </w:rPr>
            </w:pPr>
            <w:r>
              <w:rPr>
                <w:rFonts w:hint="eastAsia" w:ascii="宋体" w:hAnsi="宋体" w:eastAsia="宋体" w:cs="宋体"/>
                <w:sz w:val="21"/>
                <w:szCs w:val="21"/>
              </w:rPr>
              <w:t>10、设备支持一个区域的ROI编码，区域大小可设置，支持4个矩形区域的区域遮盖，遮蔽区域颜色可以设置，遮蔽块可随云台转动而转动，支持镜像模式可实现左右翻转、上下翻转及中心翻转。</w:t>
            </w:r>
          </w:p>
          <w:p>
            <w:pPr>
              <w:pStyle w:val="2"/>
              <w:rPr>
                <w:rFonts w:hint="eastAsia" w:ascii="宋体" w:hAnsi="宋体" w:eastAsia="宋体" w:cs="宋体"/>
                <w:sz w:val="21"/>
                <w:szCs w:val="21"/>
              </w:rPr>
            </w:pPr>
            <w:r>
              <w:rPr>
                <w:rFonts w:hint="eastAsia" w:ascii="宋体" w:hAnsi="宋体" w:eastAsia="宋体" w:cs="宋体"/>
                <w:sz w:val="21"/>
                <w:szCs w:val="21"/>
              </w:rPr>
              <w:t>11、设备具有本机存储功能，支持1个外置TF卡，单卡最大可支持512GB。</w:t>
            </w:r>
          </w:p>
          <w:p>
            <w:pPr>
              <w:pStyle w:val="2"/>
              <w:rPr>
                <w:rFonts w:hint="eastAsia" w:ascii="宋体" w:hAnsi="宋体" w:eastAsia="宋体" w:cs="宋体"/>
                <w:sz w:val="21"/>
                <w:szCs w:val="21"/>
              </w:rPr>
            </w:pPr>
            <w:r>
              <w:rPr>
                <w:rFonts w:hint="eastAsia" w:ascii="宋体" w:hAnsi="宋体" w:eastAsia="宋体" w:cs="宋体"/>
                <w:sz w:val="21"/>
                <w:szCs w:val="21"/>
              </w:rPr>
              <w:t>12、设备具备网络自适应能力，在丢包率为≥20%的网络环境下，仍可正常显示监控画面。</w:t>
            </w:r>
          </w:p>
          <w:p>
            <w:pPr>
              <w:pStyle w:val="2"/>
              <w:rPr>
                <w:rFonts w:hint="eastAsia" w:ascii="宋体" w:hAnsi="宋体" w:eastAsia="宋体" w:cs="宋体"/>
                <w:sz w:val="21"/>
                <w:szCs w:val="21"/>
              </w:rPr>
            </w:pPr>
            <w:r>
              <w:rPr>
                <w:rFonts w:hint="eastAsia" w:ascii="宋体" w:hAnsi="宋体" w:eastAsia="宋体" w:cs="宋体"/>
                <w:sz w:val="21"/>
                <w:szCs w:val="21"/>
              </w:rPr>
              <w:t>▲13、设备支持移动侦测、遮挡报警、警戒线、区域入侵、进入区域、离开区域、人员聚集、声音异常、物品遗留、物品拿取等智能分析功能。当以上的智能行为分析达到设定的阀值时，可通过WEB客户端给出报警提示，能够触发告警上传、语音提示、显示字幕、发送邮件、联动录像、并口告警输出、联动云台转台等多种报警方式。</w:t>
            </w:r>
          </w:p>
          <w:p>
            <w:pPr>
              <w:pStyle w:val="2"/>
              <w:rPr>
                <w:rFonts w:hint="eastAsia" w:ascii="宋体" w:hAnsi="宋体" w:eastAsia="宋体" w:cs="宋体"/>
                <w:sz w:val="21"/>
                <w:szCs w:val="21"/>
              </w:rPr>
            </w:pPr>
            <w:r>
              <w:rPr>
                <w:rFonts w:hint="eastAsia" w:ascii="宋体" w:hAnsi="宋体" w:eastAsia="宋体" w:cs="宋体"/>
                <w:sz w:val="21"/>
                <w:szCs w:val="21"/>
              </w:rPr>
              <w:t>14、支持1路RJ45 10M/100M以太网接口，1路RS485控制接口，1路Line In和1路LineOut，1路开关量报警输入，1路开关量报警输出。</w:t>
            </w:r>
          </w:p>
          <w:p>
            <w:pPr>
              <w:pStyle w:val="2"/>
              <w:rPr>
                <w:rFonts w:hint="eastAsia" w:ascii="宋体" w:hAnsi="宋体" w:eastAsia="宋体" w:cs="宋体"/>
                <w:sz w:val="21"/>
                <w:szCs w:val="21"/>
              </w:rPr>
            </w:pPr>
            <w:r>
              <w:rPr>
                <w:rFonts w:hint="eastAsia" w:ascii="宋体" w:hAnsi="宋体" w:eastAsia="宋体" w:cs="宋体"/>
                <w:sz w:val="21"/>
                <w:szCs w:val="21"/>
              </w:rPr>
              <w:t>15、设备应在-40°的低温及+70°的高温下都运行正常。</w:t>
            </w:r>
          </w:p>
          <w:p>
            <w:pPr>
              <w:pStyle w:val="2"/>
              <w:rPr>
                <w:rFonts w:hint="eastAsia" w:ascii="宋体" w:hAnsi="宋体" w:eastAsia="宋体" w:cs="宋体"/>
                <w:sz w:val="21"/>
                <w:szCs w:val="21"/>
              </w:rPr>
            </w:pPr>
            <w:r>
              <w:rPr>
                <w:rFonts w:hint="eastAsia" w:ascii="宋体" w:hAnsi="宋体" w:eastAsia="宋体" w:cs="宋体"/>
                <w:sz w:val="21"/>
                <w:szCs w:val="21"/>
              </w:rPr>
              <w:t>16、电源电压在DC12V±30%范围内变化时，摄像机应能正常工作。</w:t>
            </w:r>
          </w:p>
        </w:tc>
        <w:tc>
          <w:tcPr>
            <w:tcW w:w="709"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c>
          <w:tcPr>
            <w:tcW w:w="713" w:type="dxa"/>
            <w:tcBorders>
              <w:top w:val="single" w:color="000000" w:sz="4" w:space="0"/>
              <w:left w:val="single" w:color="000000" w:sz="4" w:space="0"/>
              <w:bottom w:val="single" w:color="auto" w:sz="4" w:space="0"/>
              <w:right w:val="single" w:color="000000" w:sz="4" w:space="0"/>
            </w:tcBorders>
            <w:vAlign w:val="center"/>
          </w:tcPr>
          <w:p>
            <w:pPr>
              <w:spacing w:line="320" w:lineRule="exact"/>
              <w:ind w:left="360" w:hanging="360" w:hangingChars="150"/>
              <w:jc w:val="center"/>
              <w:rPr>
                <w:rFonts w:hint="default" w:ascii="宋体" w:hAnsi="宋体" w:cs="宋体"/>
                <w:sz w:val="24"/>
                <w:lang w:val="en-US" w:eastAsia="zh-CN"/>
              </w:rPr>
            </w:pPr>
            <w:r>
              <w:rPr>
                <w:rFonts w:hint="eastAsia" w:ascii="宋体" w:hAnsi="宋体" w:cs="宋体"/>
                <w:sz w:val="24"/>
                <w:lang w:val="en-US" w:eastAsia="zh-CN"/>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cs="宋体"/>
                <w:kern w:val="0"/>
                <w:sz w:val="24"/>
                <w:lang w:val="en-US" w:eastAsia="zh-CN" w:bidi="ar"/>
              </w:rPr>
            </w:pPr>
          </w:p>
          <w:p>
            <w:pPr>
              <w:widowControl/>
              <w:spacing w:line="420" w:lineRule="exact"/>
              <w:jc w:val="center"/>
              <w:textAlignment w:val="center"/>
              <w:rPr>
                <w:rFonts w:hint="eastAsia" w:ascii="宋体" w:hAnsi="宋体" w:cs="宋体"/>
                <w:kern w:val="0"/>
                <w:sz w:val="24"/>
                <w:lang w:val="en-US" w:eastAsia="zh-CN" w:bidi="ar"/>
              </w:rPr>
            </w:pPr>
          </w:p>
          <w:p>
            <w:pPr>
              <w:widowControl/>
              <w:spacing w:line="420" w:lineRule="exact"/>
              <w:jc w:val="center"/>
              <w:textAlignment w:val="center"/>
              <w:rPr>
                <w:rFonts w:hint="eastAsia" w:ascii="宋体" w:hAnsi="宋体" w:cs="宋体"/>
                <w:kern w:val="0"/>
                <w:sz w:val="24"/>
                <w:lang w:val="en-US" w:eastAsia="zh-CN" w:bidi="ar"/>
              </w:rPr>
            </w:pPr>
          </w:p>
          <w:p>
            <w:pPr>
              <w:widowControl/>
              <w:spacing w:line="420" w:lineRule="exact"/>
              <w:jc w:val="center"/>
              <w:textAlignment w:val="center"/>
              <w:rPr>
                <w:rFonts w:hint="eastAsia" w:ascii="宋体" w:hAnsi="宋体" w:cs="宋体"/>
                <w:kern w:val="0"/>
                <w:sz w:val="24"/>
                <w:lang w:val="en-US" w:eastAsia="zh-CN" w:bidi="ar"/>
              </w:rPr>
            </w:pPr>
          </w:p>
          <w:p>
            <w:pPr>
              <w:widowControl/>
              <w:spacing w:line="420" w:lineRule="exact"/>
              <w:jc w:val="center"/>
              <w:textAlignment w:val="center"/>
              <w:rPr>
                <w:rFonts w:hint="eastAsia" w:ascii="宋体" w:hAnsi="宋体" w:cs="宋体"/>
                <w:kern w:val="0"/>
                <w:sz w:val="24"/>
                <w:lang w:val="en-US" w:eastAsia="zh-CN" w:bidi="ar"/>
              </w:rPr>
            </w:pPr>
          </w:p>
          <w:p>
            <w:pPr>
              <w:widowControl/>
              <w:spacing w:line="420" w:lineRule="exact"/>
              <w:jc w:val="both"/>
              <w:textAlignment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3</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cs="宋体"/>
                <w:b w:val="0"/>
                <w:bCs w:val="0"/>
                <w:sz w:val="24"/>
                <w:shd w:val="clear" w:color="auto" w:fill="FFFFFF"/>
              </w:rPr>
            </w:pPr>
          </w:p>
          <w:p>
            <w:pPr>
              <w:widowControl/>
              <w:spacing w:line="420" w:lineRule="exact"/>
              <w:jc w:val="center"/>
              <w:textAlignment w:val="center"/>
              <w:rPr>
                <w:rFonts w:hint="eastAsia" w:ascii="宋体" w:hAnsi="宋体" w:cs="宋体"/>
                <w:b w:val="0"/>
                <w:bCs w:val="0"/>
                <w:sz w:val="24"/>
                <w:shd w:val="clear" w:color="auto" w:fill="FFFFFF"/>
              </w:rPr>
            </w:pPr>
          </w:p>
          <w:p>
            <w:pPr>
              <w:widowControl/>
              <w:spacing w:line="420" w:lineRule="exact"/>
              <w:jc w:val="center"/>
              <w:textAlignment w:val="center"/>
              <w:rPr>
                <w:rFonts w:hint="eastAsia" w:ascii="宋体" w:hAnsi="宋体" w:cs="宋体"/>
                <w:b w:val="0"/>
                <w:bCs w:val="0"/>
                <w:sz w:val="24"/>
                <w:shd w:val="clear" w:color="auto" w:fill="FFFFFF"/>
              </w:rPr>
            </w:pPr>
          </w:p>
          <w:p>
            <w:pPr>
              <w:widowControl/>
              <w:spacing w:line="420" w:lineRule="exact"/>
              <w:jc w:val="center"/>
              <w:textAlignment w:val="center"/>
              <w:rPr>
                <w:rFonts w:hint="eastAsia" w:ascii="宋体" w:hAnsi="宋体" w:cs="宋体"/>
                <w:b w:val="0"/>
                <w:bCs w:val="0"/>
                <w:sz w:val="24"/>
                <w:shd w:val="clear" w:color="auto" w:fill="FFFFFF"/>
              </w:rPr>
            </w:pPr>
          </w:p>
          <w:p>
            <w:pPr>
              <w:widowControl/>
              <w:spacing w:line="420" w:lineRule="exact"/>
              <w:jc w:val="center"/>
              <w:textAlignment w:val="center"/>
              <w:rPr>
                <w:rFonts w:hint="eastAsia" w:ascii="宋体" w:hAnsi="宋体" w:cs="宋体"/>
                <w:b w:val="0"/>
                <w:bCs w:val="0"/>
                <w:sz w:val="24"/>
                <w:shd w:val="clear" w:color="auto" w:fill="FFFFFF"/>
              </w:rPr>
            </w:pPr>
          </w:p>
          <w:p>
            <w:pPr>
              <w:widowControl/>
              <w:spacing w:line="420" w:lineRule="exact"/>
              <w:jc w:val="center"/>
              <w:textAlignment w:val="center"/>
              <w:rPr>
                <w:rFonts w:ascii="宋体" w:hAnsi="宋体" w:cs="宋体"/>
                <w:b w:val="0"/>
                <w:bCs w:val="0"/>
                <w:sz w:val="24"/>
                <w:shd w:val="clear" w:color="auto" w:fill="FFFFFF"/>
              </w:rPr>
            </w:pPr>
            <w:r>
              <w:rPr>
                <w:rFonts w:hint="eastAsia" w:ascii="宋体" w:hAnsi="宋体" w:cs="宋体"/>
                <w:b w:val="0"/>
                <w:bCs w:val="0"/>
                <w:sz w:val="24"/>
                <w:shd w:val="clear" w:color="auto" w:fill="FFFFFF"/>
                <w:lang w:val="en-US" w:eastAsia="zh-CN"/>
              </w:rPr>
              <w:t>4k高清</w:t>
            </w:r>
            <w:r>
              <w:rPr>
                <w:rFonts w:hint="eastAsia" w:ascii="宋体" w:hAnsi="宋体" w:cs="宋体"/>
                <w:b w:val="0"/>
                <w:bCs w:val="0"/>
                <w:sz w:val="24"/>
                <w:shd w:val="clear" w:color="auto" w:fill="FFFFFF"/>
                <w:lang w:eastAsia="zh-CN"/>
              </w:rPr>
              <w:t>庭</w:t>
            </w:r>
            <w:r>
              <w:rPr>
                <w:rFonts w:hint="eastAsia" w:ascii="宋体" w:hAnsi="宋体" w:cs="宋体"/>
                <w:b w:val="0"/>
                <w:bCs w:val="0"/>
                <w:sz w:val="24"/>
                <w:shd w:val="clear" w:color="auto" w:fill="FFFFFF"/>
              </w:rPr>
              <w:t>审专用全景摄像机</w:t>
            </w:r>
          </w:p>
        </w:tc>
        <w:tc>
          <w:tcPr>
            <w:tcW w:w="1322"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cs="宋体"/>
                <w:b w:val="0"/>
                <w:bCs w:val="0"/>
                <w:kern w:val="0"/>
                <w:sz w:val="24"/>
                <w:lang w:bidi="ar"/>
              </w:rPr>
            </w:pPr>
          </w:p>
          <w:p>
            <w:pPr>
              <w:widowControl/>
              <w:spacing w:line="420" w:lineRule="exact"/>
              <w:jc w:val="center"/>
              <w:textAlignment w:val="center"/>
              <w:rPr>
                <w:rFonts w:hint="eastAsia" w:ascii="宋体" w:hAnsi="宋体" w:cs="宋体"/>
                <w:b w:val="0"/>
                <w:bCs w:val="0"/>
                <w:kern w:val="0"/>
                <w:sz w:val="24"/>
                <w:lang w:val="en-US" w:eastAsia="zh-CN" w:bidi="ar"/>
              </w:rPr>
            </w:pPr>
          </w:p>
          <w:p>
            <w:pPr>
              <w:widowControl/>
              <w:spacing w:line="420" w:lineRule="exact"/>
              <w:jc w:val="center"/>
              <w:textAlignment w:val="center"/>
              <w:rPr>
                <w:rFonts w:hint="eastAsia" w:ascii="宋体" w:hAnsi="宋体" w:cs="宋体"/>
                <w:b w:val="0"/>
                <w:bCs w:val="0"/>
                <w:kern w:val="0"/>
                <w:sz w:val="24"/>
                <w:lang w:val="en-US" w:eastAsia="zh-CN" w:bidi="ar"/>
              </w:rPr>
            </w:pPr>
          </w:p>
          <w:p>
            <w:pPr>
              <w:widowControl/>
              <w:spacing w:line="420" w:lineRule="exact"/>
              <w:jc w:val="center"/>
              <w:textAlignment w:val="center"/>
              <w:rPr>
                <w:rFonts w:hint="eastAsia" w:ascii="宋体" w:hAnsi="宋体" w:cs="宋体"/>
                <w:b w:val="0"/>
                <w:bCs w:val="0"/>
                <w:kern w:val="0"/>
                <w:sz w:val="24"/>
                <w:lang w:val="en-US" w:eastAsia="zh-CN" w:bidi="ar"/>
              </w:rPr>
            </w:pPr>
          </w:p>
          <w:p>
            <w:pPr>
              <w:widowControl/>
              <w:spacing w:line="420" w:lineRule="exact"/>
              <w:jc w:val="center"/>
              <w:textAlignment w:val="center"/>
              <w:rPr>
                <w:rFonts w:hint="eastAsia" w:ascii="宋体" w:hAnsi="宋体" w:eastAsia="宋体" w:cs="宋体"/>
                <w:b w:val="0"/>
                <w:bCs w:val="0"/>
                <w:kern w:val="0"/>
                <w:sz w:val="24"/>
                <w:lang w:val="en-US" w:eastAsia="zh-CN" w:bidi="ar"/>
              </w:rPr>
            </w:pPr>
            <w:r>
              <w:rPr>
                <w:rFonts w:hint="eastAsia" w:ascii="宋体" w:hAnsi="宋体" w:cs="宋体"/>
                <w:b w:val="0"/>
                <w:bCs w:val="0"/>
                <w:kern w:val="0"/>
                <w:sz w:val="24"/>
                <w:lang w:val="en-US" w:eastAsia="zh-CN" w:bidi="ar"/>
              </w:rPr>
              <w:t>★科达</w:t>
            </w:r>
          </w:p>
          <w:p>
            <w:pPr>
              <w:widowControl/>
              <w:spacing w:line="420" w:lineRule="exact"/>
              <w:jc w:val="center"/>
              <w:textAlignment w:val="center"/>
              <w:rPr>
                <w:rFonts w:ascii="宋体" w:hAnsi="宋体" w:cs="宋体"/>
                <w:b w:val="0"/>
                <w:bCs w:val="0"/>
                <w:kern w:val="0"/>
                <w:sz w:val="24"/>
                <w:lang w:bidi="ar"/>
              </w:rPr>
            </w:pPr>
            <w:r>
              <w:rPr>
                <w:rFonts w:hint="eastAsia" w:ascii="宋体" w:hAnsi="宋体" w:cs="宋体"/>
                <w:b w:val="0"/>
                <w:bCs w:val="0"/>
                <w:kern w:val="0"/>
                <w:sz w:val="24"/>
                <w:lang w:bidi="ar"/>
              </w:rPr>
              <w:t>IPC2833-FN-SIR50-Z2812</w:t>
            </w:r>
          </w:p>
        </w:tc>
        <w:tc>
          <w:tcPr>
            <w:tcW w:w="6253" w:type="dxa"/>
            <w:tcBorders>
              <w:top w:val="single" w:color="000000" w:sz="4" w:space="0"/>
              <w:left w:val="single" w:color="000000" w:sz="4" w:space="0"/>
              <w:bottom w:val="single" w:color="auto" w:sz="4" w:space="0"/>
              <w:right w:val="single" w:color="000000" w:sz="4" w:space="0"/>
            </w:tcBorders>
          </w:tcPr>
          <w:p>
            <w:pPr>
              <w:rPr>
                <w:rFonts w:hint="eastAsia" w:ascii="宋体" w:hAnsi="宋体" w:cs="宋体"/>
                <w:sz w:val="21"/>
                <w:szCs w:val="21"/>
              </w:rPr>
            </w:pPr>
            <w:r>
              <w:rPr>
                <w:rFonts w:hint="eastAsia" w:ascii="宋体" w:hAnsi="宋体" w:cs="宋体"/>
                <w:sz w:val="21"/>
                <w:szCs w:val="21"/>
              </w:rPr>
              <w:t>1、设备内置GPU芯片，  ≥800万像素，图像分辨率≥3840×2160，传感器尺寸≥1/2.8英</w:t>
            </w:r>
          </w:p>
          <w:p>
            <w:pPr>
              <w:rPr>
                <w:rFonts w:hint="eastAsia" w:ascii="宋体" w:hAnsi="宋体" w:cs="宋体"/>
                <w:sz w:val="21"/>
                <w:szCs w:val="21"/>
              </w:rPr>
            </w:pPr>
            <w:r>
              <w:rPr>
                <w:rFonts w:hint="eastAsia" w:ascii="宋体" w:hAnsi="宋体" w:cs="宋体"/>
                <w:sz w:val="21"/>
                <w:szCs w:val="21"/>
              </w:rPr>
              <w:t>寸，最低照度≤0.0005Lux (彩色)，≤0.0001Lux (黑白)，内置6~22mm电动变焦镜头；</w:t>
            </w:r>
          </w:p>
          <w:p>
            <w:pPr>
              <w:rPr>
                <w:rFonts w:hint="eastAsia" w:ascii="宋体" w:hAnsi="宋体" w:cs="宋体"/>
                <w:sz w:val="21"/>
                <w:szCs w:val="21"/>
              </w:rPr>
            </w:pPr>
            <w:r>
              <w:rPr>
                <w:rFonts w:hint="eastAsia" w:ascii="宋体" w:hAnsi="宋体" w:cs="宋体"/>
                <w:sz w:val="21"/>
                <w:szCs w:val="21"/>
              </w:rPr>
              <w:t>2、支持H.264、H.265和MJPEG视频编码，支持G.711a、G.711u、G.726、G.722、AAC_LC</w:t>
            </w:r>
          </w:p>
          <w:p>
            <w:pPr>
              <w:rPr>
                <w:rFonts w:hint="eastAsia" w:ascii="宋体" w:hAnsi="宋体" w:cs="宋体"/>
                <w:sz w:val="21"/>
                <w:szCs w:val="21"/>
              </w:rPr>
            </w:pPr>
            <w:r>
              <w:rPr>
                <w:rFonts w:hint="eastAsia" w:ascii="宋体" w:hAnsi="宋体" w:cs="宋体"/>
                <w:sz w:val="21"/>
                <w:szCs w:val="21"/>
              </w:rPr>
              <w:t>、ADPCM、G722.1c音频编码。支持AEC回声消除、混音录像功能；</w:t>
            </w:r>
          </w:p>
          <w:p>
            <w:pPr>
              <w:rPr>
                <w:rFonts w:hint="eastAsia" w:ascii="宋体" w:hAnsi="宋体" w:cs="宋体"/>
                <w:sz w:val="21"/>
                <w:szCs w:val="21"/>
              </w:rPr>
            </w:pPr>
            <w:r>
              <w:rPr>
                <w:rFonts w:hint="eastAsia" w:ascii="宋体" w:hAnsi="宋体" w:cs="宋体"/>
                <w:sz w:val="21"/>
                <w:szCs w:val="21"/>
              </w:rPr>
              <w:t>3、设备支持三码流：主码流分辨率为3840×2160，帧率为20fps；子码流分辨率为</w:t>
            </w:r>
          </w:p>
          <w:p>
            <w:pPr>
              <w:rPr>
                <w:rFonts w:hint="eastAsia" w:ascii="宋体" w:hAnsi="宋体" w:cs="宋体"/>
                <w:sz w:val="21"/>
                <w:szCs w:val="21"/>
              </w:rPr>
            </w:pPr>
            <w:r>
              <w:rPr>
                <w:rFonts w:hint="eastAsia" w:ascii="宋体" w:hAnsi="宋体" w:cs="宋体"/>
                <w:sz w:val="21"/>
                <w:szCs w:val="21"/>
              </w:rPr>
              <w:t>720P，帧率为30fps；第三码流分辨率为D1，帧率为30fps。各码流的视频分辨率、帧率</w:t>
            </w:r>
          </w:p>
          <w:p>
            <w:pPr>
              <w:rPr>
                <w:rFonts w:hint="eastAsia" w:ascii="宋体" w:hAnsi="宋体" w:cs="宋体"/>
                <w:sz w:val="21"/>
                <w:szCs w:val="21"/>
              </w:rPr>
            </w:pPr>
            <w:r>
              <w:rPr>
                <w:rFonts w:hint="eastAsia" w:ascii="宋体" w:hAnsi="宋体" w:cs="宋体"/>
                <w:sz w:val="21"/>
                <w:szCs w:val="21"/>
              </w:rPr>
              <w:t>、编码格式可单独设置；</w:t>
            </w:r>
          </w:p>
          <w:p>
            <w:pPr>
              <w:rPr>
                <w:rFonts w:hint="eastAsia" w:ascii="宋体" w:hAnsi="宋体" w:cs="宋体"/>
                <w:sz w:val="21"/>
                <w:szCs w:val="21"/>
              </w:rPr>
            </w:pPr>
            <w:r>
              <w:rPr>
                <w:rFonts w:hint="eastAsia" w:ascii="宋体" w:hAnsi="宋体" w:cs="宋体"/>
                <w:sz w:val="21"/>
                <w:szCs w:val="21"/>
              </w:rPr>
              <w:t>4、设备应满足图像信噪比大于等于58dB，动态范围大于等于120dB，图像水平中心分辨</w:t>
            </w:r>
          </w:p>
          <w:p>
            <w:pPr>
              <w:rPr>
                <w:rFonts w:hint="eastAsia" w:ascii="宋体" w:hAnsi="宋体" w:cs="宋体"/>
                <w:sz w:val="21"/>
                <w:szCs w:val="21"/>
              </w:rPr>
            </w:pPr>
            <w:r>
              <w:rPr>
                <w:rFonts w:hint="eastAsia" w:ascii="宋体" w:hAnsi="宋体" w:cs="宋体"/>
                <w:sz w:val="21"/>
                <w:szCs w:val="21"/>
              </w:rPr>
              <w:t>力不小于2000TVL，灰度等级不小于11级；</w:t>
            </w:r>
          </w:p>
          <w:p>
            <w:pPr>
              <w:rPr>
                <w:rFonts w:hint="eastAsia" w:ascii="宋体" w:hAnsi="宋体" w:cs="宋体"/>
                <w:sz w:val="21"/>
                <w:szCs w:val="21"/>
              </w:rPr>
            </w:pPr>
            <w:r>
              <w:rPr>
                <w:rFonts w:hint="eastAsia" w:ascii="宋体" w:hAnsi="宋体" w:cs="宋体"/>
                <w:sz w:val="21"/>
                <w:szCs w:val="21"/>
              </w:rPr>
              <w:t>5、设备支持多用户并发访问，能满足不少于25个用户同时访问并实时浏览视频；</w:t>
            </w:r>
          </w:p>
          <w:p>
            <w:pPr>
              <w:rPr>
                <w:rFonts w:hint="eastAsia" w:ascii="宋体" w:hAnsi="宋体" w:cs="宋体"/>
                <w:sz w:val="21"/>
                <w:szCs w:val="21"/>
              </w:rPr>
            </w:pPr>
            <w:r>
              <w:rPr>
                <w:rFonts w:hint="eastAsia" w:ascii="宋体" w:hAnsi="宋体" w:cs="宋体"/>
                <w:sz w:val="21"/>
                <w:szCs w:val="21"/>
              </w:rPr>
              <w:t>6、设备支持3D数字降噪、电子防抖、畸变矫正、强光抑制、背光补偿、透雾、数字水印</w:t>
            </w:r>
          </w:p>
          <w:p>
            <w:pPr>
              <w:rPr>
                <w:rFonts w:hint="eastAsia" w:ascii="宋体" w:hAnsi="宋体" w:cs="宋体"/>
                <w:sz w:val="21"/>
                <w:szCs w:val="21"/>
              </w:rPr>
            </w:pPr>
            <w:r>
              <w:rPr>
                <w:rFonts w:hint="eastAsia" w:ascii="宋体" w:hAnsi="宋体" w:cs="宋体"/>
                <w:sz w:val="21"/>
                <w:szCs w:val="21"/>
              </w:rPr>
              <w:t>等功能；</w:t>
            </w:r>
          </w:p>
          <w:p>
            <w:pPr>
              <w:rPr>
                <w:rFonts w:hint="eastAsia" w:ascii="宋体" w:hAnsi="宋体" w:cs="宋体"/>
                <w:sz w:val="21"/>
                <w:szCs w:val="21"/>
              </w:rPr>
            </w:pPr>
            <w:r>
              <w:rPr>
                <w:rFonts w:hint="eastAsia" w:ascii="宋体" w:hAnsi="宋体" w:cs="宋体"/>
                <w:sz w:val="21"/>
                <w:szCs w:val="21"/>
              </w:rPr>
              <w:t>7、设备支持移动侦测，遮挡报警，警戒线，虚焦检测，场景变更，区域进入，区域离</w:t>
            </w:r>
          </w:p>
          <w:p>
            <w:pPr>
              <w:rPr>
                <w:rFonts w:hint="eastAsia" w:ascii="宋体" w:hAnsi="宋体" w:cs="宋体"/>
                <w:sz w:val="21"/>
                <w:szCs w:val="21"/>
              </w:rPr>
            </w:pPr>
            <w:r>
              <w:rPr>
                <w:rFonts w:hint="eastAsia" w:ascii="宋体" w:hAnsi="宋体" w:cs="宋体"/>
                <w:sz w:val="21"/>
                <w:szCs w:val="21"/>
              </w:rPr>
              <w:t>开，区域入侵，物品遗留，物品拿取，人员聚集，声音异常，起雾检测行为分析智能功</w:t>
            </w:r>
          </w:p>
          <w:p>
            <w:pPr>
              <w:rPr>
                <w:rFonts w:hint="eastAsia" w:ascii="宋体" w:hAnsi="宋体" w:cs="宋体"/>
                <w:sz w:val="21"/>
                <w:szCs w:val="21"/>
              </w:rPr>
            </w:pPr>
            <w:r>
              <w:rPr>
                <w:rFonts w:hint="eastAsia" w:ascii="宋体" w:hAnsi="宋体" w:cs="宋体"/>
                <w:sz w:val="21"/>
                <w:szCs w:val="21"/>
              </w:rPr>
              <w:t>能和磁盘满、网线断开、磁盘错误等异常侦测功能；</w:t>
            </w:r>
          </w:p>
          <w:p>
            <w:pPr>
              <w:rPr>
                <w:rFonts w:hint="eastAsia" w:ascii="宋体" w:hAnsi="宋体" w:cs="宋体"/>
                <w:sz w:val="21"/>
                <w:szCs w:val="21"/>
              </w:rPr>
            </w:pPr>
            <w:r>
              <w:rPr>
                <w:rFonts w:hint="eastAsia" w:ascii="宋体" w:hAnsi="宋体" w:cs="宋体"/>
                <w:sz w:val="21"/>
                <w:szCs w:val="21"/>
              </w:rPr>
              <w:t>8、设备支持文字转语音功能，支持TF卡存储和ANR断网续传功能，TF卡支持热插拔；</w:t>
            </w:r>
          </w:p>
          <w:p>
            <w:pPr>
              <w:rPr>
                <w:rFonts w:hint="eastAsia" w:ascii="宋体" w:hAnsi="宋体" w:cs="宋体"/>
                <w:sz w:val="21"/>
                <w:szCs w:val="21"/>
              </w:rPr>
            </w:pPr>
            <w:r>
              <w:rPr>
                <w:rFonts w:hint="eastAsia" w:ascii="宋体" w:hAnsi="宋体" w:cs="宋体"/>
                <w:sz w:val="21"/>
                <w:szCs w:val="21"/>
              </w:rPr>
              <w:t>9、人脸抓拍支持头肩加全人、人脸加全人、头肩、全人和人脸五种输出模式；支持输出</w:t>
            </w:r>
          </w:p>
          <w:p>
            <w:pPr>
              <w:rPr>
                <w:rFonts w:hint="eastAsia" w:ascii="宋体" w:hAnsi="宋体" w:cs="宋体"/>
                <w:sz w:val="21"/>
                <w:szCs w:val="21"/>
              </w:rPr>
            </w:pPr>
            <w:r>
              <w:rPr>
                <w:rFonts w:hint="eastAsia" w:ascii="宋体" w:hAnsi="宋体" w:cs="宋体"/>
                <w:sz w:val="21"/>
                <w:szCs w:val="21"/>
              </w:rPr>
              <w:t>人脸(头肩)局部图片、人像全身局部图片、场景全景图片、压缩场景全景图片四种类型</w:t>
            </w:r>
          </w:p>
          <w:p>
            <w:pPr>
              <w:rPr>
                <w:rFonts w:hint="eastAsia" w:ascii="宋体" w:hAnsi="宋体" w:cs="宋体"/>
                <w:sz w:val="21"/>
                <w:szCs w:val="21"/>
              </w:rPr>
            </w:pPr>
            <w:r>
              <w:rPr>
                <w:rFonts w:hint="eastAsia" w:ascii="宋体" w:hAnsi="宋体" w:cs="宋体"/>
                <w:sz w:val="21"/>
                <w:szCs w:val="21"/>
              </w:rPr>
              <w:t>图片；支持最佳人脸抓拍和连续人脸抓拍输出模式；</w:t>
            </w:r>
          </w:p>
          <w:p>
            <w:pPr>
              <w:rPr>
                <w:rFonts w:hint="eastAsia" w:ascii="宋体" w:hAnsi="宋体" w:cs="宋体"/>
                <w:sz w:val="21"/>
                <w:szCs w:val="21"/>
              </w:rPr>
            </w:pPr>
            <w:r>
              <w:rPr>
                <w:rFonts w:hint="eastAsia" w:ascii="宋体" w:hAnsi="宋体" w:cs="宋体"/>
                <w:sz w:val="21"/>
                <w:szCs w:val="21"/>
              </w:rPr>
              <w:t>10、支持检测同时出现在画面中的150个人脸目标；支持检测输出两眼瞳距为16像素以上</w:t>
            </w:r>
          </w:p>
          <w:p>
            <w:pPr>
              <w:rPr>
                <w:rFonts w:hint="eastAsia" w:ascii="宋体" w:hAnsi="宋体" w:cs="宋体"/>
                <w:sz w:val="21"/>
                <w:szCs w:val="21"/>
              </w:rPr>
            </w:pPr>
            <w:r>
              <w:rPr>
                <w:rFonts w:hint="eastAsia" w:ascii="宋体" w:hAnsi="宋体" w:cs="宋体"/>
                <w:sz w:val="21"/>
                <w:szCs w:val="21"/>
              </w:rPr>
              <w:t>的人脸目标  人脸目标捕获率≥99%                                                                                                                               11、支持检测抬头、低头、左侧转动、右侧转动、右斜向上、右斜向下、左斜向上、左</w:t>
            </w:r>
          </w:p>
          <w:p>
            <w:pPr>
              <w:rPr>
                <w:rFonts w:hint="eastAsia" w:ascii="宋体" w:hAnsi="宋体" w:cs="宋体"/>
                <w:sz w:val="21"/>
                <w:szCs w:val="21"/>
              </w:rPr>
            </w:pPr>
            <w:r>
              <w:rPr>
                <w:rFonts w:hint="eastAsia" w:ascii="宋体" w:hAnsi="宋体" w:cs="宋体"/>
                <w:sz w:val="21"/>
                <w:szCs w:val="21"/>
              </w:rPr>
              <w:t>斜向下等姿态的人脸目标；</w:t>
            </w:r>
          </w:p>
          <w:p>
            <w:pPr>
              <w:rPr>
                <w:rFonts w:hint="eastAsia" w:ascii="宋体" w:hAnsi="宋体" w:cs="宋体"/>
                <w:sz w:val="21"/>
                <w:szCs w:val="21"/>
              </w:rPr>
            </w:pPr>
            <w:r>
              <w:rPr>
                <w:rFonts w:hint="eastAsia" w:ascii="宋体" w:hAnsi="宋体" w:cs="宋体"/>
                <w:sz w:val="21"/>
                <w:szCs w:val="21"/>
              </w:rPr>
              <w:t>12、支持检测微笑、大笑、瞪眼、闭眼、张嘴、歪嘴、嘟嘴、吐舌头等表情的人脸目标；</w:t>
            </w:r>
          </w:p>
          <w:p>
            <w:pPr>
              <w:rPr>
                <w:rFonts w:hint="eastAsia" w:ascii="宋体" w:hAnsi="宋体" w:cs="宋体"/>
                <w:sz w:val="21"/>
                <w:szCs w:val="21"/>
              </w:rPr>
            </w:pPr>
            <w:r>
              <w:rPr>
                <w:rFonts w:hint="eastAsia" w:ascii="宋体" w:hAnsi="宋体" w:cs="宋体"/>
                <w:sz w:val="21"/>
                <w:szCs w:val="21"/>
              </w:rPr>
              <w:t>13、支持检测齐刘海遮挡眉毛、头发遮挡眼睛、戴普通眼镜、戴墨镜、戴彩色眼镜、戴棒球帽、戴雷锋帽、戴普通帽子、戴安全帽、戴头戴式耳机、戴头盔、戴口罩、戴围巾等不同遮挡状态的人脸目标；</w:t>
            </w:r>
          </w:p>
          <w:p>
            <w:pPr>
              <w:rPr>
                <w:rFonts w:hint="eastAsia" w:ascii="宋体" w:hAnsi="宋体" w:cs="宋体"/>
                <w:sz w:val="21"/>
                <w:szCs w:val="21"/>
              </w:rPr>
            </w:pPr>
            <w:r>
              <w:rPr>
                <w:rFonts w:hint="eastAsia" w:ascii="宋体" w:hAnsi="宋体" w:cs="宋体"/>
                <w:sz w:val="21"/>
                <w:szCs w:val="21"/>
              </w:rPr>
              <w:t>14、支持对行人目标的正面、背面、侧面进行检测、跟踪、抓拍；支持检测抓拍同时出现在画面中的150个人员目标，支持检测目标宽度40像素以上的人员目标，人员目标检测</w:t>
            </w:r>
          </w:p>
          <w:p>
            <w:pPr>
              <w:rPr>
                <w:rFonts w:hint="eastAsia" w:ascii="宋体" w:hAnsi="宋体" w:cs="宋体"/>
                <w:sz w:val="21"/>
                <w:szCs w:val="21"/>
              </w:rPr>
            </w:pPr>
            <w:r>
              <w:rPr>
                <w:rFonts w:hint="eastAsia" w:ascii="宋体" w:hAnsi="宋体" w:cs="宋体"/>
                <w:sz w:val="21"/>
                <w:szCs w:val="21"/>
              </w:rPr>
              <w:t>率≥99%；</w:t>
            </w:r>
          </w:p>
          <w:p>
            <w:pPr>
              <w:rPr>
                <w:rFonts w:hint="eastAsia" w:ascii="宋体" w:hAnsi="宋体" w:cs="宋体"/>
                <w:sz w:val="21"/>
                <w:szCs w:val="21"/>
              </w:rPr>
            </w:pPr>
            <w:r>
              <w:rPr>
                <w:rFonts w:hint="eastAsia" w:ascii="宋体" w:hAnsi="宋体" w:cs="宋体"/>
                <w:sz w:val="21"/>
                <w:szCs w:val="21"/>
              </w:rPr>
              <w:t>15、支持智能跟踪行人目标在画面中出现到消失，行人目标在监控画面中消失后，输出最佳行人全身抓拍图片；</w:t>
            </w:r>
          </w:p>
          <w:p>
            <w:pPr>
              <w:rPr>
                <w:rFonts w:hint="eastAsia" w:ascii="宋体" w:hAnsi="宋体" w:cs="宋体"/>
                <w:sz w:val="21"/>
                <w:szCs w:val="21"/>
              </w:rPr>
            </w:pPr>
            <w:r>
              <w:rPr>
                <w:rFonts w:hint="eastAsia" w:ascii="宋体" w:hAnsi="宋体" w:cs="宋体"/>
                <w:sz w:val="21"/>
                <w:szCs w:val="21"/>
              </w:rPr>
              <w:t>16、支持分析人员目标的性别、年龄、是否戴眼镜、微笑、姿态、是否戴口罩、是否戴帽子、帽子颜色、发型、发色、是否带耳机、是否戴围巾、鞋子款式、鞋子颜色、身姿</w:t>
            </w:r>
          </w:p>
          <w:p>
            <w:pPr>
              <w:rPr>
                <w:rFonts w:hint="eastAsia" w:ascii="宋体" w:hAnsi="宋体" w:cs="宋体"/>
                <w:sz w:val="21"/>
                <w:szCs w:val="21"/>
              </w:rPr>
            </w:pPr>
            <w:r>
              <w:rPr>
                <w:rFonts w:hint="eastAsia" w:ascii="宋体" w:hAnsi="宋体" w:cs="宋体"/>
                <w:sz w:val="21"/>
                <w:szCs w:val="21"/>
              </w:rPr>
              <w:t>、箱包类型、骑车类型、上下衣颜色、上下衣款式、上下衣长短、是否抱小孩、是否背小孩、是否有手机属性分析；</w:t>
            </w:r>
          </w:p>
          <w:p>
            <w:pPr>
              <w:rPr>
                <w:rFonts w:hint="eastAsia" w:ascii="宋体" w:hAnsi="宋体" w:cs="宋体"/>
                <w:sz w:val="21"/>
                <w:szCs w:val="21"/>
              </w:rPr>
            </w:pPr>
            <w:r>
              <w:rPr>
                <w:rFonts w:hint="eastAsia" w:ascii="宋体" w:hAnsi="宋体" w:cs="宋体"/>
                <w:sz w:val="21"/>
                <w:szCs w:val="21"/>
              </w:rPr>
              <w:t>17、支持戴口罩、未戴口罩、戴墨镜、为佩戴安全帽、人员超员等智能事件告警，报警后可将报警信息上传中心、联动录像、联动报警输出（支持字幕、开关量及音频输</w:t>
            </w:r>
          </w:p>
          <w:p>
            <w:pPr>
              <w:rPr>
                <w:rFonts w:hint="eastAsia" w:ascii="宋体" w:hAnsi="宋体" w:cs="宋体"/>
                <w:sz w:val="21"/>
                <w:szCs w:val="21"/>
              </w:rPr>
            </w:pPr>
            <w:r>
              <w:rPr>
                <w:rFonts w:hint="eastAsia" w:ascii="宋体" w:hAnsi="宋体" w:cs="宋体"/>
                <w:sz w:val="21"/>
                <w:szCs w:val="21"/>
              </w:rPr>
              <w:t>出）；</w:t>
            </w:r>
          </w:p>
          <w:p>
            <w:pPr>
              <w:rPr>
                <w:rFonts w:ascii="宋体" w:hAnsi="宋体" w:cs="宋体"/>
                <w:sz w:val="21"/>
                <w:szCs w:val="21"/>
              </w:rPr>
            </w:pPr>
            <w:r>
              <w:rPr>
                <w:rFonts w:hint="eastAsia" w:ascii="宋体" w:hAnsi="宋体" w:cs="宋体"/>
                <w:sz w:val="21"/>
                <w:szCs w:val="21"/>
              </w:rPr>
              <w:t>18、设备支持TCP/IP、SIP、RTSP、组播、DHCP、DNS、DDNS、PPPoE、NAT</w:t>
            </w:r>
            <w:r>
              <w:rPr>
                <w:rFonts w:hint="eastAsia" w:ascii="宋体" w:hAnsi="宋体" w:cs="宋体"/>
                <w:sz w:val="21"/>
                <w:szCs w:val="21"/>
                <w:lang w:eastAsia="zh-CN"/>
              </w:rPr>
              <w:t>、</w:t>
            </w:r>
            <w:r>
              <w:rPr>
                <w:rFonts w:hint="eastAsia" w:ascii="宋体" w:hAnsi="宋体" w:cs="宋体"/>
                <w:sz w:val="21"/>
                <w:szCs w:val="21"/>
              </w:rPr>
              <w:t>802.1X、QoS                                                                           19、设备应能满足在DC12V±30%宽电压环境下正常工作，支持POE及电源热备份；具备IP67防护等级，工作温度-40°~70°。</w:t>
            </w:r>
          </w:p>
        </w:tc>
        <w:tc>
          <w:tcPr>
            <w:tcW w:w="709"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713" w:type="dxa"/>
            <w:tcBorders>
              <w:top w:val="single" w:color="000000" w:sz="4" w:space="0"/>
              <w:left w:val="single" w:color="000000" w:sz="4" w:space="0"/>
              <w:bottom w:val="single" w:color="auto" w:sz="4" w:space="0"/>
              <w:right w:val="single" w:color="000000" w:sz="4" w:space="0"/>
            </w:tcBorders>
            <w:vAlign w:val="center"/>
          </w:tcPr>
          <w:p>
            <w:pPr>
              <w:spacing w:line="320" w:lineRule="exact"/>
              <w:ind w:left="360" w:hanging="360" w:hangingChars="150"/>
              <w:jc w:val="center"/>
              <w:rPr>
                <w:rFonts w:hint="default" w:ascii="宋体" w:hAnsi="宋体" w:cs="宋体"/>
                <w:sz w:val="24"/>
                <w:lang w:val="en-US" w:eastAsia="zh-CN"/>
              </w:rPr>
            </w:pPr>
            <w:r>
              <w:rPr>
                <w:rFonts w:hint="eastAsia" w:ascii="宋体" w:hAnsi="宋体" w:cs="宋体"/>
                <w:sz w:val="24"/>
                <w:lang w:val="en-US" w:eastAsia="zh-CN"/>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ind w:firstLine="240" w:firstLineChars="100"/>
              <w:jc w:val="both"/>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4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有线会议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话筒</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湖山</w:t>
            </w:r>
          </w:p>
          <w:p>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DS-108F(48V)</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1、抗RF射频干扰能力强，减少手机等信号影响；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2、音质清晰自然，灵敏度高，拾音距离佳，品质卓越；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3、咪杆与底座采用旋转式卡侬连接，避免连接器接触噪声；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4、适于各种会议室、演讲扩声之用。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换能方式：电容式；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频率响应：70Hz-12KHz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灵敏度：-29dB±3 dB（@1KHz，0 dB=1v/Pa）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指向性：心形单指向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最大声压级：≥ 114 dB (THD 1%@1KHz)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  两节五号（AA）电池或幻像48V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底座尺寸：145× 116×43mm，咪管长度：400mm</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6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  5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功率放大器</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湖山</w:t>
            </w:r>
          </w:p>
          <w:p>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XY2150D</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采用高效率的开关电源和数字功放技术，并集成了专业前级放大系统、音频信号处理系统、功放电路保护系统等，产品可靠稳定、体积小、重量轻、效率高、电压适应范围广，可广泛应用于多种扩声场所；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▲1、支持U盘播放（优先播放，格式MP3）和蓝牙播放，带LCD液晶显示屏，四路音源切换按键（带记忆功能），对线路1/线路2/线路3/（蓝牙/U盘）进行切换；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▲2、支持不少于2路有线话筒输入（6.35话筒口，+48V幻像电源可切换）、2路无线话筒输入（1路3.5三芯+1路USB，USB可用于2.4G无线话筒供电）、2组立体声线路输入（RCA*4莲花接口）；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▲3、支持不少于2组立体声线路输出（RCA*4莲花接口）；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▲4、支持不少于1路RS232控制接口、1路一键静音控制接口；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5、支持不少于1路线路平衡输入（凤凰接口）、1路线路平衡输出（凤凰接口）；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▲6、话筒、线路的音量可独立调节并具有高低音两段均衡，有线话筒输入通道带可独立开关的+48V幻像电源；话筒和线路音量、高/低音独立可调，带功放L输出通道信号大小调节功能；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▲7、额定功率(RMS)≥2×200W  8Ω,2×300W  4Ω；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8、总谐波失真：≤1%；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▲9、线路频率响应：20Hz～20KHz  ±3dB，话筒频率响应：80Hz～16KHz ±3dB；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10、输入灵敏度：300±30mV线路，60±6mV有线话筒，200±20mV无线话筒；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11、信噪比：≥82dB；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▲12、线路高音提衰量（10KHz）：14dB±2dB，线路低音提衰量（100Hz）：14dB±2dB，话筒高音提衰量（10KHz）：14dB±2dB，话筒低音提衰量（100Hz）14dB±2dB；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13、整机高度：1U；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14、最大功率消耗：950W；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15、额定电源电压：～220V/50Hz，电压适应范围：～180V-242V。</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ind w:firstLine="240" w:firstLineChars="100"/>
              <w:jc w:val="lef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6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壁挂音箱</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湖山</w:t>
            </w:r>
          </w:p>
          <w:p>
            <w:pPr>
              <w:pStyle w:val="2"/>
              <w:ind w:left="0"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MD120</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1、10英寸轻量化大功率、长冲程Ferrite低音驱动单元；顺性好，中低频饱满；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2、1英寸丝膜高音单元，加装压缩式号角，不仅使音色细腻，还有改善高音辐射特性；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3、90 °x 60 °覆盖角设计，具有均匀且平滑的轴向和偏轴向的响应；使声音的音场更为开阔、结像清晰，可以真实再现音乐现场的效果；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4、分频器具有高频保护电路；精确设计的分频器优化了频率响应，提升了中频人声表现力；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5、箱体采用12 mm优质中密度纤维板，强度高、密度大，可以有效的减少箱体谐振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6、箱体表面采用环保水性漆，防滑、耐磨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7、采用钢质防护网；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8、标配有简易安装支架，方便音箱多角度旋转；同时也可以选用三角支架支撑方式使用；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9、主要用于全音域扩声、语言扩声、中小型会议系统、小型报厅扩声系统；也可以用于小型歌舞厅、KTV包间、茶园、影视放映厅等场所；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10、额定/峰值功率：120W /480 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11、额定阻抗：8 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12、特性灵敏度：91dB/W/m；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13、输出声压级：112 dB/W/m (Continues)；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118 dB/W/m (Peak)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14、额定频率范围 :50 ~ 20000Hz；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15、覆盖角度HxV：90ºx60º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16、扬声器单元：LF :1*10 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HF :1* 1.英寸；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17、箱体材料：12mm中密度纤维板；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18、输入接口：压缩接线柱；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19、吊挂点：专用壁架；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20、支撑座：音箱底部Φ35mm支撑座；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21、箱体尺寸 (mm)：545 (H) ×342 (W)×295 (D)；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22、重量kg：11.0；</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4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7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八路智能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混音器</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湖山</w:t>
            </w:r>
          </w:p>
          <w:p>
            <w:pPr>
              <w:pStyle w:val="2"/>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DS-ZH801</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1、集线功能，具备8路话筒输入，另设一路辅助输入；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2、供电功能，提供48V幻像供电；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3、多种输出输入端子,前级输出,整机平衡输出；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4、强大的扩展功能，最多可并机15台，用120只话筒；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5、外部智能控制功能，可通过RS-232接口，与电脑、中控、手动控制器等连接；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6、任意主席功能，每通道均可设定为优先发言；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7、优先通道发言时，其他通道自动衰减，且衰减量可调；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8、声控功能，使用先进声控电路，声音闸门动作电平能自动调整，自动开启只有信号输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入的通道；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9、防啸叫功能，根据使用通道增多，自动调整输出电平,防止啸叫产生；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1、输出电平指示灯： 8级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2、优先通道设置开关：9位2档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3、耳机监听电平可调：有对应音量旋钮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4、耳机插孔：Φ6.35mm插孔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5、扩展连接与输出过载指示：Lock out指示灯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6、总输出电平调整：Master旋钮受控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7、辅助输入电平调整：AUX in旋钮受控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8、通道输入增益调节：8路MIC音量受控且对应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9、MIC输入信号指示：红灯，各路对应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10、电源输入：220V AC供电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11、MIC输入：8路卡农输入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12、前级、辅助输出：4路莲花插口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13、音频主输出：2路莲花，1路卡农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14、扩展输入：有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15、扩展输出：有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16、48V幻象供电开关：有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17、外部控制输出：External control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18、RS-232端子：有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19、Auxin辅助输入：1路莲花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20、高压测试： 开关关、闭状态下，1.5KV（10mA）   60S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21、绝缘测试：≥4M Ω</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液晶电视</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海信</w:t>
            </w:r>
            <w:r>
              <w:rPr>
                <w:rFonts w:hint="eastAsia" w:ascii="宋体" w:hAnsi="宋体" w:cs="宋体"/>
                <w:sz w:val="24"/>
                <w:szCs w:val="24"/>
                <w:lang w:val="en-US" w:eastAsia="zh-CN"/>
              </w:rPr>
              <w:t>Vidda R55</w:t>
            </w:r>
          </w:p>
        </w:tc>
        <w:tc>
          <w:tcPr>
            <w:tcW w:w="6253" w:type="dxa"/>
            <w:tcBorders>
              <w:top w:val="single" w:color="000000" w:sz="4" w:space="0"/>
              <w:left w:val="single" w:color="000000" w:sz="4" w:space="0"/>
              <w:bottom w:val="single" w:color="auto"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1、外观：全面屏。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2、屏幕：55英寸，尺寸 (宽*高*厚）：1240×718×81mm，毛重：17.3kg。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3、分辨率：4K（3840×2160），屏幕等级：A+，色域 (BT.709)：100%。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4、背光方式：DLED，面板类型：RGB。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5、功耗：二级能效，待机功率： ≤0.5W。</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1049"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9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液晶电视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移动挂架</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国产</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55寸可移动挂架</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2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10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席位显示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及主机</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主机：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宝德 PT620Q</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创维 29X1</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1、CPU：D2000 8核 2.3GHz主频、TDP 25W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2、内存：2*8GB/2666MT/DDR4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3、存储：1*512GB/M.2/NVME/SSD+1T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4、光驱：标配集成DVD-RW光驱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5、显卡：标配1*4G独显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6、电源：标配200W 、华为主板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7、接口：USB2.0*4+1个Type A华为40w快充口、USB3.0*4、PCIe3.0*3，支持VGA/HDMI接口等                              8、含键鼠套件、整机规格：387×102×338mm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9、安全特性：支持1个TPM/TCM安全加密模块连接插座，支持TPM/TCM模块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10、29寸21 :9显示器</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6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r>
      <w:tr>
        <w:tblPrEx>
          <w:tblLayout w:type="fixed"/>
          <w:tblCellMar>
            <w:top w:w="0" w:type="dxa"/>
            <w:left w:w="108" w:type="dxa"/>
            <w:bottom w:w="0" w:type="dxa"/>
            <w:right w:w="108" w:type="dxa"/>
          </w:tblCellMar>
        </w:tblPrEx>
        <w:trPr>
          <w:trHeight w:val="1601"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11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电子签名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板（指纹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采集）</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kern w:val="0"/>
                <w:sz w:val="24"/>
                <w:szCs w:val="24"/>
                <w:lang w:val="en-US" w:bidi="ar"/>
              </w:rPr>
            </w:pPr>
            <w:r>
              <w:rPr>
                <w:rFonts w:hint="eastAsia" w:ascii="宋体" w:hAnsi="宋体" w:eastAsia="宋体" w:cs="宋体"/>
                <w:i w:val="0"/>
                <w:iCs w:val="0"/>
                <w:color w:val="000000"/>
                <w:kern w:val="0"/>
                <w:sz w:val="24"/>
                <w:szCs w:val="24"/>
                <w:u w:val="none"/>
                <w:lang w:val="en-US" w:eastAsia="zh-CN" w:bidi="ar"/>
              </w:rPr>
              <w:t>益光 E10 Pro</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多功能签批终端，内置500w像素摄像头，10寸屏幕，7H钢化玻璃保护，无线无源电磁书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写笔，电容式按压指纹采集。</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647"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12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8路强电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控制器</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国产</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1、8路电源控制器，可远程控制8路强电输出。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2、通过高灵敏传感器获取各通道电流、电压、温度等数据，当短路、漏电等危险发生，能瞬时关闭故障电路通道。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3、单路最大输出电流10A,单路最大输出功率2000W,整机最大输出功率7500W，电压输入AC220V。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4、支持以太网RJ45接口，RS-485接口。</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13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打印机</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奔图 P3305DN</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1、设备接口：USB、RJ45；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2、打印功能：支持自动双面打印；支持网络打印；支持PC端打印状态监控；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3、打印准备时间6.59S、首页打印时间4.19S；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4、打印速度33ppm；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5、最大打印分辨率(dpi)1200*600dpi；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6、内存512MB；处理器盘数1；处理器主频800MHz；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7、标准进纸盒容量250页；标准出纸盒容量120页；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8、操作系统：支持国际通用系统，中科方德+兆芯、中标麒麟 +龙芯、银河麒麟+飞腾、银河麒麟+龙芯、银河麒麟+兆芯、银河麒麟+鲲鹏、中标麒麟+兆芯、UOS+龙芯、UOS+兆芯、UOS+ 鲲鹏、UOS+飞腾</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14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实物展台</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天宇威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视SkyvisHPA100</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1.清晰度：高于1200TV线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2.变焦：整机220倍放大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3.对焦/白平衡：自动/手动(对焦)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4.镜头输出像素：800万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5.输入输出：HDMI接口1进1出，VGA接口2进2出，RCA视频接口1进1出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6.输出分辨率：(SXGA  XGA  720P 1080P)自由切换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7.音频输入：3.5mm插口4组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8.音频输出：3.5mm插口1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9.麦克风输入：标准麦克风6.3mm插座</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15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千兆网络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交换机</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华三S26GF-U</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全千兆网管企业级交换机 24口千兆交换机</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r>
      <w:tr>
        <w:tblPrEx>
          <w:tblLayout w:type="fixed"/>
          <w:tblCellMar>
            <w:top w:w="0" w:type="dxa"/>
            <w:left w:w="108" w:type="dxa"/>
            <w:bottom w:w="0" w:type="dxa"/>
            <w:right w:w="108" w:type="dxa"/>
          </w:tblCellMar>
        </w:tblPrEx>
        <w:trPr>
          <w:trHeight w:val="90" w:hRule="atLeast"/>
        </w:trPr>
        <w:tc>
          <w:tcPr>
            <w:tcW w:w="664"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16 </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网络机柜</w:t>
            </w:r>
          </w:p>
        </w:tc>
        <w:tc>
          <w:tcPr>
            <w:tcW w:w="132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国产</w:t>
            </w:r>
          </w:p>
        </w:tc>
        <w:tc>
          <w:tcPr>
            <w:tcW w:w="625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规格高宽深1000*600*600，参数前门钢化玻璃门 ，前门旋把大锁，后门高密度网孔门，后门小锁，拆装式结构，整体黑色，内配风扇 电源 层板 各一件，两侧门可开</w:t>
            </w:r>
          </w:p>
        </w:tc>
        <w:tc>
          <w:tcPr>
            <w:tcW w:w="70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 xml:space="preserve">1 </w:t>
            </w:r>
          </w:p>
        </w:tc>
        <w:tc>
          <w:tcPr>
            <w:tcW w:w="71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r>
      <w:tr>
        <w:tblPrEx>
          <w:tblLayout w:type="fixed"/>
          <w:tblCellMar>
            <w:top w:w="0" w:type="dxa"/>
            <w:left w:w="108" w:type="dxa"/>
            <w:bottom w:w="0" w:type="dxa"/>
            <w:right w:w="108" w:type="dxa"/>
          </w:tblCellMar>
        </w:tblPrEx>
        <w:trPr>
          <w:trHeight w:val="1052" w:hRule="atLeast"/>
        </w:trPr>
        <w:tc>
          <w:tcPr>
            <w:tcW w:w="10900" w:type="dxa"/>
            <w:gridSpan w:val="7"/>
            <w:tcBorders>
              <w:top w:val="single" w:color="000000" w:sz="4" w:space="0"/>
              <w:left w:val="single" w:color="000000" w:sz="4" w:space="0"/>
              <w:bottom w:val="single" w:color="auto" w:sz="4" w:space="0"/>
              <w:right w:val="single" w:color="000000" w:sz="4" w:space="0"/>
            </w:tcBorders>
            <w:vAlign w:val="center"/>
          </w:tcPr>
          <w:p>
            <w:pPr>
              <w:spacing w:line="320" w:lineRule="exact"/>
              <w:ind w:left="361" w:hanging="360" w:hangingChars="150"/>
              <w:jc w:val="center"/>
              <w:rPr>
                <w:rFonts w:hint="eastAsia" w:ascii="宋体" w:hAnsi="宋体" w:cs="宋体"/>
                <w:b/>
                <w:bCs/>
                <w:sz w:val="24"/>
              </w:rPr>
            </w:pPr>
            <w:r>
              <w:rPr>
                <w:rFonts w:hint="eastAsia"/>
                <w:sz w:val="24"/>
              </w:rPr>
              <w:t>▲</w:t>
            </w:r>
            <w:r>
              <w:rPr>
                <w:rFonts w:hint="eastAsia"/>
                <w:sz w:val="24"/>
                <w:lang w:val="en-US" w:eastAsia="zh-CN"/>
              </w:rPr>
              <w:t xml:space="preserve">  </w:t>
            </w:r>
            <w:r>
              <w:rPr>
                <w:rFonts w:hint="eastAsia" w:ascii="宋体" w:hAnsi="宋体"/>
                <w:b/>
                <w:bCs/>
                <w:sz w:val="24"/>
                <w:lang w:val="en-US" w:eastAsia="zh-CN"/>
              </w:rPr>
              <w:t>带</w:t>
            </w:r>
            <w:bookmarkStart w:id="0" w:name="OLE_LINK2"/>
            <w:r>
              <w:rPr>
                <w:rFonts w:hint="eastAsia" w:ascii="宋体" w:hAnsi="宋体"/>
                <w:b/>
                <w:bCs/>
                <w:sz w:val="24"/>
              </w:rPr>
              <w:t>★</w:t>
            </w:r>
            <w:r>
              <w:rPr>
                <w:rFonts w:hint="eastAsia" w:ascii="宋体" w:hAnsi="宋体"/>
                <w:b/>
                <w:bCs/>
                <w:sz w:val="24"/>
                <w:lang w:val="en-US" w:eastAsia="zh-CN"/>
              </w:rPr>
              <w:t>产品为核心设备</w:t>
            </w:r>
            <w:bookmarkEnd w:id="0"/>
            <w:r>
              <w:rPr>
                <w:rFonts w:hint="eastAsia" w:ascii="宋体" w:hAnsi="宋体"/>
                <w:b/>
                <w:bCs/>
                <w:sz w:val="24"/>
                <w:lang w:val="en-US" w:eastAsia="zh-CN"/>
              </w:rPr>
              <w:t>，</w:t>
            </w:r>
            <w:r>
              <w:rPr>
                <w:rFonts w:hint="eastAsia" w:ascii="宋体" w:hAnsi="宋体"/>
                <w:b/>
                <w:bCs/>
                <w:sz w:val="24"/>
                <w:lang w:eastAsia="zh-CN"/>
              </w:rPr>
              <w:t>投标</w:t>
            </w:r>
            <w:r>
              <w:rPr>
                <w:rFonts w:hint="eastAsia" w:ascii="宋体" w:hAnsi="宋体"/>
                <w:b/>
                <w:bCs/>
                <w:sz w:val="24"/>
              </w:rPr>
              <w:t>时必须上传</w:t>
            </w:r>
            <w:r>
              <w:rPr>
                <w:rFonts w:hint="eastAsia" w:ascii="宋体" w:hAnsi="宋体"/>
                <w:b/>
                <w:bCs/>
                <w:sz w:val="24"/>
                <w:lang w:val="en-US" w:eastAsia="zh-CN"/>
              </w:rPr>
              <w:t>核心</w:t>
            </w:r>
            <w:r>
              <w:rPr>
                <w:rFonts w:hint="eastAsia" w:ascii="宋体" w:hAnsi="宋体"/>
                <w:b/>
                <w:bCs/>
                <w:sz w:val="24"/>
              </w:rPr>
              <w:t>设备原厂供货证明，原厂售后服务承诺书，以上文件加盖原厂公章，否则当无效竞价处理</w:t>
            </w:r>
            <w:r>
              <w:rPr>
                <w:rFonts w:hint="eastAsia"/>
                <w:sz w:val="24"/>
              </w:rPr>
              <w:t>。</w:t>
            </w:r>
          </w:p>
        </w:tc>
      </w:tr>
      <w:tr>
        <w:tblPrEx>
          <w:tblLayout w:type="fixed"/>
          <w:tblCellMar>
            <w:top w:w="0" w:type="dxa"/>
            <w:left w:w="108" w:type="dxa"/>
            <w:bottom w:w="0" w:type="dxa"/>
            <w:right w:w="108" w:type="dxa"/>
          </w:tblCellMar>
        </w:tblPrEx>
        <w:trPr>
          <w:trHeight w:val="1052" w:hRule="atLeast"/>
        </w:trPr>
        <w:tc>
          <w:tcPr>
            <w:tcW w:w="10900" w:type="dxa"/>
            <w:gridSpan w:val="7"/>
            <w:tcBorders>
              <w:top w:val="single" w:color="000000" w:sz="4" w:space="0"/>
              <w:left w:val="single" w:color="000000" w:sz="4" w:space="0"/>
              <w:bottom w:val="single" w:color="auto" w:sz="4" w:space="0"/>
              <w:right w:val="single" w:color="000000" w:sz="4" w:space="0"/>
            </w:tcBorders>
            <w:vAlign w:val="center"/>
          </w:tcPr>
          <w:p>
            <w:pPr>
              <w:spacing w:line="320" w:lineRule="exact"/>
              <w:ind w:left="361" w:hanging="361" w:hangingChars="150"/>
              <w:jc w:val="center"/>
              <w:rPr>
                <w:rFonts w:ascii="宋体" w:hAnsi="宋体" w:cs="宋体"/>
                <w:kern w:val="0"/>
                <w:sz w:val="24"/>
              </w:rPr>
            </w:pPr>
            <w:r>
              <w:rPr>
                <w:rFonts w:hint="eastAsia" w:ascii="宋体" w:hAnsi="宋体" w:cs="宋体"/>
                <w:b/>
                <w:bCs/>
                <w:sz w:val="24"/>
              </w:rPr>
              <w:t>▲商务条款</w:t>
            </w:r>
          </w:p>
        </w:tc>
      </w:tr>
      <w:tr>
        <w:tblPrEx>
          <w:tblLayout w:type="fixed"/>
          <w:tblCellMar>
            <w:top w:w="0" w:type="dxa"/>
            <w:left w:w="108" w:type="dxa"/>
            <w:bottom w:w="0" w:type="dxa"/>
            <w:right w:w="108" w:type="dxa"/>
          </w:tblCellMar>
        </w:tblPrEx>
        <w:trPr>
          <w:trHeight w:val="4740"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1</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shd w:val="clear" w:color="auto" w:fill="FFFFFF"/>
              </w:rPr>
            </w:pPr>
            <w:r>
              <w:rPr>
                <w:rFonts w:hint="eastAsia" w:ascii="宋体" w:hAnsi="宋体" w:cs="宋体"/>
                <w:sz w:val="24"/>
              </w:rPr>
              <w:t>质保期</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ind w:firstLine="480" w:firstLineChars="200"/>
              <w:rPr>
                <w:rFonts w:ascii="宋体" w:hAnsi="宋体"/>
                <w:sz w:val="24"/>
              </w:rPr>
            </w:pPr>
            <w:r>
              <w:rPr>
                <w:rFonts w:hint="eastAsia" w:ascii="宋体" w:hAnsi="宋体" w:cs="宋体"/>
                <w:kern w:val="0"/>
                <w:sz w:val="24"/>
                <w:lang w:eastAsia="zh-CN" w:bidi="ar"/>
              </w:rPr>
              <w:t>投标人</w:t>
            </w:r>
            <w:r>
              <w:rPr>
                <w:rFonts w:hint="eastAsia" w:ascii="宋体" w:hAnsi="宋体" w:cs="宋体"/>
                <w:kern w:val="0"/>
                <w:sz w:val="24"/>
                <w:lang w:bidi="ar"/>
              </w:rPr>
              <w:t>对设备系统提供</w:t>
            </w:r>
            <w:r>
              <w:rPr>
                <w:rFonts w:hint="eastAsia" w:ascii="宋体" w:hAnsi="宋体" w:cs="宋体"/>
                <w:kern w:val="0"/>
                <w:sz w:val="24"/>
                <w:lang w:val="en-US" w:eastAsia="zh-CN" w:bidi="ar"/>
              </w:rPr>
              <w:t>3</w:t>
            </w:r>
            <w:r>
              <w:rPr>
                <w:rFonts w:hint="eastAsia" w:ascii="宋体" w:hAnsi="宋体" w:cs="宋体"/>
                <w:kern w:val="0"/>
                <w:sz w:val="24"/>
                <w:lang w:bidi="ar"/>
              </w:rPr>
              <w:t>年整体免费保修服务</w:t>
            </w:r>
            <w:r>
              <w:rPr>
                <w:rFonts w:hint="eastAsia" w:ascii="宋体" w:hAnsi="宋体"/>
                <w:sz w:val="24"/>
              </w:rPr>
              <w:t>，</w:t>
            </w:r>
            <w:r>
              <w:rPr>
                <w:rFonts w:hint="eastAsia" w:ascii="宋体" w:hAnsi="宋体"/>
                <w:b/>
                <w:bCs/>
                <w:sz w:val="24"/>
              </w:rPr>
              <w:t>供货时需要提供</w:t>
            </w:r>
            <w:r>
              <w:rPr>
                <w:rFonts w:hint="eastAsia" w:ascii="宋体" w:hAnsi="宋体"/>
                <w:b/>
                <w:bCs/>
                <w:sz w:val="24"/>
                <w:lang w:val="en-US" w:eastAsia="zh-CN"/>
              </w:rPr>
              <w:t>核心</w:t>
            </w:r>
            <w:r>
              <w:rPr>
                <w:rFonts w:hint="eastAsia" w:ascii="宋体" w:hAnsi="宋体"/>
                <w:b/>
                <w:bCs/>
                <w:sz w:val="24"/>
              </w:rPr>
              <w:t>设备原厂供货证明，原厂售后服务承诺书</w:t>
            </w:r>
            <w:r>
              <w:rPr>
                <w:rFonts w:hint="eastAsia" w:ascii="宋体" w:hAnsi="宋体"/>
                <w:b/>
                <w:bCs/>
                <w:sz w:val="24"/>
                <w:lang w:eastAsia="zh-CN"/>
              </w:rPr>
              <w:t>，</w:t>
            </w:r>
            <w:r>
              <w:rPr>
                <w:rFonts w:hint="eastAsia" w:ascii="宋体" w:hAnsi="宋体"/>
                <w:b/>
                <w:bCs/>
                <w:sz w:val="24"/>
              </w:rPr>
              <w:t>原厂工程师上门安装调试。</w:t>
            </w:r>
          </w:p>
          <w:p>
            <w:pPr>
              <w:widowControl/>
              <w:snapToGrid w:val="0"/>
              <w:spacing w:line="420" w:lineRule="exact"/>
              <w:ind w:firstLine="420" w:firstLineChars="175"/>
              <w:jc w:val="left"/>
              <w:rPr>
                <w:rFonts w:ascii="宋体" w:hAnsi="宋体" w:cs="宋体"/>
                <w:kern w:val="0"/>
                <w:sz w:val="24"/>
                <w:lang w:bidi="ar"/>
              </w:rPr>
            </w:pPr>
            <w:r>
              <w:rPr>
                <w:rFonts w:hint="eastAsia" w:ascii="宋体" w:hAnsi="宋体" w:cs="宋体"/>
                <w:kern w:val="0"/>
                <w:sz w:val="24"/>
                <w:lang w:bidi="ar"/>
              </w:rPr>
              <w:t>保质期内，设备发生一般故障时，中标供应商应负责免费修理、更换零配件：如设备发生大故障（指主要部件出现质量问题）时，中标供应商应负责提供备用设备系统。设备系统维修或更换后其保质期相应顺延。所有非故意性损坏以及在要求质量标准范围内的正常使用造成的损坏均要免费维修。对因采购方人员的不正当使用所造成的设备损坏不归中标供应商负责保修，但中标供应商也要积极帮助采购方修理设备，并保证提供优惠价格的配件和服务。货物验收合格后，质保期内免费服务（含部件、人力、上门等），保修期自双方代表在设备安装调试后的验收证明文件上签字之日起计算，质保期满后，中标供应商仍应提供维修服务，按维修件成本收费。</w:t>
            </w:r>
          </w:p>
        </w:tc>
      </w:tr>
      <w:tr>
        <w:tblPrEx>
          <w:tblLayout w:type="fixed"/>
          <w:tblCellMar>
            <w:top w:w="0" w:type="dxa"/>
            <w:left w:w="108" w:type="dxa"/>
            <w:bottom w:w="0" w:type="dxa"/>
            <w:right w:w="108" w:type="dxa"/>
          </w:tblCellMar>
        </w:tblPrEx>
        <w:trPr>
          <w:trHeight w:val="3878"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2</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基本要求</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numPr>
                <w:numId w:val="0"/>
              </w:numPr>
              <w:snapToGrid w:val="0"/>
              <w:spacing w:line="420" w:lineRule="exact"/>
              <w:ind w:firstLine="480" w:firstLineChars="200"/>
              <w:rPr>
                <w:rFonts w:hint="eastAsia" w:ascii="宋体" w:hAnsi="宋体" w:cs="宋体"/>
                <w:kern w:val="0"/>
                <w:sz w:val="24"/>
                <w:lang w:bidi="ar"/>
              </w:rPr>
            </w:pPr>
            <w:r>
              <w:rPr>
                <w:rFonts w:hint="eastAsia" w:ascii="宋体" w:hAnsi="宋体" w:cs="宋体"/>
                <w:kern w:val="0"/>
                <w:sz w:val="24"/>
                <w:lang w:val="en-US" w:eastAsia="zh-CN" w:bidi="ar"/>
              </w:rPr>
              <w:t>1.</w:t>
            </w:r>
            <w:r>
              <w:rPr>
                <w:rFonts w:hint="eastAsia" w:ascii="宋体" w:hAnsi="宋体" w:cs="宋体"/>
                <w:kern w:val="0"/>
                <w:sz w:val="24"/>
                <w:lang w:eastAsia="zh-CN" w:bidi="ar"/>
              </w:rPr>
              <w:t>投标</w:t>
            </w:r>
            <w:r>
              <w:rPr>
                <w:rFonts w:hint="eastAsia" w:ascii="宋体" w:hAnsi="宋体" w:cs="宋体"/>
                <w:kern w:val="0"/>
                <w:sz w:val="24"/>
                <w:lang w:bidi="ar"/>
              </w:rPr>
              <w:t>产品必须是按厂家出厂标准配置提供的整套具备全新正规合法经销渠道的符合国家各项有关质量标准的合格产品，相关部件及服务须满足本表中各项要求。若产品在运输过程中损坏或擦伤须无偿调换同样产品；</w:t>
            </w:r>
          </w:p>
          <w:p>
            <w:pPr>
              <w:snapToGrid w:val="0"/>
              <w:spacing w:line="420" w:lineRule="exact"/>
              <w:ind w:firstLine="420" w:firstLineChars="175"/>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2.</w:t>
            </w:r>
            <w:r>
              <w:rPr>
                <w:rFonts w:hint="default" w:ascii="宋体" w:hAnsi="宋体" w:eastAsia="宋体" w:cs="宋体"/>
                <w:kern w:val="0"/>
                <w:sz w:val="24"/>
                <w:lang w:val="en-US" w:eastAsia="zh-CN" w:bidi="ar"/>
              </w:rPr>
              <w:t>考虑到设备使用兼容性的问题，根据用户对系统的实际使用需求，供应商应在竟标前做好关于本项目的调研工作。并在竟标时提供可以实现该对接功能的互联互通承诺函(格式自拟)，并加盖供应商公章</w:t>
            </w:r>
            <w:r>
              <w:rPr>
                <w:rFonts w:hint="eastAsia" w:ascii="宋体" w:hAnsi="宋体" w:eastAsia="宋体" w:cs="宋体"/>
                <w:kern w:val="0"/>
                <w:sz w:val="24"/>
                <w:lang w:val="en-US" w:eastAsia="zh-CN" w:bidi="ar"/>
              </w:rPr>
              <w:t>；</w:t>
            </w:r>
          </w:p>
          <w:p>
            <w:pPr>
              <w:snapToGrid w:val="0"/>
              <w:spacing w:line="420" w:lineRule="exact"/>
              <w:ind w:firstLine="422" w:firstLineChars="175"/>
              <w:rPr>
                <w:rFonts w:ascii="宋体" w:hAnsi="宋体" w:cs="宋体"/>
                <w:kern w:val="0"/>
                <w:sz w:val="24"/>
                <w:lang w:bidi="ar"/>
              </w:rPr>
            </w:pPr>
            <w:r>
              <w:rPr>
                <w:rFonts w:hint="eastAsia" w:ascii="宋体" w:hAnsi="宋体" w:cs="宋体"/>
                <w:b/>
                <w:bCs/>
                <w:kern w:val="0"/>
                <w:sz w:val="24"/>
                <w:lang w:val="en-US" w:eastAsia="zh-CN" w:bidi="ar"/>
              </w:rPr>
              <w:t>3.</w:t>
            </w:r>
            <w:r>
              <w:rPr>
                <w:rFonts w:hint="eastAsia" w:ascii="宋体" w:hAnsi="宋体" w:cs="宋体"/>
                <w:b/>
                <w:bCs/>
                <w:kern w:val="0"/>
                <w:sz w:val="24"/>
                <w:lang w:bidi="ar"/>
              </w:rPr>
              <w:t>▲</w:t>
            </w:r>
            <w:r>
              <w:rPr>
                <w:rFonts w:hint="eastAsia" w:ascii="宋体" w:hAnsi="宋体" w:cs="宋体"/>
                <w:b/>
                <w:bCs/>
                <w:kern w:val="0"/>
                <w:sz w:val="24"/>
                <w:lang w:eastAsia="zh-CN" w:bidi="ar"/>
              </w:rPr>
              <w:t>投标人</w:t>
            </w:r>
            <w:r>
              <w:rPr>
                <w:rFonts w:hint="eastAsia" w:ascii="宋体" w:hAnsi="宋体" w:cs="宋体"/>
                <w:b/>
                <w:bCs/>
                <w:kern w:val="0"/>
                <w:sz w:val="24"/>
                <w:lang w:bidi="ar"/>
              </w:rPr>
              <w:t>必须按照指定品牌型号报价，否则报价无效，实质性响应需满足产品带▲参数要求，对</w:t>
            </w:r>
            <w:bookmarkStart w:id="4" w:name="_GoBack"/>
            <w:bookmarkEnd w:id="4"/>
            <w:r>
              <w:rPr>
                <w:rFonts w:hint="eastAsia" w:ascii="宋体" w:hAnsi="宋体" w:cs="宋体"/>
                <w:b/>
                <w:bCs/>
                <w:kern w:val="0"/>
                <w:sz w:val="24"/>
                <w:lang w:bidi="ar"/>
              </w:rPr>
              <w:t>不能满足参数要求虚假响应，或者无法正常交货影响业主使用的，采购人可作为废标处理，并按规定对竞价供应商进行政府采购违规通报处理，给予以相应处罚。</w:t>
            </w:r>
          </w:p>
        </w:tc>
      </w:tr>
      <w:tr>
        <w:tblPrEx>
          <w:tblLayout w:type="fixed"/>
          <w:tblCellMar>
            <w:top w:w="0" w:type="dxa"/>
            <w:left w:w="108" w:type="dxa"/>
            <w:bottom w:w="0" w:type="dxa"/>
            <w:right w:w="108" w:type="dxa"/>
          </w:tblCellMar>
        </w:tblPrEx>
        <w:trPr>
          <w:trHeight w:val="783"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3</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交货时间及地点</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pStyle w:val="17"/>
              <w:widowControl/>
              <w:snapToGrid w:val="0"/>
              <w:spacing w:line="420" w:lineRule="exact"/>
              <w:ind w:firstLine="420" w:firstLineChars="175"/>
              <w:rPr>
                <w:rFonts w:hAnsi="宋体" w:cs="宋体"/>
                <w:sz w:val="24"/>
                <w:szCs w:val="24"/>
              </w:rPr>
            </w:pPr>
            <w:r>
              <w:rPr>
                <w:rFonts w:hint="eastAsia" w:hAnsi="宋体" w:cs="宋体"/>
                <w:sz w:val="24"/>
                <w:szCs w:val="24"/>
              </w:rPr>
              <w:t>1.交货时间：自签订合同之日起7日内。</w:t>
            </w:r>
          </w:p>
          <w:p>
            <w:pPr>
              <w:snapToGrid w:val="0"/>
              <w:spacing w:line="420" w:lineRule="exact"/>
              <w:ind w:firstLine="420" w:firstLineChars="175"/>
              <w:rPr>
                <w:rFonts w:ascii="宋体" w:hAnsi="宋体" w:cs="宋体"/>
                <w:kern w:val="0"/>
                <w:sz w:val="24"/>
                <w:lang w:bidi="ar"/>
              </w:rPr>
            </w:pPr>
            <w:r>
              <w:rPr>
                <w:rFonts w:hint="eastAsia" w:hAnsi="宋体" w:cs="宋体"/>
                <w:sz w:val="24"/>
              </w:rPr>
              <w:t>2.交货地点：广西</w:t>
            </w:r>
            <w:r>
              <w:rPr>
                <w:rFonts w:hint="eastAsia" w:hAnsi="宋体" w:cs="宋体"/>
                <w:sz w:val="24"/>
                <w:lang w:eastAsia="zh-CN"/>
              </w:rPr>
              <w:t>罗城</w:t>
            </w:r>
            <w:r>
              <w:rPr>
                <w:rFonts w:hint="eastAsia" w:hAnsi="宋体" w:cs="宋体"/>
                <w:sz w:val="24"/>
                <w:lang w:val="en-US" w:eastAsia="zh-CN"/>
              </w:rPr>
              <w:t>仫佬族自治</w:t>
            </w:r>
            <w:r>
              <w:rPr>
                <w:rFonts w:hint="eastAsia" w:hAnsi="宋体" w:cs="宋体"/>
                <w:sz w:val="24"/>
              </w:rPr>
              <w:t>县内（采购人指定地点）。</w:t>
            </w:r>
          </w:p>
        </w:tc>
      </w:tr>
      <w:tr>
        <w:tblPrEx>
          <w:tblLayout w:type="fixed"/>
          <w:tblCellMar>
            <w:top w:w="0" w:type="dxa"/>
            <w:left w:w="108" w:type="dxa"/>
            <w:bottom w:w="0" w:type="dxa"/>
            <w:right w:w="108" w:type="dxa"/>
          </w:tblCellMar>
        </w:tblPrEx>
        <w:trPr>
          <w:trHeight w:val="1557"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4</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交货方式</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pStyle w:val="4"/>
              <w:snapToGrid w:val="0"/>
              <w:spacing w:line="420" w:lineRule="exact"/>
              <w:ind w:firstLine="406" w:firstLineChars="175"/>
              <w:rPr>
                <w:rFonts w:hAnsi="宋体" w:cs="宋体"/>
                <w:kern w:val="2"/>
                <w:sz w:val="24"/>
                <w:szCs w:val="24"/>
              </w:rPr>
            </w:pPr>
            <w:r>
              <w:rPr>
                <w:rFonts w:hint="eastAsia" w:hAnsi="宋体" w:cs="宋体"/>
                <w:kern w:val="2"/>
                <w:sz w:val="24"/>
                <w:szCs w:val="24"/>
              </w:rPr>
              <w:t>1.现场交货，不接受快递或物流；</w:t>
            </w:r>
          </w:p>
          <w:p>
            <w:pPr>
              <w:snapToGrid w:val="0"/>
              <w:spacing w:line="420" w:lineRule="exact"/>
              <w:ind w:firstLine="420" w:firstLineChars="175"/>
              <w:rPr>
                <w:rFonts w:ascii="宋体" w:hAnsi="宋体" w:cs="宋体"/>
                <w:kern w:val="0"/>
                <w:sz w:val="24"/>
                <w:lang w:bidi="ar"/>
              </w:rPr>
            </w:pPr>
            <w:r>
              <w:rPr>
                <w:rFonts w:hint="eastAsia" w:ascii="宋体" w:hAnsi="宋体" w:cs="宋体"/>
                <w:sz w:val="24"/>
              </w:rPr>
              <w:t>2.本次采购货物必须是成交人送货上门，不接受物流快递发货电话指导安装,根据客户需求为本项目提供</w:t>
            </w:r>
            <w:r>
              <w:rPr>
                <w:rFonts w:hint="eastAsia" w:ascii="宋体" w:hAnsi="宋体" w:cs="宋体"/>
                <w:sz w:val="24"/>
                <w:lang w:eastAsia="zh-CN"/>
              </w:rPr>
              <w:t>免费</w:t>
            </w:r>
            <w:r>
              <w:rPr>
                <w:rFonts w:hint="eastAsia" w:ascii="宋体" w:hAnsi="宋体" w:cs="宋体"/>
                <w:sz w:val="24"/>
              </w:rPr>
              <w:t>安装、调试等系统实施与集成服务；包含软硬件安装调试，并提供设备使用培训。</w:t>
            </w:r>
          </w:p>
        </w:tc>
      </w:tr>
      <w:tr>
        <w:tblPrEx>
          <w:tblLayout w:type="fixed"/>
          <w:tblCellMar>
            <w:top w:w="0" w:type="dxa"/>
            <w:left w:w="108" w:type="dxa"/>
            <w:bottom w:w="0" w:type="dxa"/>
            <w:right w:w="108" w:type="dxa"/>
          </w:tblCellMar>
        </w:tblPrEx>
        <w:trPr>
          <w:trHeight w:val="783"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5</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付款方式</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pStyle w:val="4"/>
              <w:snapToGrid w:val="0"/>
              <w:spacing w:line="420" w:lineRule="exact"/>
              <w:ind w:firstLine="406" w:firstLineChars="175"/>
              <w:rPr>
                <w:rFonts w:hAnsi="宋体" w:cs="宋体"/>
                <w:kern w:val="2"/>
                <w:sz w:val="24"/>
                <w:szCs w:val="24"/>
              </w:rPr>
            </w:pPr>
            <w:bookmarkStart w:id="1" w:name="OLE_LINK1"/>
            <w:r>
              <w:rPr>
                <w:rFonts w:hint="eastAsia" w:hAnsi="宋体" w:cs="宋体"/>
                <w:kern w:val="2"/>
                <w:sz w:val="24"/>
                <w:szCs w:val="24"/>
              </w:rPr>
              <w:t>全部部货物交货完毕，验收合格之日起三十个工作日内支付合同金额 100%</w:t>
            </w:r>
            <w:bookmarkEnd w:id="1"/>
          </w:p>
        </w:tc>
      </w:tr>
      <w:tr>
        <w:tblPrEx>
          <w:tblLayout w:type="fixed"/>
          <w:tblCellMar>
            <w:top w:w="0" w:type="dxa"/>
            <w:left w:w="108" w:type="dxa"/>
            <w:bottom w:w="0" w:type="dxa"/>
            <w:right w:w="108" w:type="dxa"/>
          </w:tblCellMar>
        </w:tblPrEx>
        <w:trPr>
          <w:trHeight w:val="4730" w:hRule="atLeast"/>
        </w:trPr>
        <w:tc>
          <w:tcPr>
            <w:tcW w:w="11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6</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验收条件及标准</w:t>
            </w:r>
          </w:p>
        </w:tc>
        <w:tc>
          <w:tcPr>
            <w:tcW w:w="7675" w:type="dxa"/>
            <w:gridSpan w:val="3"/>
            <w:tcBorders>
              <w:top w:val="single" w:color="000000" w:sz="4" w:space="0"/>
              <w:left w:val="single" w:color="000000" w:sz="4" w:space="0"/>
              <w:bottom w:val="single" w:color="000000" w:sz="4" w:space="0"/>
              <w:right w:val="single" w:color="000000" w:sz="4" w:space="0"/>
            </w:tcBorders>
            <w:vAlign w:val="center"/>
          </w:tcPr>
          <w:p>
            <w:pPr>
              <w:tabs>
                <w:tab w:val="left" w:pos="0"/>
                <w:tab w:val="left" w:pos="1620"/>
              </w:tabs>
              <w:snapToGrid w:val="0"/>
              <w:spacing w:line="420" w:lineRule="exact"/>
              <w:ind w:firstLine="420" w:firstLineChars="175"/>
              <w:jc w:val="left"/>
              <w:rPr>
                <w:rFonts w:ascii="宋体" w:hAnsi="宋体" w:cs="宋体"/>
                <w:sz w:val="24"/>
              </w:rPr>
            </w:pPr>
            <w:r>
              <w:rPr>
                <w:rFonts w:hint="eastAsia" w:ascii="宋体" w:hAnsi="宋体" w:cs="宋体"/>
                <w:sz w:val="24"/>
              </w:rPr>
              <w:t>1.交付验收时，采购人根据《广西壮族自治区政府采购项目履约验收管理办法》及国家有关强制性标准的规定，由采购人及中标供应商等共同进行验收，采购人可委托采购代理机构、国家认可的质量检测机构开展采购项目履约验收工作；</w:t>
            </w:r>
          </w:p>
          <w:p>
            <w:pPr>
              <w:widowControl/>
              <w:snapToGrid w:val="0"/>
              <w:spacing w:line="420" w:lineRule="exact"/>
              <w:ind w:firstLine="420" w:firstLineChars="175"/>
              <w:jc w:val="left"/>
              <w:rPr>
                <w:rFonts w:hAnsi="宋体" w:cs="宋体"/>
                <w:kern w:val="2"/>
                <w:sz w:val="24"/>
                <w:szCs w:val="24"/>
              </w:rPr>
            </w:pPr>
            <w:r>
              <w:rPr>
                <w:rFonts w:hint="eastAsia" w:ascii="宋体" w:hAnsi="宋体" w:cs="宋体"/>
                <w:sz w:val="24"/>
                <w:lang w:val="en-US" w:eastAsia="zh-CN"/>
              </w:rPr>
              <w:t>2</w:t>
            </w:r>
            <w:r>
              <w:rPr>
                <w:rFonts w:hint="eastAsia" w:ascii="宋体" w:hAnsi="宋体" w:cs="宋体"/>
                <w:sz w:val="24"/>
              </w:rPr>
              <w:t>.验收合格的，由采购人</w:t>
            </w:r>
            <w:r>
              <w:rPr>
                <w:rFonts w:hint="eastAsia" w:ascii="宋体" w:hAnsi="宋体" w:cs="宋体"/>
                <w:sz w:val="24"/>
                <w:lang w:val="en-US" w:eastAsia="zh-CN"/>
              </w:rPr>
              <w:t>出具书面验收单并签字</w:t>
            </w:r>
            <w:r>
              <w:rPr>
                <w:rFonts w:hint="eastAsia" w:ascii="宋体" w:hAnsi="宋体" w:cs="宋体"/>
                <w:sz w:val="24"/>
              </w:rPr>
              <w:t>，视为验收通过，对不符合要求的，采购人有权拒绝验收，由此产生的一切后果，均由</w:t>
            </w:r>
            <w:r>
              <w:rPr>
                <w:rFonts w:hint="eastAsia" w:ascii="宋体" w:hAnsi="宋体" w:cs="宋体"/>
                <w:bCs/>
                <w:sz w:val="24"/>
              </w:rPr>
              <w:t>成交人</w:t>
            </w:r>
            <w:r>
              <w:rPr>
                <w:rFonts w:hint="eastAsia" w:ascii="宋体" w:hAnsi="宋体" w:cs="宋体"/>
                <w:sz w:val="24"/>
              </w:rPr>
              <w:t>承担。由此造成的不能按时、按质、按量完成项目要求的，将按照政府采购相关法规、合同相关条款进行处理。</w:t>
            </w:r>
          </w:p>
        </w:tc>
      </w:tr>
      <w:tr>
        <w:tblPrEx>
          <w:tblLayout w:type="fixed"/>
          <w:tblCellMar>
            <w:top w:w="0" w:type="dxa"/>
            <w:left w:w="108" w:type="dxa"/>
            <w:bottom w:w="0" w:type="dxa"/>
            <w:right w:w="108" w:type="dxa"/>
          </w:tblCellMar>
        </w:tblPrEx>
        <w:trPr>
          <w:trHeight w:val="2204"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cs="宋体"/>
                <w:sz w:val="24"/>
              </w:rPr>
            </w:pPr>
            <w:r>
              <w:rPr>
                <w:rFonts w:hint="eastAsia" w:ascii="宋体" w:hAnsi="宋体" w:cs="宋体"/>
                <w:sz w:val="24"/>
              </w:rPr>
              <w:t>7</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cs="宋体"/>
                <w:sz w:val="24"/>
              </w:rPr>
            </w:pPr>
            <w:r>
              <w:rPr>
                <w:rFonts w:hint="eastAsia" w:ascii="宋体" w:hAnsi="宋体" w:cs="宋体"/>
                <w:sz w:val="24"/>
              </w:rPr>
              <w:t>其他要求</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spacing w:line="360" w:lineRule="auto"/>
              <w:rPr>
                <w:rFonts w:hint="eastAsia" w:ascii="宋体" w:hAnsi="宋体"/>
                <w:sz w:val="24"/>
              </w:rPr>
            </w:pPr>
            <w:r>
              <w:rPr>
                <w:rFonts w:hint="eastAsia" w:ascii="宋体" w:hAnsi="宋体"/>
                <w:sz w:val="24"/>
              </w:rPr>
              <w:t>响应附件必须上传，作为合同组成部分。供应商自行起草响应函，响应函内容包含:报价表、参数及商务条款偏离表，承诺满足招标信息内容进行报价。无法满足条件视为恶意竞价。</w:t>
            </w:r>
          </w:p>
        </w:tc>
      </w:tr>
    </w:tbl>
    <w:p/>
    <w:p/>
    <w:p/>
    <w:p/>
    <w:p/>
    <w:p/>
    <w:p>
      <w:pPr>
        <w:pStyle w:val="2"/>
      </w:pPr>
    </w:p>
    <w:p/>
    <w:p/>
    <w:p/>
    <w:p>
      <w:pPr>
        <w:pStyle w:val="2"/>
      </w:pPr>
    </w:p>
    <w:p/>
    <w:p>
      <w:pPr>
        <w:pStyle w:val="2"/>
      </w:pPr>
    </w:p>
    <w:p/>
    <w:p>
      <w:pPr>
        <w:pStyle w:val="2"/>
      </w:pPr>
    </w:p>
    <w:p>
      <w:pPr>
        <w:pStyle w:val="2"/>
      </w:pPr>
    </w:p>
    <w:p/>
    <w:p>
      <w:pPr>
        <w:pStyle w:val="2"/>
      </w:pPr>
    </w:p>
    <w:p/>
    <w:p/>
    <w:p>
      <w:pPr>
        <w:pStyle w:val="2"/>
        <w:ind w:left="0" w:leftChars="0" w:firstLine="0" w:firstLineChars="0"/>
        <w:rPr>
          <w:rFonts w:hint="eastAsia"/>
        </w:rPr>
      </w:pPr>
    </w:p>
    <w:p>
      <w:pPr>
        <w:snapToGrid w:val="0"/>
        <w:spacing w:before="295" w:after="295"/>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附件1：报价表</w:t>
      </w:r>
    </w:p>
    <w:p>
      <w:pPr>
        <w:spacing w:before="156" w:beforeLines="50" w:after="312" w:afterLines="100"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报价表</w:t>
      </w:r>
    </w:p>
    <w:p>
      <w:pPr>
        <w:spacing w:line="500" w:lineRule="exact"/>
        <w:rPr>
          <w:rFonts w:ascii="仿宋_GB2312" w:hAnsi="仿宋_GB2312" w:eastAsia="仿宋_GB2312" w:cs="仿宋_GB2312"/>
          <w:sz w:val="24"/>
          <w:u w:val="single"/>
        </w:rPr>
      </w:pPr>
      <w:r>
        <w:rPr>
          <w:rFonts w:hint="eastAsia" w:ascii="仿宋_GB2312" w:hAnsi="仿宋_GB2312" w:eastAsia="仿宋_GB2312" w:cs="仿宋_GB2312"/>
          <w:sz w:val="24"/>
        </w:rPr>
        <w:t>采购项目名称：</w:t>
      </w:r>
      <w:r>
        <w:rPr>
          <w:rFonts w:hint="eastAsia" w:ascii="仿宋_GB2312" w:hAnsi="仿宋_GB2312" w:eastAsia="仿宋_GB2312" w:cs="仿宋_GB2312"/>
          <w:sz w:val="24"/>
          <w:u w:val="single"/>
        </w:rPr>
        <w:t xml:space="preserve">                 </w:t>
      </w:r>
    </w:p>
    <w:tbl>
      <w:tblPr>
        <w:tblStyle w:val="24"/>
        <w:tblW w:w="909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873"/>
        <w:gridCol w:w="863"/>
        <w:gridCol w:w="775"/>
        <w:gridCol w:w="1557"/>
        <w:gridCol w:w="1551"/>
        <w:gridCol w:w="1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87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 xml:space="preserve"> 名称</w:t>
            </w:r>
          </w:p>
        </w:tc>
        <w:tc>
          <w:tcPr>
            <w:tcW w:w="86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品牌型号</w:t>
            </w:r>
          </w:p>
        </w:tc>
        <w:tc>
          <w:tcPr>
            <w:tcW w:w="775"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数量①</w:t>
            </w:r>
          </w:p>
        </w:tc>
        <w:tc>
          <w:tcPr>
            <w:tcW w:w="155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单价（元）②</w:t>
            </w:r>
            <w:r>
              <w:rPr>
                <w:rFonts w:hint="eastAsia" w:ascii="仿宋_GB2312" w:hAnsi="仿宋_GB2312" w:eastAsia="仿宋_GB2312" w:cs="仿宋_GB2312"/>
                <w:b/>
                <w:sz w:val="24"/>
              </w:rPr>
              <w:tab/>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单项合计（元）③=①×②</w:t>
            </w: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Cs/>
                <w:sz w:val="24"/>
              </w:rPr>
              <w:t>1</w:t>
            </w:r>
          </w:p>
        </w:tc>
        <w:tc>
          <w:tcPr>
            <w:tcW w:w="187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p>
        </w:tc>
        <w:tc>
          <w:tcPr>
            <w:tcW w:w="86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p>
        </w:tc>
        <w:tc>
          <w:tcPr>
            <w:tcW w:w="1551"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报价合计（包含税费等所有费用）：（大写）</w:t>
            </w:r>
            <w:r>
              <w:rPr>
                <w:rFonts w:hint="eastAsia" w:ascii="仿宋_GB2312" w:hAnsi="仿宋_GB2312" w:eastAsia="仿宋_GB2312" w:cs="仿宋_GB2312"/>
                <w:spacing w:val="20"/>
                <w:sz w:val="24"/>
              </w:rPr>
              <w:t>人民币</w:t>
            </w:r>
            <w:r>
              <w:rPr>
                <w:rFonts w:hint="eastAsia" w:ascii="仿宋_GB2312" w:hAnsi="仿宋_GB2312" w:eastAsia="仿宋_GB2312" w:cs="仿宋_GB2312"/>
                <w:sz w:val="24"/>
              </w:rPr>
              <w:t xml:space="preserve">                   </w:t>
            </w:r>
            <w:r>
              <w:rPr>
                <w:rFonts w:hint="eastAsia" w:ascii="仿宋_GB2312" w:hAnsi="仿宋_GB2312" w:eastAsia="仿宋_GB2312" w:cs="仿宋_GB2312"/>
                <w:spacing w:val="2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供货期：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公司（盖单位公章）：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法定代表人或其委托代理人（签字或盖章）</w:t>
            </w:r>
          </w:p>
        </w:tc>
      </w:tr>
    </w:tbl>
    <w:p>
      <w:pPr>
        <w:pStyle w:val="17"/>
        <w:spacing w:line="500" w:lineRule="exact"/>
        <w:rPr>
          <w:rFonts w:ascii="仿宋_GB2312" w:hAnsi="仿宋_GB2312" w:eastAsia="仿宋_GB2312" w:cs="仿宋_GB2312"/>
          <w:sz w:val="24"/>
          <w:szCs w:val="24"/>
        </w:rPr>
      </w:pPr>
    </w:p>
    <w:p>
      <w:pPr>
        <w:pStyle w:val="17"/>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pStyle w:val="17"/>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1.本项目报价（及最终报价）为完成采购人指定内容的全部费用，包含但不限于实施和完成本项目全部工作所需的安装费、运输、通讯、保险、税费、利润等项目有关一切费用。</w:t>
      </w:r>
    </w:p>
    <w:p>
      <w:pPr>
        <w:pStyle w:val="17"/>
        <w:spacing w:line="500" w:lineRule="exact"/>
        <w:rPr>
          <w:rFonts w:ascii="仿宋_GB2312" w:hAnsi="仿宋_GB2312" w:eastAsia="仿宋_GB2312" w:cs="仿宋_GB2312"/>
        </w:rPr>
      </w:pPr>
      <w:r>
        <w:rPr>
          <w:rFonts w:hint="eastAsia" w:ascii="仿宋_GB2312" w:hAnsi="仿宋_GB2312" w:eastAsia="仿宋_GB2312" w:cs="仿宋_GB2312"/>
          <w:sz w:val="24"/>
          <w:szCs w:val="24"/>
        </w:rPr>
        <w:t xml:space="preserve">    2.表格内容均需按要求填写并盖章，不得留空，否则按报价无效处理。</w:t>
      </w:r>
    </w:p>
    <w:p>
      <w:pPr>
        <w:pStyle w:val="17"/>
        <w:spacing w:line="500" w:lineRule="exact"/>
        <w:ind w:firstLine="4440" w:firstLineChars="1850"/>
        <w:rPr>
          <w:rFonts w:ascii="仿宋_GB2312" w:hAnsi="仿宋_GB2312" w:eastAsia="仿宋_GB2312" w:cs="仿宋_GB2312"/>
          <w:sz w:val="24"/>
          <w:szCs w:val="24"/>
          <w:u w:val="single"/>
        </w:rPr>
      </w:pPr>
      <w:bookmarkStart w:id="2" w:name="_Toc356165644"/>
      <w:bookmarkStart w:id="3" w:name="_Toc356979893"/>
      <w:r>
        <w:rPr>
          <w:rFonts w:hint="eastAsia" w:ascii="仿宋_GB2312" w:hAnsi="仿宋_GB2312" w:eastAsia="仿宋_GB2312" w:cs="仿宋_GB2312"/>
          <w:sz w:val="24"/>
          <w:szCs w:val="24"/>
        </w:rPr>
        <w:t>供应商（公章）：</w:t>
      </w:r>
      <w:r>
        <w:rPr>
          <w:rFonts w:hint="eastAsia" w:ascii="仿宋_GB2312" w:hAnsi="仿宋_GB2312" w:eastAsia="仿宋_GB2312" w:cs="仿宋_GB2312"/>
          <w:sz w:val="24"/>
          <w:szCs w:val="24"/>
          <w:u w:val="single"/>
        </w:rPr>
        <w:t xml:space="preserve">                               </w:t>
      </w:r>
    </w:p>
    <w:p>
      <w:pPr>
        <w:pStyle w:val="17"/>
        <w:spacing w:line="500" w:lineRule="exact"/>
        <w:ind w:firstLine="3360" w:firstLineChars="14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法定代表人或其委托代理人（签字）：</w:t>
      </w:r>
      <w:r>
        <w:rPr>
          <w:rFonts w:hint="eastAsia" w:ascii="仿宋_GB2312" w:hAnsi="仿宋_GB2312" w:eastAsia="仿宋_GB2312" w:cs="仿宋_GB2312"/>
          <w:sz w:val="24"/>
          <w:szCs w:val="24"/>
          <w:u w:val="single"/>
        </w:rPr>
        <w:t xml:space="preserve">             </w:t>
      </w:r>
    </w:p>
    <w:p>
      <w:pPr>
        <w:snapToGrid w:val="0"/>
        <w:spacing w:before="156" w:line="500" w:lineRule="exact"/>
        <w:ind w:right="480" w:firstLine="4560" w:firstLineChars="1900"/>
        <w:rPr>
          <w:rFonts w:ascii="仿宋_GB2312" w:hAnsi="仿宋_GB2312" w:eastAsia="仿宋_GB2312" w:cs="仿宋_GB2312"/>
          <w:sz w:val="24"/>
          <w:u w:val="single"/>
        </w:rPr>
      </w:pPr>
      <w:r>
        <w:rPr>
          <w:rFonts w:hint="eastAsia" w:ascii="仿宋_GB2312" w:hAnsi="仿宋_GB2312" w:eastAsia="仿宋_GB2312" w:cs="仿宋_GB2312"/>
          <w:sz w:val="24"/>
        </w:rPr>
        <w:t>年    月    日</w:t>
      </w:r>
    </w:p>
    <w:p>
      <w:pPr>
        <w:adjustRightInd w:val="0"/>
        <w:snapToGrid w:val="0"/>
        <w:spacing w:line="500" w:lineRule="exact"/>
        <w:ind w:left="-88" w:leftChars="-42"/>
        <w:jc w:val="left"/>
        <w:rPr>
          <w:rFonts w:ascii="仿宋_GB2312" w:hAnsi="仿宋_GB2312" w:eastAsia="仿宋_GB2312" w:cs="仿宋_GB2312"/>
          <w:b/>
        </w:rPr>
      </w:pPr>
      <w:r>
        <w:rPr>
          <w:rFonts w:hint="eastAsia" w:ascii="仿宋_GB2312" w:hAnsi="仿宋_GB2312" w:eastAsia="仿宋_GB2312" w:cs="仿宋_GB2312"/>
        </w:rPr>
        <w:br w:type="page"/>
      </w:r>
      <w:bookmarkEnd w:id="2"/>
      <w:bookmarkEnd w:id="3"/>
    </w:p>
    <w:p>
      <w:pPr>
        <w:spacing w:before="156" w:beforeLines="50" w:after="312" w:afterLines="100" w:line="5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附件2：</w:t>
      </w:r>
      <w:r>
        <w:rPr>
          <w:rFonts w:hint="eastAsia" w:ascii="仿宋_GB2312" w:hAnsi="仿宋_GB2312" w:eastAsia="仿宋_GB2312" w:cs="仿宋_GB2312"/>
          <w:b/>
          <w:kern w:val="0"/>
          <w:sz w:val="28"/>
          <w:szCs w:val="28"/>
        </w:rPr>
        <w:t>商务要求响应表</w:t>
      </w:r>
    </w:p>
    <w:p>
      <w:pPr>
        <w:spacing w:before="156" w:beforeLines="50" w:after="312" w:afterLines="100"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商务要求响应表</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采购项目名称：</w:t>
      </w:r>
      <w:r>
        <w:rPr>
          <w:rFonts w:hint="eastAsia" w:ascii="仿宋_GB2312" w:hAnsi="仿宋_GB2312" w:eastAsia="仿宋_GB2312" w:cs="仿宋_GB2312"/>
          <w:sz w:val="24"/>
          <w:u w:val="single"/>
        </w:rPr>
        <w:t xml:space="preserve">                 </w:t>
      </w:r>
    </w:p>
    <w:p>
      <w:pPr>
        <w:spacing w:line="500" w:lineRule="exact"/>
        <w:rPr>
          <w:rFonts w:ascii="仿宋_GB2312" w:hAnsi="仿宋_GB2312" w:eastAsia="仿宋_GB2312" w:cs="仿宋_GB2312"/>
          <w:sz w:val="24"/>
          <w:u w:val="single"/>
        </w:rPr>
      </w:pPr>
      <w:r>
        <w:rPr>
          <w:rFonts w:hint="eastAsia" w:ascii="仿宋_GB2312" w:hAnsi="仿宋_GB2312" w:eastAsia="仿宋_GB2312" w:cs="仿宋_GB2312"/>
          <w:sz w:val="24"/>
          <w:u w:val="single"/>
        </w:rPr>
        <w:t>按商务要求填写</w:t>
      </w:r>
    </w:p>
    <w:tbl>
      <w:tblPr>
        <w:tblStyle w:val="24"/>
        <w:tblW w:w="87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2364" w:type="dxa"/>
            <w:vAlign w:val="center"/>
          </w:tcPr>
          <w:p>
            <w:pPr>
              <w:pStyle w:val="20"/>
              <w:spacing w:line="500" w:lineRule="exact"/>
              <w:ind w:firstLine="0" w:firstLineChars="0"/>
              <w:jc w:val="center"/>
              <w:rPr>
                <w:rFonts w:hAnsi="仿宋_GB2312" w:cs="仿宋_GB2312"/>
                <w:bCs w:val="0"/>
                <w:caps w:val="0"/>
                <w:sz w:val="24"/>
                <w:szCs w:val="24"/>
              </w:rPr>
            </w:pPr>
            <w:r>
              <w:rPr>
                <w:rFonts w:hint="eastAsia" w:hAnsi="仿宋_GB2312" w:cs="仿宋_GB2312"/>
                <w:bCs w:val="0"/>
                <w:caps w:val="0"/>
                <w:sz w:val="24"/>
                <w:szCs w:val="24"/>
              </w:rPr>
              <w:t>项目</w:t>
            </w:r>
          </w:p>
        </w:tc>
        <w:tc>
          <w:tcPr>
            <w:tcW w:w="2521" w:type="dxa"/>
            <w:vAlign w:val="center"/>
          </w:tcPr>
          <w:p>
            <w:pPr>
              <w:pStyle w:val="20"/>
              <w:spacing w:line="500" w:lineRule="exact"/>
              <w:ind w:firstLine="0" w:firstLineChars="0"/>
              <w:jc w:val="center"/>
              <w:rPr>
                <w:rFonts w:hAnsi="仿宋_GB2312" w:cs="仿宋_GB2312"/>
                <w:bCs w:val="0"/>
                <w:caps w:val="0"/>
                <w:sz w:val="24"/>
                <w:szCs w:val="24"/>
              </w:rPr>
            </w:pPr>
            <w:r>
              <w:rPr>
                <w:rFonts w:hint="eastAsia" w:hAnsi="仿宋_GB2312" w:cs="仿宋_GB2312"/>
                <w:bCs w:val="0"/>
                <w:caps w:val="0"/>
                <w:sz w:val="24"/>
                <w:szCs w:val="24"/>
              </w:rPr>
              <w:t>文件要求</w:t>
            </w:r>
          </w:p>
        </w:tc>
        <w:tc>
          <w:tcPr>
            <w:tcW w:w="1439" w:type="dxa"/>
            <w:vAlign w:val="center"/>
          </w:tcPr>
          <w:p>
            <w:pPr>
              <w:pStyle w:val="20"/>
              <w:spacing w:line="500" w:lineRule="exact"/>
              <w:ind w:firstLine="0" w:firstLineChars="0"/>
              <w:jc w:val="center"/>
              <w:rPr>
                <w:rFonts w:hAnsi="仿宋_GB2312" w:cs="仿宋_GB2312"/>
                <w:bCs w:val="0"/>
                <w:caps w:val="0"/>
                <w:sz w:val="24"/>
                <w:szCs w:val="24"/>
              </w:rPr>
            </w:pPr>
            <w:r>
              <w:rPr>
                <w:rFonts w:hint="eastAsia" w:hAnsi="仿宋_GB2312" w:cs="仿宋_GB2312"/>
                <w:bCs w:val="0"/>
                <w:caps w:val="0"/>
                <w:sz w:val="24"/>
                <w:szCs w:val="24"/>
              </w:rPr>
              <w:t>是否响应</w:t>
            </w:r>
          </w:p>
        </w:tc>
        <w:tc>
          <w:tcPr>
            <w:tcW w:w="2448" w:type="dxa"/>
            <w:vAlign w:val="center"/>
          </w:tcPr>
          <w:p>
            <w:pPr>
              <w:adjustRightInd w:val="0"/>
              <w:snapToGrid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napToGrid w:val="0"/>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napToGrid w:val="0"/>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napToGrid w:val="0"/>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bl>
    <w:p>
      <w:pPr>
        <w:pStyle w:val="17"/>
        <w:spacing w:before="156" w:beforeLines="50" w:line="500" w:lineRule="exact"/>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说明：应对照文件“商务要求”，逐条对应商务基本要求进行承诺，并申明与商务条款要求各条文的响应和偏离。</w:t>
      </w:r>
    </w:p>
    <w:p>
      <w:pPr>
        <w:pStyle w:val="17"/>
        <w:spacing w:line="500" w:lineRule="exact"/>
        <w:rPr>
          <w:rFonts w:ascii="仿宋_GB2312" w:hAnsi="仿宋_GB2312" w:eastAsia="仿宋_GB2312" w:cs="仿宋_GB2312"/>
          <w:sz w:val="24"/>
          <w:szCs w:val="24"/>
        </w:rPr>
      </w:pPr>
    </w:p>
    <w:p>
      <w:pPr>
        <w:pStyle w:val="17"/>
        <w:spacing w:line="500" w:lineRule="exact"/>
        <w:rPr>
          <w:rFonts w:ascii="仿宋_GB2312" w:hAnsi="仿宋_GB2312" w:eastAsia="仿宋_GB2312" w:cs="仿宋_GB2312"/>
          <w:sz w:val="24"/>
          <w:szCs w:val="24"/>
        </w:rPr>
      </w:pPr>
    </w:p>
    <w:p>
      <w:pPr>
        <w:pStyle w:val="17"/>
        <w:spacing w:line="500" w:lineRule="exact"/>
        <w:rPr>
          <w:rFonts w:ascii="仿宋_GB2312" w:hAnsi="仿宋_GB2312" w:eastAsia="仿宋_GB2312" w:cs="仿宋_GB2312"/>
          <w:sz w:val="24"/>
          <w:szCs w:val="24"/>
        </w:rPr>
      </w:pPr>
    </w:p>
    <w:p>
      <w:pPr>
        <w:pStyle w:val="17"/>
        <w:spacing w:line="500" w:lineRule="exact"/>
        <w:ind w:firstLine="4440" w:firstLineChars="185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供应商（公章）：</w:t>
      </w:r>
      <w:r>
        <w:rPr>
          <w:rFonts w:hint="eastAsia" w:ascii="仿宋_GB2312" w:hAnsi="仿宋_GB2312" w:eastAsia="仿宋_GB2312" w:cs="仿宋_GB2312"/>
          <w:sz w:val="24"/>
          <w:szCs w:val="24"/>
          <w:u w:val="single"/>
        </w:rPr>
        <w:t xml:space="preserve">                               </w:t>
      </w:r>
    </w:p>
    <w:p>
      <w:pPr>
        <w:pStyle w:val="17"/>
        <w:spacing w:line="500" w:lineRule="exact"/>
        <w:ind w:firstLine="3360" w:firstLineChars="14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法定代表人或其委托代理人（签字）：</w:t>
      </w:r>
      <w:r>
        <w:rPr>
          <w:rFonts w:hint="eastAsia" w:ascii="仿宋_GB2312" w:hAnsi="仿宋_GB2312" w:eastAsia="仿宋_GB2312" w:cs="仿宋_GB2312"/>
          <w:sz w:val="24"/>
          <w:szCs w:val="24"/>
          <w:u w:val="single"/>
        </w:rPr>
        <w:t xml:space="preserve">             </w:t>
      </w:r>
    </w:p>
    <w:p>
      <w:pPr>
        <w:snapToGrid w:val="0"/>
        <w:spacing w:before="156" w:line="500" w:lineRule="exact"/>
        <w:ind w:right="480" w:firstLine="4560" w:firstLineChars="1900"/>
        <w:rPr>
          <w:rFonts w:ascii="仿宋_GB2312" w:hAnsi="仿宋_GB2312" w:eastAsia="仿宋_GB2312" w:cs="仿宋_GB2312"/>
          <w:sz w:val="24"/>
          <w:u w:val="single"/>
        </w:rPr>
      </w:pPr>
      <w:r>
        <w:rPr>
          <w:rFonts w:hint="eastAsia" w:ascii="仿宋_GB2312" w:hAnsi="仿宋_GB2312" w:eastAsia="仿宋_GB2312" w:cs="仿宋_GB2312"/>
          <w:sz w:val="24"/>
        </w:rPr>
        <w:t>年    月    日</w:t>
      </w: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spacing w:before="156" w:beforeLines="50" w:after="312" w:afterLines="100" w:line="5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附件3：技术要求清单</w:t>
      </w:r>
    </w:p>
    <w:p>
      <w:pPr>
        <w:spacing w:before="156" w:beforeLines="50" w:after="312" w:afterLines="100"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技术要求清单</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455"/>
        <w:gridCol w:w="5360"/>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4" w:type="dxa"/>
          </w:tcPr>
          <w:p>
            <w:pPr>
              <w:spacing w:line="360" w:lineRule="auto"/>
              <w:rPr>
                <w:rFonts w:ascii="华文宋体" w:hAnsi="华文宋体" w:eastAsia="华文宋体" w:cs="华文宋体"/>
              </w:rPr>
            </w:pPr>
            <w:r>
              <w:rPr>
                <w:rFonts w:hint="eastAsia" w:ascii="华文宋体" w:hAnsi="华文宋体" w:eastAsia="华文宋体" w:cs="华文宋体"/>
                <w:kern w:val="0"/>
                <w:szCs w:val="21"/>
              </w:rPr>
              <w:t>序号</w:t>
            </w:r>
          </w:p>
        </w:tc>
        <w:tc>
          <w:tcPr>
            <w:tcW w:w="1455" w:type="dxa"/>
          </w:tcPr>
          <w:p>
            <w:pPr>
              <w:spacing w:line="360" w:lineRule="auto"/>
              <w:rPr>
                <w:rFonts w:ascii="华文宋体" w:hAnsi="华文宋体" w:eastAsia="华文宋体" w:cs="华文宋体"/>
              </w:rPr>
            </w:pPr>
            <w:r>
              <w:rPr>
                <w:rFonts w:hint="eastAsia" w:ascii="华文宋体" w:hAnsi="华文宋体" w:eastAsia="华文宋体" w:cs="华文宋体"/>
                <w:kern w:val="0"/>
                <w:szCs w:val="21"/>
              </w:rPr>
              <w:t>名称</w:t>
            </w:r>
          </w:p>
        </w:tc>
        <w:tc>
          <w:tcPr>
            <w:tcW w:w="5360" w:type="dxa"/>
          </w:tcPr>
          <w:p>
            <w:pPr>
              <w:spacing w:line="360" w:lineRule="auto"/>
              <w:jc w:val="center"/>
              <w:rPr>
                <w:rFonts w:ascii="华文宋体" w:hAnsi="华文宋体" w:eastAsia="华文宋体" w:cs="华文宋体"/>
              </w:rPr>
            </w:pPr>
            <w:r>
              <w:rPr>
                <w:rFonts w:hint="eastAsia" w:ascii="华文宋体" w:hAnsi="华文宋体" w:eastAsia="华文宋体" w:cs="华文宋体"/>
                <w:kern w:val="0"/>
                <w:szCs w:val="21"/>
              </w:rPr>
              <w:t>规格及技术参数要求</w:t>
            </w:r>
          </w:p>
        </w:tc>
        <w:tc>
          <w:tcPr>
            <w:tcW w:w="753" w:type="dxa"/>
          </w:tcPr>
          <w:p>
            <w:pPr>
              <w:spacing w:line="360" w:lineRule="auto"/>
              <w:rPr>
                <w:rFonts w:ascii="华文宋体" w:hAnsi="华文宋体" w:eastAsia="华文宋体" w:cs="华文宋体"/>
              </w:rPr>
            </w:pPr>
            <w:r>
              <w:rPr>
                <w:rFonts w:hint="eastAsia" w:ascii="华文宋体" w:hAnsi="华文宋体" w:eastAsia="华文宋体" w:cs="华文宋体"/>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4" w:type="dxa"/>
          </w:tcPr>
          <w:p>
            <w:pPr>
              <w:spacing w:line="360" w:lineRule="auto"/>
              <w:rPr>
                <w:rFonts w:ascii="华文宋体" w:hAnsi="华文宋体" w:eastAsia="华文宋体" w:cs="华文宋体"/>
                <w:kern w:val="0"/>
                <w:szCs w:val="21"/>
              </w:rPr>
            </w:pPr>
          </w:p>
        </w:tc>
        <w:tc>
          <w:tcPr>
            <w:tcW w:w="1455" w:type="dxa"/>
          </w:tcPr>
          <w:p>
            <w:pPr>
              <w:spacing w:line="360" w:lineRule="auto"/>
              <w:rPr>
                <w:rFonts w:ascii="华文宋体" w:hAnsi="华文宋体" w:eastAsia="华文宋体" w:cs="华文宋体"/>
                <w:kern w:val="0"/>
                <w:szCs w:val="21"/>
              </w:rPr>
            </w:pPr>
          </w:p>
        </w:tc>
        <w:tc>
          <w:tcPr>
            <w:tcW w:w="5360" w:type="dxa"/>
          </w:tcPr>
          <w:p>
            <w:pPr>
              <w:spacing w:line="360" w:lineRule="auto"/>
              <w:jc w:val="center"/>
              <w:rPr>
                <w:rFonts w:ascii="华文宋体" w:hAnsi="华文宋体" w:eastAsia="华文宋体" w:cs="华文宋体"/>
                <w:kern w:val="0"/>
                <w:szCs w:val="21"/>
              </w:rPr>
            </w:pPr>
          </w:p>
        </w:tc>
        <w:tc>
          <w:tcPr>
            <w:tcW w:w="753" w:type="dxa"/>
          </w:tcPr>
          <w:p>
            <w:pPr>
              <w:spacing w:line="360" w:lineRule="auto"/>
              <w:rPr>
                <w:rFonts w:ascii="华文宋体" w:hAnsi="华文宋体" w:eastAsia="华文宋体" w:cs="华文宋体"/>
                <w:kern w:val="0"/>
                <w:szCs w:val="21"/>
              </w:rPr>
            </w:pPr>
          </w:p>
        </w:tc>
      </w:tr>
    </w:tbl>
    <w:p>
      <w:pPr>
        <w:pStyle w:val="18"/>
        <w:ind w:left="2940"/>
      </w:pPr>
    </w:p>
    <w:p>
      <w:pPr>
        <w:pStyle w:val="17"/>
        <w:spacing w:line="500" w:lineRule="exact"/>
        <w:rPr>
          <w:rFonts w:ascii="仿宋_GB2312" w:hAnsi="仿宋_GB2312" w:eastAsia="仿宋_GB2312" w:cs="仿宋_GB2312"/>
          <w:sz w:val="24"/>
          <w:szCs w:val="24"/>
        </w:rPr>
      </w:pPr>
    </w:p>
    <w:p>
      <w:pPr>
        <w:pStyle w:val="17"/>
        <w:spacing w:line="500" w:lineRule="exact"/>
        <w:ind w:firstLine="4440" w:firstLineChars="185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供应商（公章）：</w:t>
      </w:r>
      <w:r>
        <w:rPr>
          <w:rFonts w:hint="eastAsia" w:ascii="仿宋_GB2312" w:hAnsi="仿宋_GB2312" w:eastAsia="仿宋_GB2312" w:cs="仿宋_GB2312"/>
          <w:sz w:val="24"/>
          <w:szCs w:val="24"/>
          <w:u w:val="single"/>
        </w:rPr>
        <w:t xml:space="preserve">                               </w:t>
      </w:r>
    </w:p>
    <w:p>
      <w:pPr>
        <w:pStyle w:val="17"/>
        <w:spacing w:line="500" w:lineRule="exact"/>
        <w:ind w:firstLine="3360" w:firstLineChars="14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法定代表人或其委托代理人（签字）：</w:t>
      </w:r>
      <w:r>
        <w:rPr>
          <w:rFonts w:hint="eastAsia" w:ascii="仿宋_GB2312" w:hAnsi="仿宋_GB2312" w:eastAsia="仿宋_GB2312" w:cs="仿宋_GB2312"/>
          <w:sz w:val="24"/>
          <w:szCs w:val="24"/>
          <w:u w:val="single"/>
        </w:rPr>
        <w:t xml:space="preserve">             </w:t>
      </w:r>
    </w:p>
    <w:p>
      <w:pPr>
        <w:snapToGrid w:val="0"/>
        <w:spacing w:before="156" w:line="500" w:lineRule="exact"/>
        <w:ind w:right="480" w:firstLine="4560" w:firstLineChars="1900"/>
        <w:rPr>
          <w:rFonts w:ascii="仿宋_GB2312" w:hAnsi="仿宋_GB2312" w:eastAsia="仿宋_GB2312" w:cs="仿宋_GB2312"/>
          <w:sz w:val="24"/>
          <w:u w:val="single"/>
        </w:rPr>
      </w:pPr>
      <w:r>
        <w:rPr>
          <w:rFonts w:hint="eastAsia" w:ascii="仿宋_GB2312" w:hAnsi="仿宋_GB2312" w:eastAsia="仿宋_GB2312" w:cs="仿宋_GB2312"/>
          <w:sz w:val="24"/>
        </w:rPr>
        <w:t>年    月    日</w:t>
      </w:r>
    </w:p>
    <w:p/>
    <w:p/>
    <w:p/>
    <w:p/>
    <w:sectPr>
      <w:pgSz w:w="11906" w:h="16838"/>
      <w:pgMar w:top="1043"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正圆-45W">
    <w:altName w:val="宋体"/>
    <w:panose1 w:val="00020600040101010101"/>
    <w:charset w:val="86"/>
    <w:family w:val="roman"/>
    <w:pitch w:val="default"/>
    <w:sig w:usb0="00000000" w:usb1="00000000" w:usb2="00000016"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大黑简体2.">
    <w:altName w:val="微软雅黑"/>
    <w:panose1 w:val="00000000000000000000"/>
    <w:charset w:val="86"/>
    <w:family w:val="swiss"/>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YzE2YWNmMTQ4MjkyY2ZjN2NkODM3ZTFkY2NmMDMifQ=="/>
  </w:docVars>
  <w:rsids>
    <w:rsidRoot w:val="00362477"/>
    <w:rsid w:val="00025F59"/>
    <w:rsid w:val="000858E5"/>
    <w:rsid w:val="000C542A"/>
    <w:rsid w:val="000D27D9"/>
    <w:rsid w:val="00150D62"/>
    <w:rsid w:val="001C5030"/>
    <w:rsid w:val="00313BE0"/>
    <w:rsid w:val="00352998"/>
    <w:rsid w:val="00362477"/>
    <w:rsid w:val="00515B71"/>
    <w:rsid w:val="00573A47"/>
    <w:rsid w:val="00597615"/>
    <w:rsid w:val="00705717"/>
    <w:rsid w:val="00844897"/>
    <w:rsid w:val="00927526"/>
    <w:rsid w:val="00943F77"/>
    <w:rsid w:val="009A0527"/>
    <w:rsid w:val="009E75D9"/>
    <w:rsid w:val="00AE2A70"/>
    <w:rsid w:val="00B65F89"/>
    <w:rsid w:val="00B75490"/>
    <w:rsid w:val="00CF1B03"/>
    <w:rsid w:val="00D007C4"/>
    <w:rsid w:val="00E50C88"/>
    <w:rsid w:val="00E546E6"/>
    <w:rsid w:val="00EC2EE9"/>
    <w:rsid w:val="00FA5BB4"/>
    <w:rsid w:val="050D57A9"/>
    <w:rsid w:val="09B10BA9"/>
    <w:rsid w:val="0A247833"/>
    <w:rsid w:val="0A6C6633"/>
    <w:rsid w:val="0FB85E90"/>
    <w:rsid w:val="12816876"/>
    <w:rsid w:val="18E702C7"/>
    <w:rsid w:val="1C4A723D"/>
    <w:rsid w:val="21E2207E"/>
    <w:rsid w:val="280E156E"/>
    <w:rsid w:val="2A735BF5"/>
    <w:rsid w:val="2B287437"/>
    <w:rsid w:val="3890514A"/>
    <w:rsid w:val="38BE0728"/>
    <w:rsid w:val="38D9151F"/>
    <w:rsid w:val="39750304"/>
    <w:rsid w:val="3BAD120C"/>
    <w:rsid w:val="3D581D30"/>
    <w:rsid w:val="3E475B03"/>
    <w:rsid w:val="4007662E"/>
    <w:rsid w:val="419176E9"/>
    <w:rsid w:val="41E26D36"/>
    <w:rsid w:val="44D80E72"/>
    <w:rsid w:val="452277BC"/>
    <w:rsid w:val="481A4927"/>
    <w:rsid w:val="49005BF4"/>
    <w:rsid w:val="4AFC158D"/>
    <w:rsid w:val="50607255"/>
    <w:rsid w:val="513770DE"/>
    <w:rsid w:val="52057F8F"/>
    <w:rsid w:val="56603EDC"/>
    <w:rsid w:val="5AC96163"/>
    <w:rsid w:val="5C8F5FA5"/>
    <w:rsid w:val="5CC355B5"/>
    <w:rsid w:val="64505962"/>
    <w:rsid w:val="6CF95F68"/>
    <w:rsid w:val="6E0B1776"/>
    <w:rsid w:val="7195164A"/>
    <w:rsid w:val="75934288"/>
    <w:rsid w:val="769B4D4E"/>
    <w:rsid w:val="7A9E4486"/>
    <w:rsid w:val="7D1E4F78"/>
    <w:rsid w:val="7E32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7">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8">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9">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10">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rPr>
  </w:style>
  <w:style w:type="paragraph" w:styleId="11">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12">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3">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4">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spacing w:before="0" w:after="120" w:afterLines="0"/>
      <w:ind w:firstLine="420" w:firstLineChars="100"/>
    </w:pPr>
    <w:rPr>
      <w:rFonts w:ascii="汉仪正圆-45W" w:hAnsi="汉仪正圆-45W" w:eastAsia="汉仪正圆-45W" w:cstheme="minorBidi"/>
      <w:kern w:val="2"/>
      <w:sz w:val="22"/>
      <w:szCs w:val="22"/>
    </w:rPr>
  </w:style>
  <w:style w:type="paragraph" w:styleId="3">
    <w:name w:val="Body Text"/>
    <w:basedOn w:val="1"/>
    <w:next w:val="4"/>
    <w:qFormat/>
    <w:uiPriority w:val="0"/>
    <w:pPr>
      <w:spacing w:before="100" w:after="100" w:afterLines="0" w:afterAutospacing="0" w:line="300" w:lineRule="auto"/>
      <w:ind w:firstLine="1124" w:firstLineChars="200"/>
    </w:pPr>
    <w:rPr>
      <w:rFonts w:ascii="黑体" w:hAnsi="黑体"/>
    </w:rPr>
  </w:style>
  <w:style w:type="paragraph" w:styleId="4">
    <w:name w:val="Body Text First Indent 2"/>
    <w:basedOn w:val="5"/>
    <w:next w:val="1"/>
    <w:link w:val="47"/>
    <w:unhideWhenUsed/>
    <w:qFormat/>
    <w:uiPriority w:val="0"/>
    <w:pPr>
      <w:spacing w:after="0" w:line="200" w:lineRule="exact"/>
      <w:ind w:left="0" w:leftChars="0" w:firstLine="420" w:firstLineChars="200"/>
    </w:pPr>
    <w:rPr>
      <w:rFonts w:ascii="宋体" w:hAnsi="Courier New"/>
      <w:spacing w:val="-4"/>
      <w:kern w:val="0"/>
      <w:sz w:val="18"/>
      <w:szCs w:val="20"/>
    </w:rPr>
  </w:style>
  <w:style w:type="paragraph" w:styleId="5">
    <w:name w:val="Body Text Indent"/>
    <w:basedOn w:val="1"/>
    <w:link w:val="46"/>
    <w:semiHidden/>
    <w:unhideWhenUsed/>
    <w:qFormat/>
    <w:uiPriority w:val="99"/>
    <w:pPr>
      <w:spacing w:after="120"/>
      <w:ind w:left="420" w:leftChars="200"/>
    </w:pPr>
  </w:style>
  <w:style w:type="paragraph" w:styleId="15">
    <w:name w:val="index 8"/>
    <w:basedOn w:val="1"/>
    <w:next w:val="1"/>
    <w:semiHidden/>
    <w:unhideWhenUsed/>
    <w:qFormat/>
    <w:uiPriority w:val="99"/>
    <w:pPr>
      <w:ind w:left="1400" w:leftChars="1400"/>
    </w:pPr>
  </w:style>
  <w:style w:type="paragraph" w:styleId="16">
    <w:name w:val="Normal Indent"/>
    <w:basedOn w:val="1"/>
    <w:qFormat/>
    <w:uiPriority w:val="0"/>
    <w:pPr>
      <w:ind w:firstLine="420"/>
    </w:pPr>
    <w:rPr>
      <w:szCs w:val="20"/>
    </w:rPr>
  </w:style>
  <w:style w:type="paragraph" w:styleId="17">
    <w:name w:val="Plain Text"/>
    <w:basedOn w:val="1"/>
    <w:next w:val="15"/>
    <w:link w:val="45"/>
    <w:qFormat/>
    <w:uiPriority w:val="0"/>
    <w:rPr>
      <w:rFonts w:ascii="宋体" w:hAnsi="Courier New"/>
      <w:szCs w:val="20"/>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paragraph" w:styleId="21">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5">
    <w:name w:val="Table Grid"/>
    <w:basedOn w:val="2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字符"/>
    <w:basedOn w:val="23"/>
    <w:link w:val="6"/>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7"/>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8"/>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9"/>
    <w:semiHidden/>
    <w:qFormat/>
    <w:uiPriority w:val="9"/>
    <w:rPr>
      <w:rFonts w:cstheme="majorBidi"/>
      <w:color w:val="104862" w:themeColor="accent1" w:themeShade="BF"/>
      <w:sz w:val="28"/>
      <w:szCs w:val="28"/>
    </w:rPr>
  </w:style>
  <w:style w:type="character" w:customStyle="1" w:styleId="30">
    <w:name w:val="标题 5 字符"/>
    <w:basedOn w:val="23"/>
    <w:link w:val="10"/>
    <w:semiHidden/>
    <w:qFormat/>
    <w:uiPriority w:val="9"/>
    <w:rPr>
      <w:rFonts w:cstheme="majorBidi"/>
      <w:color w:val="104862" w:themeColor="accent1" w:themeShade="BF"/>
      <w:sz w:val="24"/>
      <w:szCs w:val="24"/>
    </w:rPr>
  </w:style>
  <w:style w:type="character" w:customStyle="1" w:styleId="31">
    <w:name w:val="标题 6 字符"/>
    <w:basedOn w:val="23"/>
    <w:link w:val="11"/>
    <w:semiHidden/>
    <w:qFormat/>
    <w:uiPriority w:val="9"/>
    <w:rPr>
      <w:rFonts w:cstheme="majorBidi"/>
      <w:b/>
      <w:bCs/>
      <w:color w:val="104862" w:themeColor="accent1" w:themeShade="BF"/>
    </w:rPr>
  </w:style>
  <w:style w:type="character" w:customStyle="1" w:styleId="32">
    <w:name w:val="标题 7 字符"/>
    <w:basedOn w:val="23"/>
    <w:link w:val="12"/>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13"/>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4"/>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2"/>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3"/>
    <w:link w:val="41"/>
    <w:qFormat/>
    <w:uiPriority w:val="30"/>
    <w:rPr>
      <w:i/>
      <w:iCs/>
      <w:color w:val="104862" w:themeColor="accent1" w:themeShade="BF"/>
    </w:rPr>
  </w:style>
  <w:style w:type="character" w:customStyle="1" w:styleId="43">
    <w:name w:val="明显参考1"/>
    <w:basedOn w:val="23"/>
    <w:qFormat/>
    <w:uiPriority w:val="32"/>
    <w:rPr>
      <w:b/>
      <w:bCs/>
      <w:smallCaps/>
      <w:color w:val="104862" w:themeColor="accent1" w:themeShade="BF"/>
      <w:spacing w:val="5"/>
    </w:rPr>
  </w:style>
  <w:style w:type="paragraph" w:customStyle="1" w:styleId="44">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45">
    <w:name w:val="纯文本 字符"/>
    <w:basedOn w:val="23"/>
    <w:link w:val="17"/>
    <w:qFormat/>
    <w:uiPriority w:val="0"/>
    <w:rPr>
      <w:rFonts w:ascii="宋体" w:hAnsi="Courier New" w:eastAsia="宋体" w:cs="Times New Roman"/>
      <w:szCs w:val="20"/>
    </w:rPr>
  </w:style>
  <w:style w:type="character" w:customStyle="1" w:styleId="46">
    <w:name w:val="正文文本缩进 字符"/>
    <w:basedOn w:val="23"/>
    <w:link w:val="5"/>
    <w:semiHidden/>
    <w:qFormat/>
    <w:uiPriority w:val="99"/>
    <w:rPr>
      <w:rFonts w:ascii="Calibri" w:hAnsi="Calibri" w:eastAsia="宋体" w:cs="Times New Roman"/>
      <w:szCs w:val="24"/>
    </w:rPr>
  </w:style>
  <w:style w:type="character" w:customStyle="1" w:styleId="47">
    <w:name w:val="正文文本首行缩进 2 字符"/>
    <w:basedOn w:val="46"/>
    <w:link w:val="4"/>
    <w:qFormat/>
    <w:uiPriority w:val="0"/>
    <w:rPr>
      <w:rFonts w:ascii="宋体" w:hAnsi="Courier New" w:eastAsia="宋体" w:cs="Times New Roman"/>
      <w:spacing w:val="-4"/>
      <w:kern w:val="0"/>
      <w:sz w:val="18"/>
      <w:szCs w:val="20"/>
    </w:rPr>
  </w:style>
  <w:style w:type="paragraph" w:customStyle="1" w:styleId="48">
    <w:name w:val="Table Text"/>
    <w:basedOn w:val="1"/>
    <w:semiHidden/>
    <w:qFormat/>
    <w:uiPriority w:val="0"/>
    <w:rPr>
      <w:rFonts w:ascii="宋体" w:hAnsi="宋体" w:cs="宋体"/>
      <w:sz w:val="23"/>
      <w:szCs w:val="23"/>
      <w:lang w:eastAsia="en-US"/>
    </w:rPr>
  </w:style>
  <w:style w:type="character" w:customStyle="1" w:styleId="49">
    <w:name w:val="页眉 字符"/>
    <w:basedOn w:val="23"/>
    <w:link w:val="19"/>
    <w:qFormat/>
    <w:uiPriority w:val="99"/>
    <w:rPr>
      <w:rFonts w:ascii="Calibri" w:hAnsi="Calibri" w:eastAsia="宋体" w:cs="Times New Roman"/>
      <w:sz w:val="18"/>
      <w:szCs w:val="18"/>
    </w:rPr>
  </w:style>
  <w:style w:type="character" w:customStyle="1" w:styleId="50">
    <w:name w:val="页脚 字符"/>
    <w:basedOn w:val="23"/>
    <w:link w:val="18"/>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CB5EF-6CDC-44AB-A372-0DAE2F89C47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8245</Words>
  <Characters>9793</Characters>
  <Lines>39</Lines>
  <Paragraphs>11</Paragraphs>
  <TotalTime>4</TotalTime>
  <ScaleCrop>false</ScaleCrop>
  <LinksUpToDate>false</LinksUpToDate>
  <CharactersWithSpaces>10506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2025-07-08T14:48:00Z</dcterms:created>
  <dc:creator>运延 吴</dc:creator>
  <cp:lastModifiedBy>Administrator</cp:lastModifiedBy>
  <cp:lastPrinted>2026-06-03T06:48:00Z</cp:lastPrinted>
  <dcterms:modified xsi:type="dcterms:W3CDTF">2026-06-08T08:22:16Z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eyJoZGlkIjoiOGJkMDg5ODI3OWE4Mjk1NDI2NjBkNGQyZjMwNmY3ZGYiLCJ1c2VySWQiOiIzNzQxNjczNzUifQ==</vt:lpwstr>
  </property>
  <property fmtid="{D5CDD505-2E9C-101B-9397-08002B2CF9AE}" pid="3" name="KSOProductBuildVer">
    <vt:lpwstr>2052-10.8.2.6948</vt:lpwstr>
  </property>
  <property fmtid="{D5CDD505-2E9C-101B-9397-08002B2CF9AE}" pid="4" name="ICV">
    <vt:lpwstr>7C3FC93A5245404289A8C22CEF0699FE_13</vt:lpwstr>
  </property>
</Properties>
</file>