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872CC">
      <w:pPr>
        <w:adjustRightInd w:val="0"/>
        <w:spacing w:line="240" w:lineRule="atLeast"/>
        <w:ind w:firstLine="803" w:firstLineChars="200"/>
        <w:jc w:val="center"/>
        <w:rPr>
          <w:rFonts w:hAnsi="宋体"/>
          <w:b/>
          <w:sz w:val="40"/>
          <w:szCs w:val="40"/>
        </w:rPr>
      </w:pPr>
      <w:r>
        <w:rPr>
          <w:rFonts w:hint="eastAsia" w:hAnsi="宋体"/>
          <w:b/>
          <w:sz w:val="40"/>
          <w:szCs w:val="40"/>
        </w:rPr>
        <w:t>凭祥市友谊镇卫生院门诊综合楼建设项目电梯采购需求</w:t>
      </w:r>
      <w:r>
        <w:rPr>
          <w:rFonts w:hint="eastAsia" w:hAnsi="宋体"/>
          <w:b/>
          <w:sz w:val="40"/>
          <w:szCs w:val="40"/>
          <w:lang w:val="en-US" w:eastAsia="zh-CN"/>
        </w:rPr>
        <w:t>参数</w:t>
      </w:r>
      <w:r>
        <w:rPr>
          <w:rFonts w:hint="eastAsia" w:hAnsi="宋体"/>
          <w:b/>
          <w:sz w:val="40"/>
          <w:szCs w:val="40"/>
        </w:rPr>
        <w:t>表</w:t>
      </w:r>
    </w:p>
    <w:tbl>
      <w:tblPr>
        <w:tblStyle w:val="6"/>
        <w:tblW w:w="6042" w:type="pct"/>
        <w:jc w:val="center"/>
        <w:tblLayout w:type="fixed"/>
        <w:tblCellMar>
          <w:top w:w="0" w:type="dxa"/>
          <w:left w:w="0" w:type="dxa"/>
          <w:bottom w:w="0" w:type="dxa"/>
          <w:right w:w="0" w:type="dxa"/>
        </w:tblCellMar>
      </w:tblPr>
      <w:tblGrid>
        <w:gridCol w:w="687"/>
        <w:gridCol w:w="1369"/>
        <w:gridCol w:w="750"/>
        <w:gridCol w:w="1323"/>
        <w:gridCol w:w="5926"/>
      </w:tblGrid>
      <w:tr w14:paraId="4A880290">
        <w:tblPrEx>
          <w:tblCellMar>
            <w:top w:w="0" w:type="dxa"/>
            <w:left w:w="0" w:type="dxa"/>
            <w:bottom w:w="0" w:type="dxa"/>
            <w:right w:w="0" w:type="dxa"/>
          </w:tblCellMar>
        </w:tblPrEx>
        <w:trPr>
          <w:trHeight w:val="435" w:hRule="atLeast"/>
          <w:jc w:val="center"/>
        </w:trPr>
        <w:tc>
          <w:tcPr>
            <w:tcW w:w="341" w:type="pct"/>
            <w:tcBorders>
              <w:top w:val="single" w:color="auto" w:sz="8" w:space="0"/>
              <w:left w:val="single" w:color="auto" w:sz="8" w:space="0"/>
              <w:bottom w:val="single" w:color="auto" w:sz="8" w:space="0"/>
              <w:right w:val="single" w:color="auto" w:sz="8" w:space="0"/>
            </w:tcBorders>
            <w:vAlign w:val="center"/>
          </w:tcPr>
          <w:p w14:paraId="2CA8C923">
            <w:pPr>
              <w:tabs>
                <w:tab w:val="left" w:pos="1440"/>
              </w:tabs>
              <w:spacing w:line="360" w:lineRule="atLeast"/>
              <w:jc w:val="center"/>
            </w:pPr>
            <w:r>
              <w:t>项号</w:t>
            </w:r>
          </w:p>
        </w:tc>
        <w:tc>
          <w:tcPr>
            <w:tcW w:w="68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391310">
            <w:pPr>
              <w:tabs>
                <w:tab w:val="left" w:pos="1440"/>
              </w:tabs>
              <w:spacing w:line="360" w:lineRule="atLeast"/>
              <w:jc w:val="center"/>
            </w:pPr>
            <w:r>
              <w:t>货物</w:t>
            </w:r>
            <w:r>
              <w:rPr>
                <w:rFonts w:hint="eastAsia"/>
              </w:rPr>
              <w:t>/服务</w:t>
            </w:r>
            <w:r>
              <w:t>名称</w:t>
            </w:r>
          </w:p>
        </w:tc>
        <w:tc>
          <w:tcPr>
            <w:tcW w:w="37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9D345D">
            <w:pPr>
              <w:tabs>
                <w:tab w:val="left" w:pos="1440"/>
              </w:tabs>
              <w:spacing w:line="360" w:lineRule="atLeast"/>
              <w:jc w:val="center"/>
            </w:pPr>
            <w:r>
              <w:t>数量</w:t>
            </w:r>
          </w:p>
        </w:tc>
        <w:tc>
          <w:tcPr>
            <w:tcW w:w="658" w:type="pct"/>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23EEAEAD">
            <w:pPr>
              <w:tabs>
                <w:tab w:val="left" w:pos="1440"/>
              </w:tabs>
              <w:spacing w:line="360" w:lineRule="atLeast"/>
              <w:jc w:val="center"/>
            </w:pPr>
            <w:r>
              <w:t>品牌</w:t>
            </w:r>
          </w:p>
        </w:tc>
        <w:tc>
          <w:tcPr>
            <w:tcW w:w="2948" w:type="pct"/>
            <w:tcBorders>
              <w:top w:val="single" w:color="auto" w:sz="4" w:space="0"/>
              <w:left w:val="single" w:color="auto" w:sz="4" w:space="0"/>
              <w:bottom w:val="single" w:color="auto" w:sz="4" w:space="0"/>
              <w:right w:val="single" w:color="auto" w:sz="4" w:space="0"/>
            </w:tcBorders>
            <w:vAlign w:val="center"/>
          </w:tcPr>
          <w:p w14:paraId="16AFE2FD">
            <w:pPr>
              <w:tabs>
                <w:tab w:val="left" w:pos="1440"/>
              </w:tabs>
              <w:spacing w:line="360" w:lineRule="atLeast"/>
              <w:jc w:val="center"/>
              <w:rPr>
                <w:b/>
                <w:bCs/>
              </w:rPr>
            </w:pPr>
            <w:r>
              <w:rPr>
                <w:b/>
                <w:bCs/>
              </w:rPr>
              <w:t>技术参数要求</w:t>
            </w:r>
          </w:p>
          <w:p w14:paraId="74A3C9F7">
            <w:pPr>
              <w:tabs>
                <w:tab w:val="left" w:pos="1440"/>
              </w:tabs>
              <w:spacing w:line="360" w:lineRule="atLeast"/>
              <w:jc w:val="center"/>
            </w:pPr>
            <w:r>
              <w:rPr>
                <w:rFonts w:hint="eastAsia"/>
              </w:rPr>
              <w:t>（服务内容及要求）</w:t>
            </w:r>
          </w:p>
        </w:tc>
      </w:tr>
      <w:tr w14:paraId="247780F8">
        <w:tblPrEx>
          <w:tblCellMar>
            <w:top w:w="0" w:type="dxa"/>
            <w:left w:w="0" w:type="dxa"/>
            <w:bottom w:w="0" w:type="dxa"/>
            <w:right w:w="0" w:type="dxa"/>
          </w:tblCellMar>
        </w:tblPrEx>
        <w:trPr>
          <w:trHeight w:val="502" w:hRule="atLeast"/>
          <w:jc w:val="center"/>
        </w:trPr>
        <w:tc>
          <w:tcPr>
            <w:tcW w:w="341"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5ED735A3">
            <w:pPr>
              <w:widowControl/>
              <w:jc w:val="center"/>
              <w:textAlignment w:val="center"/>
              <w:rPr>
                <w:rFonts w:ascii="Arial" w:hAnsi="Arial" w:cs="Arial"/>
                <w:bCs/>
                <w:color w:val="000000"/>
                <w:kern w:val="0"/>
                <w:sz w:val="24"/>
              </w:rPr>
            </w:pPr>
            <w:r>
              <w:rPr>
                <w:rFonts w:hint="eastAsia"/>
                <w:szCs w:val="21"/>
              </w:rPr>
              <w:t>1</w:t>
            </w:r>
          </w:p>
        </w:tc>
        <w:tc>
          <w:tcPr>
            <w:tcW w:w="681" w:type="pct"/>
            <w:tcBorders>
              <w:top w:val="nil"/>
              <w:left w:val="nil"/>
              <w:bottom w:val="single" w:color="auto" w:sz="4" w:space="0"/>
              <w:right w:val="single" w:color="auto" w:sz="8" w:space="0"/>
            </w:tcBorders>
            <w:tcMar>
              <w:top w:w="0" w:type="dxa"/>
              <w:left w:w="108" w:type="dxa"/>
              <w:bottom w:w="0" w:type="dxa"/>
              <w:right w:w="108" w:type="dxa"/>
            </w:tcMar>
            <w:vAlign w:val="center"/>
          </w:tcPr>
          <w:p w14:paraId="01319A91">
            <w:pPr>
              <w:widowControl/>
              <w:jc w:val="center"/>
              <w:textAlignment w:val="center"/>
              <w:rPr>
                <w:rFonts w:ascii="Arial" w:hAnsi="Arial" w:cs="Arial"/>
                <w:bCs/>
                <w:color w:val="000000"/>
                <w:kern w:val="0"/>
                <w:sz w:val="24"/>
              </w:rPr>
            </w:pPr>
            <w:r>
              <w:rPr>
                <w:rFonts w:hint="eastAsia" w:ascii="宋体" w:hAnsi="宋体" w:cs="宋体"/>
                <w:color w:val="000000"/>
                <w:kern w:val="0"/>
                <w:szCs w:val="21"/>
                <w:lang w:bidi="ar"/>
              </w:rPr>
              <w:t>电梯</w:t>
            </w:r>
          </w:p>
        </w:tc>
        <w:tc>
          <w:tcPr>
            <w:tcW w:w="373" w:type="pct"/>
            <w:tcBorders>
              <w:top w:val="nil"/>
              <w:left w:val="nil"/>
              <w:bottom w:val="single" w:color="auto" w:sz="4" w:space="0"/>
              <w:right w:val="single" w:color="auto" w:sz="8" w:space="0"/>
            </w:tcBorders>
            <w:tcMar>
              <w:top w:w="0" w:type="dxa"/>
              <w:left w:w="108" w:type="dxa"/>
              <w:bottom w:w="0" w:type="dxa"/>
              <w:right w:w="108" w:type="dxa"/>
            </w:tcMar>
            <w:vAlign w:val="center"/>
          </w:tcPr>
          <w:p w14:paraId="670352D0">
            <w:pPr>
              <w:widowControl/>
              <w:jc w:val="center"/>
              <w:textAlignment w:val="center"/>
              <w:rPr>
                <w:rFonts w:ascii="Arial" w:hAnsi="Arial" w:cs="Arial"/>
                <w:bCs/>
                <w:color w:val="000000"/>
                <w:kern w:val="0"/>
                <w:sz w:val="24"/>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部</w:t>
            </w:r>
          </w:p>
        </w:tc>
        <w:tc>
          <w:tcPr>
            <w:tcW w:w="658" w:type="pct"/>
            <w:tcBorders>
              <w:top w:val="nil"/>
              <w:left w:val="nil"/>
              <w:bottom w:val="single" w:color="auto" w:sz="4" w:space="0"/>
              <w:right w:val="single" w:color="auto" w:sz="4" w:space="0"/>
            </w:tcBorders>
            <w:tcMar>
              <w:top w:w="0" w:type="dxa"/>
              <w:left w:w="108" w:type="dxa"/>
              <w:bottom w:w="0" w:type="dxa"/>
              <w:right w:w="108" w:type="dxa"/>
            </w:tcMar>
            <w:vAlign w:val="center"/>
          </w:tcPr>
          <w:p w14:paraId="058CE0DD">
            <w:pPr>
              <w:widowControl/>
              <w:jc w:val="center"/>
              <w:textAlignment w:val="center"/>
              <w:rPr>
                <w:rFonts w:ascii="Arial" w:hAnsi="Arial" w:cs="Arial"/>
                <w:bCs/>
                <w:color w:val="000000"/>
                <w:kern w:val="0"/>
                <w:sz w:val="24"/>
              </w:rPr>
            </w:pPr>
          </w:p>
        </w:tc>
        <w:tc>
          <w:tcPr>
            <w:tcW w:w="2948" w:type="pct"/>
            <w:tcBorders>
              <w:top w:val="single" w:color="auto" w:sz="4" w:space="0"/>
              <w:left w:val="single" w:color="auto" w:sz="4" w:space="0"/>
              <w:bottom w:val="single" w:color="auto" w:sz="4" w:space="0"/>
              <w:right w:val="single" w:color="auto" w:sz="4" w:space="0"/>
            </w:tcBorders>
          </w:tcPr>
          <w:p w14:paraId="68B376EF">
            <w:pPr>
              <w:widowControl/>
              <w:spacing w:line="440" w:lineRule="exact"/>
              <w:jc w:val="left"/>
              <w:textAlignment w:val="center"/>
              <w:rPr>
                <w:rFonts w:ascii="宋体" w:hAnsi="宋体"/>
                <w:bCs/>
              </w:rPr>
            </w:pPr>
            <w:r>
              <w:rPr>
                <w:rFonts w:hint="eastAsia" w:ascii="宋体" w:hAnsi="宋体"/>
                <w:bCs/>
              </w:rPr>
              <w:t>1、主要参数</w:t>
            </w:r>
          </w:p>
          <w:p w14:paraId="47E698C6">
            <w:pPr>
              <w:widowControl/>
              <w:spacing w:line="440" w:lineRule="exact"/>
              <w:jc w:val="left"/>
              <w:textAlignment w:val="center"/>
              <w:rPr>
                <w:rFonts w:hint="default" w:ascii="宋体" w:hAnsi="宋体" w:eastAsia="宋体"/>
                <w:bCs/>
                <w:lang w:val="en-US" w:eastAsia="zh-CN"/>
              </w:rPr>
            </w:pPr>
            <w:r>
              <w:rPr>
                <w:rFonts w:hint="eastAsia" w:ascii="宋体" w:hAnsi="宋体"/>
                <w:bCs/>
              </w:rPr>
              <w:t>梯种:</w:t>
            </w:r>
            <w:r>
              <w:rPr>
                <w:rFonts w:hint="eastAsia" w:ascii="宋体" w:hAnsi="宋体"/>
                <w:bCs/>
                <w:lang w:val="en-US" w:eastAsia="zh-CN"/>
              </w:rPr>
              <w:t>1部</w:t>
            </w:r>
            <w:r>
              <w:rPr>
                <w:rFonts w:hint="eastAsia" w:ascii="宋体" w:hAnsi="宋体"/>
                <w:bCs/>
              </w:rPr>
              <w:t>医</w:t>
            </w:r>
            <w:r>
              <w:rPr>
                <w:rFonts w:hint="eastAsia" w:ascii="宋体" w:hAnsi="宋体"/>
                <w:bCs/>
                <w:lang w:val="en-US" w:eastAsia="zh-CN"/>
              </w:rPr>
              <w:t>护</w:t>
            </w:r>
            <w:r>
              <w:rPr>
                <w:rFonts w:hint="eastAsia" w:ascii="宋体" w:hAnsi="宋体"/>
                <w:bCs/>
              </w:rPr>
              <w:t>电梯</w:t>
            </w:r>
            <w:r>
              <w:rPr>
                <w:rFonts w:hint="eastAsia" w:ascii="宋体" w:hAnsi="宋体"/>
                <w:bCs/>
                <w:lang w:eastAsia="zh-CN"/>
              </w:rPr>
              <w:t>、</w:t>
            </w:r>
            <w:r>
              <w:rPr>
                <w:rFonts w:hint="eastAsia" w:ascii="宋体" w:hAnsi="宋体"/>
                <w:bCs/>
                <w:lang w:val="en-US" w:eastAsia="zh-CN"/>
              </w:rPr>
              <w:t>1部污梯</w:t>
            </w:r>
          </w:p>
          <w:p w14:paraId="747FB79F">
            <w:pPr>
              <w:widowControl/>
              <w:spacing w:line="440" w:lineRule="exact"/>
              <w:jc w:val="left"/>
              <w:textAlignment w:val="center"/>
              <w:rPr>
                <w:rFonts w:ascii="宋体" w:hAnsi="宋体"/>
                <w:bCs/>
              </w:rPr>
            </w:pPr>
            <w:bookmarkStart w:id="0" w:name="OLE_LINK1"/>
            <w:r>
              <w:rPr>
                <w:rFonts w:hint="eastAsia" w:ascii="宋体" w:hAnsi="宋体"/>
                <w:bCs/>
              </w:rPr>
              <w:t>额定载重:1600公斤;速度:≥1.5m/s;停站数:</w:t>
            </w:r>
            <w:r>
              <w:rPr>
                <w:rFonts w:hint="eastAsia" w:ascii="宋体" w:hAnsi="宋体"/>
                <w:bCs/>
                <w:lang w:val="en-US" w:eastAsia="zh-CN"/>
              </w:rPr>
              <w:t>4</w:t>
            </w:r>
            <w:r>
              <w:rPr>
                <w:rFonts w:hint="eastAsia" w:ascii="宋体" w:hAnsi="宋体"/>
                <w:bCs/>
              </w:rPr>
              <w:t>/</w:t>
            </w:r>
            <w:r>
              <w:rPr>
                <w:rFonts w:hint="eastAsia" w:ascii="宋体" w:hAnsi="宋体"/>
                <w:bCs/>
                <w:lang w:val="en-US" w:eastAsia="zh-CN"/>
              </w:rPr>
              <w:t>4</w:t>
            </w:r>
            <w:r>
              <w:rPr>
                <w:rFonts w:hint="eastAsia" w:ascii="宋体" w:hAnsi="宋体"/>
                <w:bCs/>
              </w:rPr>
              <w:t>/</w:t>
            </w:r>
            <w:r>
              <w:rPr>
                <w:rFonts w:hint="eastAsia" w:ascii="宋体" w:hAnsi="宋体"/>
                <w:bCs/>
                <w:lang w:val="en-US" w:eastAsia="zh-CN"/>
              </w:rPr>
              <w:t>4</w:t>
            </w:r>
            <w:r>
              <w:rPr>
                <w:rFonts w:hint="eastAsia" w:ascii="宋体" w:hAnsi="宋体"/>
                <w:bCs/>
              </w:rPr>
              <w:t>;开门方式:旁开门停站站序按实际停站数停靠;顶层高度:4</w:t>
            </w:r>
            <w:r>
              <w:rPr>
                <w:rFonts w:hint="eastAsia" w:ascii="宋体" w:hAnsi="宋体"/>
                <w:bCs/>
                <w:lang w:val="en-US" w:eastAsia="zh-CN"/>
              </w:rPr>
              <w:t>4</w:t>
            </w:r>
            <w:r>
              <w:rPr>
                <w:rFonts w:hint="eastAsia" w:ascii="宋体" w:hAnsi="宋体"/>
                <w:bCs/>
              </w:rPr>
              <w:t>00m</w:t>
            </w:r>
            <w:r>
              <w:rPr>
                <w:rFonts w:ascii="宋体" w:hAnsi="宋体"/>
                <w:bCs/>
              </w:rPr>
              <w:t>m</w:t>
            </w:r>
          </w:p>
          <w:p w14:paraId="62B44AD7">
            <w:pPr>
              <w:widowControl/>
              <w:spacing w:line="440" w:lineRule="exact"/>
              <w:jc w:val="left"/>
              <w:textAlignment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机房位置:</w:t>
            </w:r>
            <w:r>
              <w:rPr>
                <w:rFonts w:hint="eastAsia" w:ascii="宋体" w:hAnsi="宋体"/>
                <w:bCs/>
                <w:color w:val="000000" w:themeColor="text1"/>
                <w:lang w:val="en-US" w:eastAsia="zh-CN"/>
                <w14:textFill>
                  <w14:solidFill>
                    <w14:schemeClr w14:val="tx1"/>
                  </w14:solidFill>
                </w14:textFill>
              </w:rPr>
              <w:t>井道顶部</w:t>
            </w:r>
            <w:r>
              <w:rPr>
                <w:rFonts w:hint="eastAsia" w:ascii="宋体" w:hAnsi="宋体"/>
                <w:bCs/>
                <w:color w:val="000000" w:themeColor="text1"/>
                <w14:textFill>
                  <w14:solidFill>
                    <w14:schemeClr w14:val="tx1"/>
                  </w14:solidFill>
                </w14:textFill>
              </w:rPr>
              <w:t>;底坑深度:</w:t>
            </w:r>
            <w:r>
              <w:rPr>
                <w:rFonts w:hint="eastAsia" w:ascii="宋体" w:hAnsi="宋体"/>
                <w:bCs/>
                <w:color w:val="000000" w:themeColor="text1"/>
                <w:lang w:val="en-US" w:eastAsia="zh-CN"/>
                <w14:textFill>
                  <w14:solidFill>
                    <w14:schemeClr w14:val="tx1"/>
                  </w14:solidFill>
                </w14:textFill>
              </w:rPr>
              <w:t>2000</w:t>
            </w:r>
            <w:r>
              <w:rPr>
                <w:rFonts w:hint="eastAsia" w:ascii="宋体" w:hAnsi="宋体"/>
                <w:bCs/>
                <w:color w:val="000000" w:themeColor="text1"/>
                <w14:textFill>
                  <w14:solidFill>
                    <w14:schemeClr w14:val="tx1"/>
                  </w14:solidFill>
                </w14:textFill>
              </w:rPr>
              <w:t>m</w:t>
            </w:r>
            <w:r>
              <w:rPr>
                <w:rFonts w:ascii="宋体" w:hAnsi="宋体"/>
                <w:bCs/>
                <w:color w:val="000000" w:themeColor="text1"/>
                <w14:textFill>
                  <w14:solidFill>
                    <w14:schemeClr w14:val="tx1"/>
                  </w14:solidFill>
                </w14:textFill>
              </w:rPr>
              <w:t>m</w:t>
            </w:r>
            <w:r>
              <w:rPr>
                <w:rFonts w:hint="eastAsia" w:ascii="宋体" w:hAnsi="宋体"/>
                <w:bCs/>
                <w:color w:val="000000" w:themeColor="text1"/>
                <w14:textFill>
                  <w14:solidFill>
                    <w14:schemeClr w14:val="tx1"/>
                  </w14:solidFill>
                </w14:textFill>
              </w:rPr>
              <w:t>;提升高度:1</w:t>
            </w:r>
            <w:r>
              <w:rPr>
                <w:rFonts w:hint="eastAsia" w:ascii="宋体" w:hAnsi="宋体"/>
                <w:bCs/>
                <w:color w:val="000000" w:themeColor="text1"/>
                <w:lang w:val="en-US" w:eastAsia="zh-CN"/>
                <w14:textFill>
                  <w14:solidFill>
                    <w14:schemeClr w14:val="tx1"/>
                  </w14:solidFill>
                </w14:textFill>
              </w:rPr>
              <w:t>26</w:t>
            </w:r>
            <w:r>
              <w:rPr>
                <w:rFonts w:hint="eastAsia" w:ascii="宋体" w:hAnsi="宋体"/>
                <w:bCs/>
                <w:color w:val="000000" w:themeColor="text1"/>
                <w14:textFill>
                  <w14:solidFill>
                    <w14:schemeClr w14:val="tx1"/>
                  </w14:solidFill>
                </w14:textFill>
              </w:rPr>
              <w:t>00</w:t>
            </w:r>
            <w:r>
              <w:rPr>
                <w:rFonts w:ascii="宋体" w:hAnsi="宋体"/>
                <w:bCs/>
                <w:color w:val="000000" w:themeColor="text1"/>
                <w14:textFill>
                  <w14:solidFill>
                    <w14:schemeClr w14:val="tx1"/>
                  </w14:solidFill>
                </w14:textFill>
              </w:rPr>
              <w:t>mm</w:t>
            </w:r>
            <w:r>
              <w:rPr>
                <w:rFonts w:hint="eastAsia" w:ascii="宋体" w:hAnsi="宋体"/>
                <w:bCs/>
                <w:color w:val="000000" w:themeColor="text1"/>
                <w14:textFill>
                  <w14:solidFill>
                    <w14:schemeClr w14:val="tx1"/>
                  </w14:solidFill>
                </w14:textFill>
              </w:rPr>
              <w:t>:</w:t>
            </w:r>
          </w:p>
          <w:p w14:paraId="39A81284">
            <w:pPr>
              <w:widowControl/>
              <w:spacing w:line="440" w:lineRule="exact"/>
              <w:jc w:val="left"/>
              <w:textAlignment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井道净尺寸要求(宽x深)mm:2</w:t>
            </w:r>
            <w:r>
              <w:rPr>
                <w:rFonts w:hint="eastAsia" w:ascii="宋体" w:hAnsi="宋体"/>
                <w:bCs/>
                <w:color w:val="000000" w:themeColor="text1"/>
                <w:lang w:val="en-US" w:eastAsia="zh-CN"/>
                <w14:textFill>
                  <w14:solidFill>
                    <w14:schemeClr w14:val="tx1"/>
                  </w14:solidFill>
                </w14:textFill>
              </w:rPr>
              <w:t>8</w:t>
            </w:r>
            <w:r>
              <w:rPr>
                <w:rFonts w:hint="eastAsia" w:ascii="宋体" w:hAnsi="宋体"/>
                <w:bCs/>
                <w:color w:val="000000" w:themeColor="text1"/>
                <w14:textFill>
                  <w14:solidFill>
                    <w14:schemeClr w14:val="tx1"/>
                  </w14:solidFill>
                </w14:textFill>
              </w:rPr>
              <w:t>00mmx</w:t>
            </w:r>
            <w:r>
              <w:rPr>
                <w:rFonts w:hint="eastAsia" w:ascii="宋体" w:hAnsi="宋体"/>
                <w:bCs/>
                <w:color w:val="000000" w:themeColor="text1"/>
                <w:lang w:val="en-US" w:eastAsia="zh-CN"/>
                <w14:textFill>
                  <w14:solidFill>
                    <w14:schemeClr w14:val="tx1"/>
                  </w14:solidFill>
                </w14:textFill>
              </w:rPr>
              <w:t>43</w:t>
            </w:r>
            <w:r>
              <w:rPr>
                <w:rFonts w:hint="eastAsia" w:ascii="宋体" w:hAnsi="宋体"/>
                <w:bCs/>
                <w:color w:val="000000" w:themeColor="text1"/>
                <w14:textFill>
                  <w14:solidFill>
                    <w14:schemeClr w14:val="tx1"/>
                  </w14:solidFill>
                </w14:textFill>
              </w:rPr>
              <w:t>00mm</w:t>
            </w:r>
          </w:p>
          <w:p w14:paraId="7FDB27D1">
            <w:pPr>
              <w:widowControl/>
              <w:spacing w:line="440" w:lineRule="exact"/>
              <w:jc w:val="left"/>
              <w:textAlignment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开门净尺寸要求(宽x高)mm:1200</w:t>
            </w:r>
            <w:r>
              <w:rPr>
                <w:rFonts w:ascii="宋体" w:hAnsi="宋体"/>
                <w:bCs/>
                <w:color w:val="000000" w:themeColor="text1"/>
                <w14:textFill>
                  <w14:solidFill>
                    <w14:schemeClr w14:val="tx1"/>
                  </w14:solidFill>
                </w14:textFill>
              </w:rPr>
              <w:t>mm</w:t>
            </w:r>
            <w:r>
              <w:rPr>
                <w:rFonts w:hint="eastAsia" w:ascii="宋体" w:hAnsi="宋体"/>
                <w:bCs/>
                <w:color w:val="000000" w:themeColor="text1"/>
                <w14:textFill>
                  <w14:solidFill>
                    <w14:schemeClr w14:val="tx1"/>
                  </w14:solidFill>
                </w14:textFill>
              </w:rPr>
              <w:t>x2100mm</w:t>
            </w:r>
          </w:p>
          <w:p w14:paraId="15938346">
            <w:pPr>
              <w:widowControl/>
              <w:spacing w:line="440" w:lineRule="exact"/>
              <w:jc w:val="left"/>
              <w:textAlignment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轿厢净尺寸要求(宽x深x高)m:1400</w:t>
            </w:r>
            <w:r>
              <w:rPr>
                <w:rFonts w:ascii="宋体" w:hAnsi="宋体"/>
                <w:bCs/>
                <w:color w:val="000000" w:themeColor="text1"/>
                <w14:textFill>
                  <w14:solidFill>
                    <w14:schemeClr w14:val="tx1"/>
                  </w14:solidFill>
                </w14:textFill>
              </w:rPr>
              <w:t>mm</w:t>
            </w:r>
            <w:r>
              <w:rPr>
                <w:rFonts w:hint="eastAsia" w:ascii="宋体" w:hAnsi="宋体"/>
                <w:bCs/>
                <w:color w:val="000000" w:themeColor="text1"/>
                <w14:textFill>
                  <w14:solidFill>
                    <w14:schemeClr w14:val="tx1"/>
                  </w14:solidFill>
                </w14:textFill>
              </w:rPr>
              <w:t>x2400</w:t>
            </w:r>
            <w:r>
              <w:rPr>
                <w:rFonts w:ascii="宋体" w:hAnsi="宋体"/>
                <w:bCs/>
                <w:color w:val="000000" w:themeColor="text1"/>
                <w14:textFill>
                  <w14:solidFill>
                    <w14:schemeClr w14:val="tx1"/>
                  </w14:solidFill>
                </w14:textFill>
              </w:rPr>
              <w:t>mm</w:t>
            </w:r>
            <w:r>
              <w:rPr>
                <w:rFonts w:hint="eastAsia" w:ascii="宋体" w:hAnsi="宋体"/>
                <w:bCs/>
                <w:color w:val="000000" w:themeColor="text1"/>
                <w14:textFill>
                  <w14:solidFill>
                    <w14:schemeClr w14:val="tx1"/>
                  </w14:solidFill>
                </w14:textFill>
              </w:rPr>
              <w:t>x2</w:t>
            </w:r>
            <w:r>
              <w:rPr>
                <w:rFonts w:hint="eastAsia" w:ascii="宋体" w:hAnsi="宋体"/>
                <w:bCs/>
                <w:color w:val="000000" w:themeColor="text1"/>
                <w:lang w:val="en-US" w:eastAsia="zh-CN"/>
                <w14:textFill>
                  <w14:solidFill>
                    <w14:schemeClr w14:val="tx1"/>
                  </w14:solidFill>
                </w14:textFill>
              </w:rPr>
              <w:t>400</w:t>
            </w:r>
            <w:r>
              <w:rPr>
                <w:rFonts w:hint="eastAsia" w:ascii="宋体" w:hAnsi="宋体"/>
                <w:bCs/>
                <w:color w:val="000000" w:themeColor="text1"/>
                <w14:textFill>
                  <w14:solidFill>
                    <w14:schemeClr w14:val="tx1"/>
                  </w14:solidFill>
                </w14:textFill>
              </w:rPr>
              <w:t>mm</w:t>
            </w:r>
          </w:p>
          <w:p w14:paraId="571FE221">
            <w:pPr>
              <w:widowControl/>
              <w:spacing w:line="440" w:lineRule="exact"/>
              <w:jc w:val="left"/>
              <w:textAlignment w:val="center"/>
              <w:rPr>
                <w:rFonts w:hint="default" w:ascii="宋体" w:hAnsi="宋体" w:eastAsia="宋体"/>
                <w:bCs/>
                <w:lang w:val="en-US" w:eastAsia="zh-CN"/>
              </w:rPr>
            </w:pPr>
            <w:r>
              <w:rPr>
                <w:rFonts w:hint="eastAsia" w:ascii="宋体" w:hAnsi="宋体"/>
                <w:bCs/>
              </w:rPr>
              <w:t>以上井道尺寸以现场实勘为准。</w:t>
            </w:r>
            <w:r>
              <w:rPr>
                <w:rFonts w:hint="eastAsia" w:ascii="宋体" w:hAnsi="宋体"/>
                <w:bCs/>
                <w:lang w:val="en-US" w:eastAsia="zh-CN"/>
              </w:rPr>
              <w:t>需</w:t>
            </w:r>
            <w:r>
              <w:rPr>
                <w:rFonts w:hint="eastAsia" w:ascii="宋体" w:hAnsi="宋体"/>
                <w:bCs/>
                <w:color w:val="000000" w:themeColor="text1"/>
                <w14:textFill>
                  <w14:solidFill>
                    <w14:schemeClr w14:val="tx1"/>
                  </w14:solidFill>
                </w14:textFill>
              </w:rPr>
              <w:t>现场实勘</w:t>
            </w:r>
            <w:r>
              <w:rPr>
                <w:rFonts w:hint="eastAsia" w:ascii="宋体" w:hAnsi="宋体"/>
                <w:bCs/>
                <w:color w:val="000000" w:themeColor="text1"/>
                <w:lang w:val="en-US" w:eastAsia="zh-CN"/>
                <w14:textFill>
                  <w14:solidFill>
                    <w14:schemeClr w14:val="tx1"/>
                  </w14:solidFill>
                </w14:textFill>
              </w:rPr>
              <w:t>，无</w:t>
            </w:r>
            <w:r>
              <w:rPr>
                <w:rFonts w:hint="eastAsia" w:ascii="宋体" w:hAnsi="宋体"/>
                <w:bCs/>
                <w:color w:val="000000" w:themeColor="text1"/>
                <w14:textFill>
                  <w14:solidFill>
                    <w14:schemeClr w14:val="tx1"/>
                  </w14:solidFill>
                </w14:textFill>
              </w:rPr>
              <w:t>现场实勘</w:t>
            </w:r>
            <w:r>
              <w:rPr>
                <w:rFonts w:hint="eastAsia" w:ascii="宋体" w:hAnsi="宋体"/>
                <w:bCs/>
                <w:color w:val="000000" w:themeColor="text1"/>
                <w:lang w:val="en-US" w:eastAsia="zh-CN"/>
                <w14:textFill>
                  <w14:solidFill>
                    <w14:schemeClr w14:val="tx1"/>
                  </w14:solidFill>
                </w14:textFill>
              </w:rPr>
              <w:t>记录报价无效。</w:t>
            </w:r>
          </w:p>
          <w:bookmarkEnd w:id="0"/>
          <w:p w14:paraId="7D32F3B0">
            <w:pPr>
              <w:widowControl/>
              <w:spacing w:line="440" w:lineRule="exact"/>
              <w:jc w:val="left"/>
              <w:textAlignment w:val="center"/>
              <w:rPr>
                <w:rFonts w:ascii="宋体" w:hAnsi="宋体"/>
                <w:bCs/>
              </w:rPr>
            </w:pPr>
            <w:r>
              <w:rPr>
                <w:rFonts w:hint="eastAsia" w:ascii="宋体" w:hAnsi="宋体"/>
                <w:bCs/>
              </w:rPr>
              <w:t>2、技术要求</w:t>
            </w:r>
          </w:p>
          <w:p w14:paraId="26BB8FC4">
            <w:pPr>
              <w:widowControl/>
              <w:spacing w:line="440" w:lineRule="exact"/>
              <w:jc w:val="left"/>
              <w:textAlignment w:val="center"/>
              <w:rPr>
                <w:rFonts w:ascii="宋体" w:hAnsi="宋体"/>
                <w:bCs/>
              </w:rPr>
            </w:pPr>
            <w:r>
              <w:rPr>
                <w:rFonts w:hint="eastAsia" w:ascii="宋体" w:hAnsi="宋体"/>
                <w:bCs/>
              </w:rPr>
              <w:t>A、拖动及控制系统:电梯原厂同品牌双32位智能数字化电脑控制，一体机，控制柜承受额定电压三相380V士20%进行供电时，轿厢速度合理，防护等级不低于IP41。(提供国家认证、认可的第三方检测机构出具的检测报告或型式试验报告复印件)。</w:t>
            </w:r>
          </w:p>
          <w:p w14:paraId="04870A2E">
            <w:pPr>
              <w:widowControl/>
              <w:spacing w:line="440" w:lineRule="exact"/>
              <w:jc w:val="left"/>
              <w:textAlignment w:val="center"/>
              <w:rPr>
                <w:rFonts w:ascii="宋体" w:hAnsi="宋体"/>
                <w:bCs/>
              </w:rPr>
            </w:pPr>
            <w:r>
              <w:rPr>
                <w:rFonts w:hint="eastAsia" w:ascii="宋体" w:hAnsi="宋体"/>
                <w:bCs/>
              </w:rPr>
              <w:t>B、曳引机:电梯原厂同品牌永磁同步无齿轮曳引机，节省能源，无需更换油脂，宁静清爽;制动器稳定可靠。曳引机获得中国节能产品认证证书。(提供国家认证、认可的第三方检测机构出具的检测报告或型式试验报告复印件)。</w:t>
            </w:r>
          </w:p>
          <w:p w14:paraId="4B9E2E1F">
            <w:pPr>
              <w:widowControl/>
              <w:spacing w:line="440" w:lineRule="exact"/>
              <w:jc w:val="left"/>
              <w:textAlignment w:val="center"/>
              <w:rPr>
                <w:rFonts w:ascii="宋体" w:hAnsi="宋体"/>
                <w:bCs/>
              </w:rPr>
            </w:pPr>
            <w:r>
              <w:rPr>
                <w:rFonts w:hint="eastAsia" w:ascii="宋体" w:hAnsi="宋体"/>
                <w:bCs/>
              </w:rPr>
              <w:t>C、门系统:电梯原厂同品牌门机，电梯原厂同品牌轿门门锁具有≥1500万次无故障运行能力;层门门锁在≥1500万次循环操作后无变形、无断裂风险。(提供国家认证、认可的第三方检测机构出具的检测报告或型式试验报告复印件)。</w:t>
            </w:r>
          </w:p>
          <w:p w14:paraId="0E5C49EF">
            <w:pPr>
              <w:widowControl/>
              <w:spacing w:line="440" w:lineRule="exact"/>
              <w:jc w:val="left"/>
              <w:textAlignment w:val="center"/>
              <w:rPr>
                <w:rFonts w:ascii="宋体" w:hAnsi="宋体"/>
                <w:bCs/>
              </w:rPr>
            </w:pPr>
            <w:r>
              <w:rPr>
                <w:rFonts w:hint="eastAsia" w:ascii="宋体" w:hAnsi="宋体"/>
                <w:bCs/>
              </w:rPr>
              <w:t>★D、防腐性能;轿厢围壁材料、导轨支架、缓冲器底座等部件防腐性能优良、使用寿命长，导轨支架、缓冲器底座性能评级达RP/RA:10/10级。(提供国家认证、认可的第三方检测机构出具的检测报告或型式试验报告复印件)。</w:t>
            </w:r>
          </w:p>
          <w:p w14:paraId="058D142B">
            <w:pPr>
              <w:widowControl/>
              <w:spacing w:line="440" w:lineRule="exact"/>
              <w:jc w:val="left"/>
              <w:textAlignment w:val="center"/>
              <w:rPr>
                <w:rFonts w:ascii="宋体" w:hAnsi="宋体"/>
                <w:bCs/>
              </w:rPr>
            </w:pPr>
            <w:r>
              <w:rPr>
                <w:rFonts w:hint="eastAsia" w:ascii="宋体" w:hAnsi="宋体"/>
                <w:bCs/>
              </w:rPr>
              <w:t>E、门保护(光幕):电梯原厂同品牌光幕门保护系统，光束≥194 束，耐高压;防护等级好。(提供国家认证、认可的第三方检测机</w:t>
            </w:r>
            <w:bookmarkStart w:id="1" w:name="_GoBack"/>
            <w:bookmarkEnd w:id="1"/>
            <w:r>
              <w:rPr>
                <w:rFonts w:hint="eastAsia" w:ascii="宋体" w:hAnsi="宋体"/>
                <w:bCs/>
              </w:rPr>
              <w:t>构出具的检测报告或型式试验报告复印件)。</w:t>
            </w:r>
          </w:p>
          <w:p w14:paraId="104B6DE5">
            <w:pPr>
              <w:widowControl/>
              <w:spacing w:line="440" w:lineRule="exact"/>
              <w:jc w:val="left"/>
              <w:textAlignment w:val="center"/>
              <w:rPr>
                <w:rFonts w:ascii="宋体" w:hAnsi="宋体"/>
                <w:bCs/>
              </w:rPr>
            </w:pPr>
            <w:r>
              <w:rPr>
                <w:rFonts w:hint="eastAsia" w:ascii="宋体" w:hAnsi="宋体"/>
                <w:bCs/>
              </w:rPr>
              <w:t>F、曳引钢丝绳:悬挂比(绕绳比)为2:1。(提供国家认证、认可的第三方检测机构出具的检测报告或型式试验报告复印件)。</w:t>
            </w:r>
          </w:p>
          <w:p w14:paraId="38C3AD7A">
            <w:pPr>
              <w:widowControl/>
              <w:spacing w:line="440" w:lineRule="exact"/>
              <w:jc w:val="left"/>
              <w:textAlignment w:val="center"/>
              <w:rPr>
                <w:rFonts w:ascii="宋体" w:hAnsi="宋体"/>
                <w:bCs/>
              </w:rPr>
            </w:pPr>
            <w:r>
              <w:rPr>
                <w:rFonts w:hint="eastAsia" w:ascii="宋体" w:hAnsi="宋体"/>
                <w:bCs/>
              </w:rPr>
              <w:t>★G、安全部件:限速器、安全钳、缓冲器要求电梯原厂同品牌，寿命长(提供安全部件(安全钳、缓冲器、限速器)模拟30年寿命报告)，可靠性强;上行超速保护装置、轿厢意外移动保护装置、安全电路:要求电梯原厂同品牌,上行超速保护装置(制动器)具有可靠的制停性能，满足&gt;1500万次动作无故障运行。(提供国家认证、认可的第三方检测机构出具的检测报告或型式试验报告复印件)</w:t>
            </w:r>
          </w:p>
          <w:p w14:paraId="45E2FF81">
            <w:pPr>
              <w:widowControl/>
              <w:spacing w:line="440" w:lineRule="exact"/>
              <w:jc w:val="left"/>
              <w:textAlignment w:val="center"/>
              <w:rPr>
                <w:rFonts w:ascii="宋体" w:hAnsi="宋体"/>
                <w:bCs/>
              </w:rPr>
            </w:pPr>
            <w:r>
              <w:rPr>
                <w:rFonts w:hint="eastAsia" w:ascii="宋体" w:hAnsi="宋体"/>
                <w:bCs/>
              </w:rPr>
              <w:t>★H、轿顶接线盒、底坑入门急停盒具有一定的防护等级，满足项目施工复杂环境。(提供国家认证、认可的第三方检测机构出具的检测报告或型式试验报告复印件)。</w:t>
            </w:r>
          </w:p>
          <w:p w14:paraId="3070DE11">
            <w:pPr>
              <w:widowControl/>
              <w:spacing w:line="440" w:lineRule="exact"/>
              <w:jc w:val="left"/>
              <w:textAlignment w:val="center"/>
              <w:rPr>
                <w:rFonts w:ascii="宋体" w:hAnsi="宋体"/>
                <w:bCs/>
              </w:rPr>
            </w:pPr>
            <w:r>
              <w:rPr>
                <w:rFonts w:hint="eastAsia" w:ascii="宋体" w:hAnsi="宋体"/>
                <w:bCs/>
              </w:rPr>
              <w:t>远程监控(物联网)</w:t>
            </w:r>
          </w:p>
          <w:p w14:paraId="750402B9">
            <w:pPr>
              <w:widowControl/>
              <w:spacing w:line="440" w:lineRule="exact"/>
              <w:jc w:val="left"/>
              <w:textAlignment w:val="center"/>
              <w:rPr>
                <w:rFonts w:ascii="宋体" w:hAnsi="宋体"/>
                <w:bCs/>
              </w:rPr>
            </w:pPr>
            <w:r>
              <w:rPr>
                <w:rFonts w:hint="eastAsia" w:ascii="宋体" w:hAnsi="宋体"/>
                <w:bCs/>
              </w:rPr>
              <w:t>I、通风系统:配置轿厢横流风扇和轿厢紫外线杀菌功能，具有低噪音。(提供国家认证、认可的第三方检测机构出具的横流风扇负离子杀菌检测报告或型式试验报告复印件)。</w:t>
            </w:r>
          </w:p>
          <w:p w14:paraId="35E9572A">
            <w:pPr>
              <w:widowControl/>
              <w:spacing w:line="440" w:lineRule="exact"/>
              <w:jc w:val="left"/>
              <w:textAlignment w:val="center"/>
              <w:rPr>
                <w:rFonts w:ascii="宋体" w:hAnsi="宋体"/>
                <w:bCs/>
              </w:rPr>
            </w:pPr>
            <w:r>
              <w:rPr>
                <w:rFonts w:hint="eastAsia" w:ascii="宋体" w:hAnsi="宋体"/>
                <w:bCs/>
              </w:rPr>
              <w:t>J、轿厢内操作按钮和楼层外呼轿按钮：面板材质为304发纹不锈钢，操作灵活，美观可靠，机械和电气寿命≥</w:t>
            </w:r>
            <w:r>
              <w:rPr>
                <w:rFonts w:ascii="宋体" w:hAnsi="宋体"/>
                <w:bCs/>
              </w:rPr>
              <w:t>3000</w:t>
            </w:r>
            <w:r>
              <w:rPr>
                <w:rFonts w:hint="eastAsia" w:ascii="宋体" w:hAnsi="宋体"/>
                <w:bCs/>
              </w:rPr>
              <w:t>万次，耐冲击（满足T/CEA 0012—2020要求）。(提供国家认证、认可的第三方检测机构出具的检测报告或型式试验报告复印件)。</w:t>
            </w:r>
          </w:p>
          <w:p w14:paraId="53C1A5B9">
            <w:pPr>
              <w:widowControl/>
              <w:spacing w:line="440" w:lineRule="exact"/>
              <w:jc w:val="left"/>
              <w:textAlignment w:val="center"/>
              <w:rPr>
                <w:rFonts w:ascii="宋体" w:hAnsi="宋体"/>
                <w:bCs/>
              </w:rPr>
            </w:pPr>
            <w:r>
              <w:rPr>
                <w:rFonts w:hint="eastAsia" w:ascii="宋体" w:hAnsi="宋体"/>
                <w:bCs/>
              </w:rPr>
              <w:t>K、整部电梯具有低故障率、高稳定性、高舒适性等特点，电磁兼容性强且通过相关认证，满足连续运行试验方案国标要求。(提供国家认证、认可的第三方检测机构出具的控制柜EMC电子证书复印件)。</w:t>
            </w:r>
          </w:p>
          <w:p w14:paraId="695E51B6">
            <w:pPr>
              <w:widowControl/>
              <w:spacing w:line="440" w:lineRule="exact"/>
              <w:jc w:val="left"/>
              <w:textAlignment w:val="center"/>
              <w:rPr>
                <w:rFonts w:ascii="宋体" w:hAnsi="宋体"/>
                <w:bCs/>
              </w:rPr>
            </w:pPr>
            <w:r>
              <w:rPr>
                <w:rFonts w:hint="eastAsia" w:ascii="宋体" w:hAnsi="宋体"/>
                <w:bCs/>
              </w:rPr>
              <w:t>L、电梯操纵盘和外呼盒具有不低于IP54防护等级，操纵盘和外呼盒显示屏具有防锤击能力（满足GB/T 2423.3-2016 &amp; GB/T 2423.17-2008）。(提供国家认证、认可的第三方检测机构出具的检测报告或型式</w:t>
            </w:r>
          </w:p>
          <w:p w14:paraId="130A7654">
            <w:pPr>
              <w:widowControl/>
              <w:spacing w:line="440" w:lineRule="exact"/>
              <w:jc w:val="left"/>
              <w:textAlignment w:val="center"/>
              <w:rPr>
                <w:rFonts w:ascii="宋体" w:hAnsi="宋体"/>
                <w:bCs/>
              </w:rPr>
            </w:pPr>
            <w:r>
              <w:rPr>
                <w:rFonts w:hint="eastAsia" w:ascii="宋体" w:hAnsi="宋体"/>
                <w:bCs/>
              </w:rPr>
              <w:t>M、电梯应配备符合要求的应急电源，确保在主电源故障时能够迅速投入使用，使电梯安全运行至最近一层并开门。</w:t>
            </w:r>
          </w:p>
          <w:p w14:paraId="415607E7">
            <w:pPr>
              <w:widowControl/>
              <w:spacing w:line="440" w:lineRule="exact"/>
              <w:jc w:val="left"/>
              <w:textAlignment w:val="center"/>
            </w:pPr>
            <w:r>
              <w:rPr>
                <w:rFonts w:hint="eastAsia" w:ascii="宋体" w:hAnsi="宋体"/>
                <w:bCs/>
              </w:rPr>
              <w:t>N、停电恢复自动校正:电梯在电力中断后恢复正常运行的关键机制，需兼顾安全性与效率。试验报告复印件)。</w:t>
            </w:r>
          </w:p>
          <w:p w14:paraId="529C3BFD">
            <w:pPr>
              <w:widowControl/>
              <w:spacing w:line="440" w:lineRule="exact"/>
              <w:jc w:val="left"/>
              <w:textAlignment w:val="center"/>
              <w:rPr>
                <w:rFonts w:ascii="宋体" w:hAnsi="宋体"/>
                <w:bCs/>
              </w:rPr>
            </w:pPr>
            <w:r>
              <w:rPr>
                <w:rFonts w:hint="eastAsia" w:ascii="宋体" w:hAnsi="宋体"/>
                <w:bCs/>
              </w:rPr>
              <w:t>3、厅门系统</w:t>
            </w:r>
          </w:p>
          <w:p w14:paraId="4EB63CB7">
            <w:pPr>
              <w:widowControl/>
              <w:spacing w:line="440" w:lineRule="exact"/>
              <w:jc w:val="left"/>
              <w:textAlignment w:val="center"/>
              <w:rPr>
                <w:rFonts w:ascii="宋体" w:hAnsi="宋体"/>
                <w:bCs/>
              </w:rPr>
            </w:pPr>
            <w:r>
              <w:rPr>
                <w:rFonts w:hint="eastAsia" w:ascii="宋体" w:hAnsi="宋体"/>
                <w:bCs/>
              </w:rPr>
              <w:t>层门及门套材料:所有层厚度&gt;1.2mm304发纹不锈钢，一体式，不接受复合不锈钢材质。</w:t>
            </w:r>
          </w:p>
          <w:p w14:paraId="40441039">
            <w:pPr>
              <w:widowControl/>
              <w:spacing w:line="440" w:lineRule="exact"/>
              <w:jc w:val="left"/>
              <w:textAlignment w:val="center"/>
              <w:rPr>
                <w:rFonts w:ascii="宋体" w:hAnsi="宋体"/>
                <w:bCs/>
              </w:rPr>
            </w:pPr>
            <w:r>
              <w:rPr>
                <w:rFonts w:hint="eastAsia" w:ascii="宋体" w:hAnsi="宋体"/>
                <w:bCs/>
              </w:rPr>
              <w:t>4、轿厢系统</w:t>
            </w:r>
          </w:p>
          <w:p w14:paraId="0E2F2916">
            <w:pPr>
              <w:widowControl/>
              <w:spacing w:line="440" w:lineRule="exact"/>
              <w:jc w:val="left"/>
              <w:textAlignment w:val="center"/>
              <w:rPr>
                <w:rFonts w:ascii="宋体" w:hAnsi="宋体"/>
                <w:bCs/>
              </w:rPr>
            </w:pPr>
            <w:r>
              <w:rPr>
                <w:rFonts w:hint="eastAsia" w:ascii="宋体" w:hAnsi="宋体"/>
                <w:bCs/>
              </w:rPr>
              <w:t>A、轿厢装饰要求:轿门、前壁均为厚度≥1.2mm304发纹不锈钢，后壁、两侧壁+后壁为厚度&gt;1.2mm304发纹不锈钢与镜面不锈钢组合。</w:t>
            </w:r>
          </w:p>
          <w:p w14:paraId="4247E451">
            <w:pPr>
              <w:widowControl/>
              <w:spacing w:line="440" w:lineRule="exact"/>
              <w:jc w:val="left"/>
              <w:textAlignment w:val="center"/>
              <w:rPr>
                <w:rFonts w:ascii="宋体" w:hAnsi="宋体"/>
                <w:bCs/>
              </w:rPr>
            </w:pPr>
            <w:r>
              <w:rPr>
                <w:rFonts w:hint="eastAsia" w:ascii="宋体" w:hAnsi="宋体"/>
                <w:bCs/>
              </w:rPr>
              <w:t>B、踢脚板:304发纹不锈钢。</w:t>
            </w:r>
          </w:p>
          <w:p w14:paraId="5B0EE186">
            <w:pPr>
              <w:widowControl/>
              <w:spacing w:line="440" w:lineRule="exact"/>
              <w:jc w:val="left"/>
              <w:textAlignment w:val="center"/>
              <w:rPr>
                <w:rFonts w:ascii="宋体" w:hAnsi="宋体"/>
                <w:bCs/>
              </w:rPr>
            </w:pPr>
            <w:r>
              <w:rPr>
                <w:rFonts w:hint="eastAsia" w:ascii="宋体" w:hAnsi="宋体"/>
                <w:bCs/>
              </w:rPr>
              <w:t>C、轿门地坎:硬质铝合金型材。</w:t>
            </w:r>
          </w:p>
          <w:p w14:paraId="64EEB34F">
            <w:pPr>
              <w:widowControl/>
              <w:spacing w:line="440" w:lineRule="exact"/>
              <w:jc w:val="left"/>
              <w:textAlignment w:val="center"/>
              <w:rPr>
                <w:rFonts w:ascii="宋体" w:hAnsi="宋体"/>
                <w:bCs/>
              </w:rPr>
            </w:pPr>
            <w:r>
              <w:rPr>
                <w:rFonts w:hint="eastAsia" w:ascii="宋体" w:hAnsi="宋体"/>
                <w:bCs/>
              </w:rPr>
              <w:t>D、袖壁板:304发纹不锈钢。</w:t>
            </w:r>
          </w:p>
          <w:p w14:paraId="3461D18A">
            <w:pPr>
              <w:widowControl/>
              <w:spacing w:line="440" w:lineRule="exact"/>
              <w:jc w:val="left"/>
              <w:textAlignment w:val="center"/>
              <w:rPr>
                <w:rFonts w:ascii="宋体" w:hAnsi="宋体"/>
                <w:bCs/>
              </w:rPr>
            </w:pPr>
            <w:r>
              <w:rPr>
                <w:rFonts w:hint="eastAsia" w:ascii="宋体" w:hAnsi="宋体"/>
                <w:bCs/>
              </w:rPr>
              <w:t>E、轿厢地面:PVC地板。</w:t>
            </w:r>
          </w:p>
          <w:p w14:paraId="27B06DEE">
            <w:pPr>
              <w:widowControl/>
              <w:spacing w:line="440" w:lineRule="exact"/>
              <w:jc w:val="left"/>
              <w:textAlignment w:val="center"/>
              <w:rPr>
                <w:rFonts w:ascii="宋体" w:hAnsi="宋体"/>
                <w:bCs/>
              </w:rPr>
            </w:pPr>
            <w:r>
              <w:rPr>
                <w:rFonts w:hint="eastAsia" w:ascii="宋体" w:hAnsi="宋体"/>
                <w:bCs/>
              </w:rPr>
              <w:t>F、轿厢召唤箱:发纹不锈钢面板，微动式圆形304不锈钢按钮，轿厢显示层站和运行方向。</w:t>
            </w:r>
          </w:p>
          <w:p w14:paraId="36761249">
            <w:pPr>
              <w:widowControl/>
              <w:spacing w:line="440" w:lineRule="exact"/>
              <w:jc w:val="left"/>
              <w:textAlignment w:val="center"/>
              <w:rPr>
                <w:rFonts w:ascii="宋体" w:hAnsi="宋体"/>
                <w:bCs/>
              </w:rPr>
            </w:pPr>
            <w:r>
              <w:rPr>
                <w:rFonts w:hint="eastAsia" w:ascii="宋体" w:hAnsi="宋体"/>
                <w:bCs/>
              </w:rPr>
              <w:t>G、轿厢位置指示器:彩色液晶显示。</w:t>
            </w:r>
          </w:p>
          <w:p w14:paraId="6AA857A7">
            <w:pPr>
              <w:widowControl/>
              <w:spacing w:line="440" w:lineRule="exact"/>
              <w:jc w:val="left"/>
              <w:textAlignment w:val="center"/>
              <w:rPr>
                <w:rFonts w:ascii="宋体" w:hAnsi="宋体"/>
                <w:bCs/>
              </w:rPr>
            </w:pPr>
            <w:r>
              <w:rPr>
                <w:rFonts w:hint="eastAsia" w:ascii="宋体" w:hAnsi="宋体"/>
                <w:bCs/>
              </w:rPr>
              <w:t>H、厅门召唤箱:抗指纹砂不锈钢面板，彩色液晶显示，显示层站和运行方向，微动式圆形304不锈钢按钮。</w:t>
            </w:r>
          </w:p>
          <w:p w14:paraId="57379967">
            <w:pPr>
              <w:widowControl/>
              <w:spacing w:line="440" w:lineRule="exact"/>
              <w:jc w:val="left"/>
              <w:textAlignment w:val="center"/>
              <w:rPr>
                <w:rFonts w:ascii="宋体" w:hAnsi="宋体"/>
                <w:bCs/>
              </w:rPr>
            </w:pPr>
            <w:r>
              <w:rPr>
                <w:rFonts w:hint="eastAsia" w:ascii="宋体" w:hAnsi="宋体"/>
                <w:bCs/>
              </w:rPr>
              <w:t>I、轿厢天花:豪华型大尺寸LED灯照明，经过防尘、无静电处理，304发纹不锈钢材质边框和亚克力组合。</w:t>
            </w:r>
          </w:p>
          <w:p w14:paraId="0B04E84D">
            <w:pPr>
              <w:widowControl/>
              <w:spacing w:line="440" w:lineRule="exact"/>
              <w:jc w:val="left"/>
              <w:textAlignment w:val="center"/>
              <w:rPr>
                <w:rFonts w:ascii="宋体" w:hAnsi="宋体"/>
                <w:bCs/>
              </w:rPr>
            </w:pPr>
            <w:r>
              <w:rPr>
                <w:rFonts w:hint="eastAsia" w:ascii="宋体" w:hAnsi="宋体"/>
                <w:bCs/>
              </w:rPr>
              <w:t>J、轿厢通风系统:轿顶风口送风。</w:t>
            </w:r>
          </w:p>
          <w:p w14:paraId="56508A51">
            <w:pPr>
              <w:widowControl/>
              <w:spacing w:line="440" w:lineRule="exact"/>
              <w:jc w:val="left"/>
              <w:textAlignment w:val="center"/>
              <w:rPr>
                <w:rFonts w:ascii="宋体" w:hAnsi="宋体"/>
                <w:bCs/>
              </w:rPr>
            </w:pPr>
            <w:r>
              <w:rPr>
                <w:rFonts w:hint="eastAsia" w:ascii="宋体" w:hAnsi="宋体"/>
                <w:bCs/>
              </w:rPr>
              <w:t>K、无障碍设施:扶手3根、盲文按钮、残疾人操纵箱。</w:t>
            </w:r>
          </w:p>
          <w:p w14:paraId="6AD7360A">
            <w:pPr>
              <w:widowControl/>
              <w:spacing w:line="440" w:lineRule="exact"/>
              <w:jc w:val="left"/>
              <w:textAlignment w:val="center"/>
              <w:rPr>
                <w:rFonts w:ascii="宋体" w:hAnsi="宋体"/>
                <w:bCs/>
              </w:rPr>
            </w:pPr>
            <w:r>
              <w:rPr>
                <w:rFonts w:hint="eastAsia" w:ascii="宋体" w:hAnsi="宋体"/>
                <w:bCs/>
              </w:rPr>
              <w:t>5、电梯功能表</w:t>
            </w:r>
          </w:p>
          <w:p w14:paraId="5D411E0F">
            <w:pPr>
              <w:widowControl/>
              <w:spacing w:line="440" w:lineRule="exact"/>
              <w:jc w:val="left"/>
              <w:textAlignment w:val="center"/>
              <w:rPr>
                <w:rFonts w:ascii="宋体" w:hAnsi="宋体"/>
                <w:bCs/>
              </w:rPr>
            </w:pPr>
            <w:r>
              <w:rPr>
                <w:rFonts w:hint="eastAsia" w:ascii="宋体" w:hAnsi="宋体"/>
                <w:bCs/>
              </w:rPr>
              <w:t>无呼自返基站功能、关门时间保护、开关门按钮、紧急消防操作、轿内紧急照明、全集选控制、厅和轿厢数字式位置指示器、厅和轿厢呼梯/登记、厅及轿厢运行方向显示、监控室与机房、轿厢对讲(不含机房到监控室连线)、独立服务、满载不停梯、超载不启动(警示灯及蜂鸣器)、运行次数显示功能、轿顶与控制柜紧急电动运行、轿内通风手动及照明自动控制功能、故障自动检测功能、警铃、光幕门保护装置、误登陆取消、驻停、自动开关门、撞底缓冲装置、门区外不能自动开门、反向指令自动消除、本层外召开门、外召按钮嵌入自诊断、重复关门、不停层设置、待梯层设定、楼层显示字符的任意设定、输入口干扰评价、井道自学习、逆向运行保护、防打滑保护、安全回路保护、限位保护、上下极限保护装置、抱闸检测保护、端站换速及楼层号校正、手动选层、防捣乱、消防联动、专用运行、★远程监控(物联网)</w:t>
            </w:r>
          </w:p>
          <w:p w14:paraId="0F114457">
            <w:pPr>
              <w:widowControl/>
              <w:spacing w:line="440" w:lineRule="exact"/>
              <w:jc w:val="left"/>
              <w:textAlignment w:val="center"/>
              <w:rPr>
                <w:rFonts w:ascii="Arial" w:hAnsi="Arial" w:cs="Arial"/>
                <w:bCs/>
                <w:color w:val="000000"/>
                <w:kern w:val="0"/>
                <w:sz w:val="24"/>
              </w:rPr>
            </w:pPr>
            <w:r>
              <w:rPr>
                <w:rFonts w:hint="eastAsia" w:ascii="宋体" w:hAnsi="宋体"/>
                <w:bCs/>
              </w:rPr>
              <w:t>注:带★参数必须满足</w:t>
            </w:r>
          </w:p>
        </w:tc>
      </w:tr>
      <w:tr w14:paraId="150DCBAE">
        <w:tblPrEx>
          <w:tblCellMar>
            <w:top w:w="0" w:type="dxa"/>
            <w:left w:w="0" w:type="dxa"/>
            <w:bottom w:w="0" w:type="dxa"/>
            <w:right w:w="0" w:type="dxa"/>
          </w:tblCellMar>
        </w:tblPrEx>
        <w:trPr>
          <w:trHeight w:val="502"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5AB63B">
            <w:pPr>
              <w:tabs>
                <w:tab w:val="left" w:pos="1440"/>
              </w:tabs>
              <w:spacing w:line="360" w:lineRule="atLeast"/>
              <w:jc w:val="center"/>
              <w:rPr>
                <w:rFonts w:ascii="宋体" w:hAnsi="宋体"/>
                <w:b/>
                <w:bCs/>
                <w:szCs w:val="21"/>
              </w:rPr>
            </w:pPr>
            <w:r>
              <w:rPr>
                <w:rFonts w:hint="eastAsia" w:ascii="宋体" w:hAnsi="宋体"/>
                <w:b/>
                <w:bCs/>
                <w:szCs w:val="21"/>
              </w:rPr>
              <w:t>商务服务部分</w:t>
            </w:r>
          </w:p>
        </w:tc>
      </w:tr>
      <w:tr w14:paraId="2E23FE73">
        <w:tblPrEx>
          <w:tblCellMar>
            <w:top w:w="0" w:type="dxa"/>
            <w:left w:w="0" w:type="dxa"/>
            <w:bottom w:w="0" w:type="dxa"/>
            <w:right w:w="0" w:type="dxa"/>
          </w:tblCellMar>
        </w:tblPrEx>
        <w:trPr>
          <w:trHeight w:val="502" w:hRule="atLeast"/>
          <w:jc w:val="center"/>
        </w:trPr>
        <w:tc>
          <w:tcPr>
            <w:tcW w:w="34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20F3F7">
            <w:pPr>
              <w:widowControl/>
              <w:jc w:val="center"/>
              <w:textAlignment w:val="center"/>
              <w:rPr>
                <w:szCs w:val="21"/>
              </w:rPr>
            </w:pPr>
            <w:r>
              <w:rPr>
                <w:rFonts w:hint="eastAsia"/>
                <w:szCs w:val="21"/>
              </w:rPr>
              <w:t>1</w:t>
            </w:r>
          </w:p>
        </w:tc>
        <w:tc>
          <w:tcPr>
            <w:tcW w:w="1712"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3C0F5D">
            <w:pPr>
              <w:widowControl/>
              <w:jc w:val="center"/>
              <w:textAlignment w:val="center"/>
              <w:rPr>
                <w:b/>
              </w:rPr>
            </w:pPr>
            <w:r>
              <w:rPr>
                <w:rFonts w:hint="eastAsia"/>
                <w:b/>
              </w:rPr>
              <w:t>项目报价</w:t>
            </w:r>
          </w:p>
        </w:tc>
        <w:tc>
          <w:tcPr>
            <w:tcW w:w="2948" w:type="pct"/>
            <w:tcBorders>
              <w:top w:val="single" w:color="auto" w:sz="4" w:space="0"/>
              <w:left w:val="single" w:color="auto" w:sz="4" w:space="0"/>
              <w:bottom w:val="single" w:color="auto" w:sz="4" w:space="0"/>
              <w:right w:val="single" w:color="auto" w:sz="4" w:space="0"/>
            </w:tcBorders>
          </w:tcPr>
          <w:p w14:paraId="6AA6D186">
            <w:pPr>
              <w:spacing w:line="440" w:lineRule="exact"/>
              <w:rPr>
                <w:bCs/>
              </w:rPr>
            </w:pPr>
            <w:r>
              <w:rPr>
                <w:rFonts w:hint="eastAsia"/>
                <w:bCs/>
              </w:rPr>
              <w:t>（1）电梯及其随配附件、备品备件（详细清单由供应商提供）、易损件、专用工具、运杂费。</w:t>
            </w:r>
          </w:p>
          <w:p w14:paraId="1CC0F0BA">
            <w:pPr>
              <w:spacing w:line="440" w:lineRule="exact"/>
              <w:rPr>
                <w:bCs/>
              </w:rPr>
            </w:pPr>
            <w:r>
              <w:rPr>
                <w:rFonts w:hint="eastAsia"/>
                <w:bCs/>
              </w:rPr>
              <w:t>（2）电梯井</w:t>
            </w:r>
            <w:r>
              <w:rPr>
                <w:rFonts w:hint="eastAsia"/>
                <w:bCs/>
                <w:lang w:val="en-US" w:eastAsia="zh-CN"/>
              </w:rPr>
              <w:t>砌砖拆除</w:t>
            </w:r>
            <w:r>
              <w:rPr>
                <w:rFonts w:hint="eastAsia"/>
                <w:bCs/>
              </w:rPr>
              <w:t>、新电梯安装、调试、试运行、配合验收、代采购人领取全部电梯使用说明、支付有关部门的报装、报检及验收费用。</w:t>
            </w:r>
          </w:p>
          <w:p w14:paraId="1464285C">
            <w:pPr>
              <w:spacing w:line="440" w:lineRule="exact"/>
              <w:rPr>
                <w:bCs/>
              </w:rPr>
            </w:pPr>
            <w:r>
              <w:rPr>
                <w:rFonts w:hint="eastAsia"/>
                <w:bCs/>
              </w:rPr>
              <w:t>（3）电梯的培训及技术支持。</w:t>
            </w:r>
          </w:p>
          <w:p w14:paraId="616D1694">
            <w:pPr>
              <w:spacing w:line="440" w:lineRule="exact"/>
              <w:rPr>
                <w:bCs/>
              </w:rPr>
            </w:pPr>
            <w:r>
              <w:rPr>
                <w:rFonts w:hint="eastAsia"/>
                <w:bCs/>
              </w:rPr>
              <w:t>（</w:t>
            </w:r>
            <w:r>
              <w:rPr>
                <w:bCs/>
              </w:rPr>
              <w:t>4</w:t>
            </w:r>
            <w:r>
              <w:rPr>
                <w:rFonts w:hint="eastAsia"/>
                <w:bCs/>
              </w:rPr>
              <w:t>）必要的保险费和各项税金。</w:t>
            </w:r>
          </w:p>
          <w:p w14:paraId="4E264B4F">
            <w:pPr>
              <w:spacing w:line="440" w:lineRule="exact"/>
              <w:rPr>
                <w:bCs/>
              </w:rPr>
            </w:pPr>
            <w:r>
              <w:rPr>
                <w:rFonts w:hint="eastAsia"/>
                <w:bCs/>
              </w:rPr>
              <w:t>（</w:t>
            </w:r>
            <w:r>
              <w:rPr>
                <w:bCs/>
              </w:rPr>
              <w:t>5</w:t>
            </w:r>
            <w:r>
              <w:rPr>
                <w:rFonts w:hint="eastAsia"/>
                <w:bCs/>
              </w:rPr>
              <w:t>）供应商须提供厂家授权书，不提供作无效报价处理。</w:t>
            </w:r>
          </w:p>
        </w:tc>
      </w:tr>
      <w:tr w14:paraId="3356C15D">
        <w:tblPrEx>
          <w:tblCellMar>
            <w:top w:w="0" w:type="dxa"/>
            <w:left w:w="0" w:type="dxa"/>
            <w:bottom w:w="0" w:type="dxa"/>
            <w:right w:w="0" w:type="dxa"/>
          </w:tblCellMar>
        </w:tblPrEx>
        <w:trPr>
          <w:trHeight w:val="922" w:hRule="atLeast"/>
          <w:jc w:val="center"/>
        </w:trPr>
        <w:tc>
          <w:tcPr>
            <w:tcW w:w="34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7C13DB">
            <w:pPr>
              <w:widowControl/>
              <w:jc w:val="center"/>
              <w:textAlignment w:val="center"/>
              <w:rPr>
                <w:szCs w:val="21"/>
              </w:rPr>
            </w:pPr>
            <w:r>
              <w:rPr>
                <w:rFonts w:hint="eastAsia"/>
                <w:szCs w:val="21"/>
              </w:rPr>
              <w:t>2</w:t>
            </w:r>
          </w:p>
        </w:tc>
        <w:tc>
          <w:tcPr>
            <w:tcW w:w="1712"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128729">
            <w:pPr>
              <w:widowControl/>
              <w:jc w:val="center"/>
              <w:textAlignment w:val="center"/>
              <w:rPr>
                <w:b/>
              </w:rPr>
            </w:pPr>
            <w:r>
              <w:rPr>
                <w:rFonts w:hint="eastAsia"/>
                <w:b/>
              </w:rPr>
              <w:t>交货及安装地点</w:t>
            </w:r>
          </w:p>
        </w:tc>
        <w:tc>
          <w:tcPr>
            <w:tcW w:w="2948" w:type="pct"/>
            <w:tcBorders>
              <w:top w:val="single" w:color="auto" w:sz="4" w:space="0"/>
              <w:left w:val="single" w:color="auto" w:sz="4" w:space="0"/>
              <w:bottom w:val="single" w:color="auto" w:sz="4" w:space="0"/>
              <w:right w:val="single" w:color="auto" w:sz="4" w:space="0"/>
            </w:tcBorders>
          </w:tcPr>
          <w:p w14:paraId="03728545">
            <w:pPr>
              <w:spacing w:line="440" w:lineRule="exact"/>
              <w:rPr>
                <w:bCs/>
              </w:rPr>
            </w:pPr>
            <w:r>
              <w:rPr>
                <w:rFonts w:hint="eastAsia"/>
                <w:bCs/>
              </w:rPr>
              <w:t>（1）凭祥市</w:t>
            </w:r>
            <w:r>
              <w:rPr>
                <w:rFonts w:hint="eastAsia"/>
                <w:bCs/>
                <w:lang w:val="en-US" w:eastAsia="zh-CN"/>
              </w:rPr>
              <w:t>友谊镇卫生院</w:t>
            </w:r>
            <w:r>
              <w:rPr>
                <w:rFonts w:hint="eastAsia"/>
                <w:bCs/>
              </w:rPr>
              <w:t>。</w:t>
            </w:r>
          </w:p>
          <w:p w14:paraId="77D7F81F">
            <w:pPr>
              <w:spacing w:line="440" w:lineRule="exact"/>
              <w:rPr>
                <w:bCs/>
              </w:rPr>
            </w:pPr>
            <w:r>
              <w:rPr>
                <w:rFonts w:hint="eastAsia"/>
                <w:bCs/>
              </w:rPr>
              <w:t>（2）交货方式：现场交货。</w:t>
            </w:r>
          </w:p>
        </w:tc>
      </w:tr>
      <w:tr w14:paraId="56C12066">
        <w:tblPrEx>
          <w:tblCellMar>
            <w:top w:w="0" w:type="dxa"/>
            <w:left w:w="0" w:type="dxa"/>
            <w:bottom w:w="0" w:type="dxa"/>
            <w:right w:w="0" w:type="dxa"/>
          </w:tblCellMar>
        </w:tblPrEx>
        <w:trPr>
          <w:trHeight w:val="502" w:hRule="atLeast"/>
          <w:jc w:val="center"/>
        </w:trPr>
        <w:tc>
          <w:tcPr>
            <w:tcW w:w="34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4B884F">
            <w:pPr>
              <w:widowControl/>
              <w:jc w:val="center"/>
              <w:textAlignment w:val="center"/>
              <w:rPr>
                <w:szCs w:val="21"/>
              </w:rPr>
            </w:pPr>
            <w:r>
              <w:rPr>
                <w:szCs w:val="21"/>
              </w:rPr>
              <w:t>3</w:t>
            </w:r>
          </w:p>
        </w:tc>
        <w:tc>
          <w:tcPr>
            <w:tcW w:w="1712"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B91E15">
            <w:pPr>
              <w:widowControl/>
              <w:jc w:val="center"/>
              <w:textAlignment w:val="center"/>
              <w:rPr>
                <w:rFonts w:ascii="Arial" w:hAnsi="Arial" w:cs="Arial"/>
                <w:bCs/>
                <w:color w:val="000000"/>
                <w:kern w:val="0"/>
                <w:sz w:val="24"/>
              </w:rPr>
            </w:pPr>
            <w:r>
              <w:rPr>
                <w:rFonts w:hint="eastAsia"/>
                <w:b/>
              </w:rPr>
              <w:t>售后服务</w:t>
            </w:r>
          </w:p>
        </w:tc>
        <w:tc>
          <w:tcPr>
            <w:tcW w:w="2948" w:type="pct"/>
            <w:tcBorders>
              <w:top w:val="single" w:color="auto" w:sz="4" w:space="0"/>
              <w:left w:val="single" w:color="auto" w:sz="4" w:space="0"/>
              <w:bottom w:val="single" w:color="auto" w:sz="4" w:space="0"/>
              <w:right w:val="single" w:color="auto" w:sz="4" w:space="0"/>
            </w:tcBorders>
          </w:tcPr>
          <w:p w14:paraId="2280A621">
            <w:pPr>
              <w:spacing w:line="440" w:lineRule="exact"/>
              <w:rPr>
                <w:bCs/>
              </w:rPr>
            </w:pPr>
            <w:r>
              <w:rPr>
                <w:rFonts w:hint="eastAsia"/>
                <w:bCs/>
              </w:rPr>
              <w:t>（1）质保期：自验收合格交付使用之日起整机免费保修12个月或以上。</w:t>
            </w:r>
          </w:p>
          <w:p w14:paraId="3C721016">
            <w:pPr>
              <w:spacing w:line="440" w:lineRule="exact"/>
              <w:rPr>
                <w:bCs/>
              </w:rPr>
            </w:pPr>
            <w:r>
              <w:rPr>
                <w:rFonts w:hint="eastAsia"/>
                <w:bCs/>
              </w:rPr>
              <w:t>（2）在质保期内，如电梯发生故障，投标人需在接到招标人通知后30分钟内到达现场处理。质保期内发生故障需更换零配件的，必须保证零配件为原厂配件。</w:t>
            </w:r>
          </w:p>
          <w:p w14:paraId="7EDFFC7F">
            <w:pPr>
              <w:spacing w:line="440" w:lineRule="exact"/>
              <w:rPr>
                <w:bCs/>
              </w:rPr>
            </w:pPr>
            <w:r>
              <w:rPr>
                <w:rFonts w:hint="eastAsia"/>
                <w:bCs/>
              </w:rPr>
              <w:t>（3）在质保期内，投标人负责每月两次的免费维保服务（检测、清洁、加油、调整、校正），并免费更换易损、易耗的零部件。</w:t>
            </w:r>
          </w:p>
          <w:p w14:paraId="05D851A7">
            <w:pPr>
              <w:spacing w:line="440" w:lineRule="exact"/>
              <w:jc w:val="left"/>
              <w:rPr>
                <w:rFonts w:ascii="宋体" w:hAnsi="宋体"/>
                <w:szCs w:val="21"/>
              </w:rPr>
            </w:pPr>
            <w:r>
              <w:rPr>
                <w:rFonts w:hint="eastAsia"/>
                <w:bCs/>
              </w:rPr>
              <w:t>（4）免费为采购人现场培训使用人员至少2名，并使受训人员具备熟练操作设备、了解设备结构、工作原理，能排除一般故障的能力。</w:t>
            </w:r>
          </w:p>
        </w:tc>
      </w:tr>
      <w:tr w14:paraId="18641EBF">
        <w:tblPrEx>
          <w:tblCellMar>
            <w:top w:w="0" w:type="dxa"/>
            <w:left w:w="0" w:type="dxa"/>
            <w:bottom w:w="0" w:type="dxa"/>
            <w:right w:w="0" w:type="dxa"/>
          </w:tblCellMar>
        </w:tblPrEx>
        <w:trPr>
          <w:trHeight w:val="502" w:hRule="atLeast"/>
          <w:jc w:val="center"/>
        </w:trPr>
        <w:tc>
          <w:tcPr>
            <w:tcW w:w="34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04D3C1">
            <w:pPr>
              <w:widowControl/>
              <w:jc w:val="center"/>
              <w:textAlignment w:val="center"/>
              <w:rPr>
                <w:szCs w:val="21"/>
              </w:rPr>
            </w:pPr>
            <w:r>
              <w:rPr>
                <w:szCs w:val="21"/>
              </w:rPr>
              <w:t>4</w:t>
            </w:r>
          </w:p>
        </w:tc>
        <w:tc>
          <w:tcPr>
            <w:tcW w:w="1712"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3C5FC4">
            <w:pPr>
              <w:widowControl/>
              <w:jc w:val="center"/>
              <w:textAlignment w:val="center"/>
              <w:rPr>
                <w:rFonts w:ascii="Arial" w:hAnsi="Arial" w:cs="Arial"/>
                <w:bCs/>
                <w:color w:val="000000"/>
                <w:kern w:val="0"/>
                <w:sz w:val="24"/>
              </w:rPr>
            </w:pPr>
            <w:r>
              <w:rPr>
                <w:rFonts w:hint="eastAsia" w:hAnsi="宋体"/>
                <w:b/>
                <w:szCs w:val="21"/>
              </w:rPr>
              <w:t>安装</w:t>
            </w:r>
            <w:r>
              <w:rPr>
                <w:rFonts w:hint="eastAsia"/>
                <w:b/>
              </w:rPr>
              <w:t>和</w:t>
            </w:r>
            <w:r>
              <w:rPr>
                <w:rFonts w:hint="eastAsia" w:hAnsi="宋体"/>
                <w:b/>
                <w:szCs w:val="21"/>
              </w:rPr>
              <w:t>验收</w:t>
            </w:r>
          </w:p>
        </w:tc>
        <w:tc>
          <w:tcPr>
            <w:tcW w:w="2948" w:type="pct"/>
            <w:tcBorders>
              <w:top w:val="single" w:color="auto" w:sz="4" w:space="0"/>
              <w:left w:val="single" w:color="auto" w:sz="4" w:space="0"/>
              <w:bottom w:val="single" w:color="auto" w:sz="4" w:space="0"/>
              <w:right w:val="single" w:color="auto" w:sz="4" w:space="0"/>
            </w:tcBorders>
          </w:tcPr>
          <w:p w14:paraId="4532B513">
            <w:pPr>
              <w:spacing w:line="440" w:lineRule="exact"/>
              <w:rPr>
                <w:b/>
              </w:rPr>
            </w:pPr>
            <w:r>
              <w:rPr>
                <w:rFonts w:hint="eastAsia"/>
                <w:b/>
              </w:rPr>
              <w:t>（一）制造、安装、验收要求</w:t>
            </w:r>
          </w:p>
          <w:p w14:paraId="45596FB2">
            <w:pPr>
              <w:spacing w:line="440" w:lineRule="exact"/>
              <w:ind w:left="101" w:leftChars="48"/>
            </w:pPr>
            <w:r>
              <w:t>1</w:t>
            </w:r>
            <w:r>
              <w:rPr>
                <w:rFonts w:hint="eastAsia"/>
              </w:rPr>
              <w:t>、</w:t>
            </w:r>
            <w:r>
              <w:rPr>
                <w:rFonts w:hint="eastAsia" w:ascii="宋体" w:hAnsi="宋体" w:cs="宋体"/>
                <w:szCs w:val="21"/>
              </w:rPr>
              <w:t>本项目采购需求的电梯产品</w:t>
            </w:r>
            <w:r>
              <w:rPr>
                <w:rFonts w:hint="eastAsia"/>
              </w:rPr>
              <w:t>应符合国家相关的质量标准和制造要求。</w:t>
            </w:r>
          </w:p>
          <w:p w14:paraId="131ED8AF">
            <w:pPr>
              <w:spacing w:line="440" w:lineRule="exact"/>
            </w:pPr>
            <w:r>
              <w:t>2</w:t>
            </w:r>
            <w:r>
              <w:rPr>
                <w:rFonts w:hint="eastAsia"/>
              </w:rPr>
              <w:t>、工程安装施工要求：</w:t>
            </w:r>
          </w:p>
          <w:p w14:paraId="216B5CF6">
            <w:pPr>
              <w:spacing w:line="440" w:lineRule="exact"/>
            </w:pPr>
            <w:r>
              <w:rPr>
                <w:rFonts w:hint="eastAsia"/>
              </w:rPr>
              <w:t>（1）设备安装调试必须严格执行国家有关技术标准，成交人自负责施工人员人身、设备安全责任。</w:t>
            </w:r>
          </w:p>
          <w:p w14:paraId="2EDA035D">
            <w:pPr>
              <w:spacing w:line="440" w:lineRule="exact"/>
            </w:pPr>
            <w:r>
              <w:rPr>
                <w:rFonts w:hint="eastAsia"/>
              </w:rPr>
              <w:t>（2）成交人负责办理有关电梯设备安装的开工报装和竣工验收手续且承担负责相关费用。</w:t>
            </w:r>
          </w:p>
          <w:p w14:paraId="7CBFD0E3">
            <w:pPr>
              <w:spacing w:line="440" w:lineRule="exact"/>
            </w:pPr>
            <w:r>
              <w:rPr>
                <w:rFonts w:hint="eastAsia"/>
              </w:rPr>
              <w:t>（3）成交人向当地质检部门提出验收申请，并协助当地质检部门检验验收，成交人并负责办理特种设备使用登记证，费用由成交人负责。</w:t>
            </w:r>
          </w:p>
          <w:p w14:paraId="65BD86F4">
            <w:pPr>
              <w:spacing w:line="440" w:lineRule="exact"/>
            </w:pPr>
            <w:r>
              <w:rPr>
                <w:rFonts w:hint="eastAsia"/>
              </w:rPr>
              <w:t>（4）安装验收标准必须符合如下标准要求：</w:t>
            </w:r>
          </w:p>
          <w:p w14:paraId="32EF2D76">
            <w:pPr>
              <w:spacing w:line="440" w:lineRule="exact"/>
            </w:pPr>
            <w:r>
              <w:rPr>
                <w:rFonts w:hint="eastAsia"/>
              </w:rPr>
              <w:t>《电梯安装验收规范》（GB/T 10060-2023）；</w:t>
            </w:r>
          </w:p>
          <w:p w14:paraId="1CAFD426">
            <w:pPr>
              <w:spacing w:line="440" w:lineRule="exact"/>
            </w:pPr>
            <w:r>
              <w:rPr>
                <w:rFonts w:hint="eastAsia"/>
              </w:rPr>
              <w:t>《电梯工程施工质量验收规范》（GB 50310-2002）；</w:t>
            </w:r>
          </w:p>
          <w:p w14:paraId="206A65D6">
            <w:pPr>
              <w:spacing w:line="440" w:lineRule="exact"/>
            </w:pPr>
            <w:r>
              <w:rPr>
                <w:rFonts w:hint="eastAsia"/>
              </w:rPr>
              <w:t>电力、消防、安监部门的有关规定等。</w:t>
            </w:r>
          </w:p>
          <w:p w14:paraId="2CD186C7">
            <w:pPr>
              <w:spacing w:line="440" w:lineRule="exact"/>
            </w:pPr>
            <w:r>
              <w:t>3</w:t>
            </w:r>
            <w:r>
              <w:rPr>
                <w:rFonts w:hint="eastAsia"/>
              </w:rPr>
              <w:t>、设备应包含必备的易损易耗备件和专用工具。</w:t>
            </w:r>
          </w:p>
          <w:p w14:paraId="7D2C576E">
            <w:pPr>
              <w:spacing w:line="440" w:lineRule="exact"/>
              <w:ind w:firstLine="105" w:firstLineChars="50"/>
            </w:pPr>
            <w:r>
              <w:rPr>
                <w:rFonts w:hint="eastAsia"/>
              </w:rPr>
              <w:t>▲</w:t>
            </w:r>
            <w:r>
              <w:t>4</w:t>
            </w:r>
            <w:r>
              <w:rPr>
                <w:rFonts w:hint="eastAsia"/>
              </w:rPr>
              <w:t>、</w:t>
            </w:r>
            <w:r>
              <w:rPr>
                <w:rFonts w:hint="eastAsia"/>
                <w:szCs w:val="21"/>
              </w:rPr>
              <w:t>本项目的电梯安装负责人必须具有电梯安装上岗证、职称证、社保缴纳证明（近三个月），提供证书复印件，</w:t>
            </w:r>
            <w:r>
              <w:rPr>
                <w:rFonts w:hint="eastAsia"/>
              </w:rPr>
              <w:t>否则竞标无效。</w:t>
            </w:r>
          </w:p>
          <w:p w14:paraId="292320AE">
            <w:pPr>
              <w:spacing w:line="440" w:lineRule="exact"/>
            </w:pPr>
            <w:r>
              <w:t>5</w:t>
            </w:r>
            <w:r>
              <w:rPr>
                <w:rFonts w:hint="eastAsia"/>
              </w:rPr>
              <w:t>、验收方式：</w:t>
            </w:r>
          </w:p>
          <w:p w14:paraId="43A987A8">
            <w:pPr>
              <w:spacing w:line="440" w:lineRule="exact"/>
            </w:pPr>
            <w:r>
              <w:rPr>
                <w:rFonts w:hint="eastAsia"/>
              </w:rPr>
              <w:t>（</w:t>
            </w:r>
            <w:r>
              <w:t>1</w:t>
            </w:r>
            <w:r>
              <w:rPr>
                <w:rFonts w:hint="eastAsia"/>
              </w:rPr>
              <w:t>）出厂检验：交货时，成交人应随同货物提供出厂检验报告。</w:t>
            </w:r>
          </w:p>
          <w:p w14:paraId="59C606B4">
            <w:pPr>
              <w:spacing w:line="440" w:lineRule="exact"/>
              <w:ind w:left="134" w:leftChars="64"/>
            </w:pPr>
            <w:r>
              <w:rPr>
                <w:rFonts w:hint="eastAsia"/>
              </w:rPr>
              <w:t>（</w:t>
            </w:r>
            <w:r>
              <w:t>2</w:t>
            </w:r>
            <w:r>
              <w:rPr>
                <w:rFonts w:hint="eastAsia"/>
              </w:rPr>
              <w:t>）安装调试检验：货物到达后，由采购人会同有关部门进行基本质量和数量的验收（但不作为最终合格的保证），电梯安装调试（包括整机性能测试）过程，成交人应作详细检验记录。安装调试检验结果应符合制造厂产品标准和采购文件规定的技术要求。检验记录应提交给采购人。</w:t>
            </w:r>
          </w:p>
          <w:p w14:paraId="0EEF9642">
            <w:pPr>
              <w:spacing w:line="440" w:lineRule="exact"/>
              <w:ind w:left="105" w:leftChars="50"/>
            </w:pPr>
            <w:r>
              <w:rPr>
                <w:rFonts w:hint="eastAsia"/>
              </w:rPr>
              <w:t>（</w:t>
            </w:r>
            <w:r>
              <w:t>3</w:t>
            </w:r>
            <w:r>
              <w:rPr>
                <w:rFonts w:hint="eastAsia"/>
              </w:rPr>
              <w:t>）项目验收：电梯安装调试结束后，由成交人负责联系质量技术监督局等部门，进行联合验收并办理准用许可证，验收费用由成交人承担。</w:t>
            </w:r>
          </w:p>
        </w:tc>
      </w:tr>
      <w:tr w14:paraId="42EC78F7">
        <w:tblPrEx>
          <w:tblCellMar>
            <w:top w:w="0" w:type="dxa"/>
            <w:left w:w="0" w:type="dxa"/>
            <w:bottom w:w="0" w:type="dxa"/>
            <w:right w:w="0" w:type="dxa"/>
          </w:tblCellMar>
        </w:tblPrEx>
        <w:trPr>
          <w:trHeight w:val="502" w:hRule="atLeast"/>
          <w:jc w:val="center"/>
        </w:trPr>
        <w:tc>
          <w:tcPr>
            <w:tcW w:w="34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6207F3">
            <w:pPr>
              <w:widowControl/>
              <w:jc w:val="center"/>
              <w:textAlignment w:val="center"/>
              <w:rPr>
                <w:szCs w:val="21"/>
              </w:rPr>
            </w:pPr>
            <w:r>
              <w:rPr>
                <w:rFonts w:hint="eastAsia"/>
                <w:szCs w:val="21"/>
              </w:rPr>
              <w:t>5</w:t>
            </w:r>
          </w:p>
        </w:tc>
        <w:tc>
          <w:tcPr>
            <w:tcW w:w="1712"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D7D7A8">
            <w:pPr>
              <w:widowControl/>
              <w:jc w:val="center"/>
              <w:textAlignment w:val="center"/>
              <w:rPr>
                <w:rFonts w:hAnsi="宋体"/>
                <w:b/>
                <w:szCs w:val="21"/>
              </w:rPr>
            </w:pPr>
            <w:r>
              <w:rPr>
                <w:rFonts w:hint="eastAsia" w:hAnsi="宋体"/>
                <w:b/>
                <w:szCs w:val="21"/>
              </w:rPr>
              <w:t>付款方式</w:t>
            </w:r>
          </w:p>
        </w:tc>
        <w:tc>
          <w:tcPr>
            <w:tcW w:w="2948" w:type="pct"/>
            <w:tcBorders>
              <w:top w:val="single" w:color="auto" w:sz="4" w:space="0"/>
              <w:left w:val="single" w:color="auto" w:sz="4" w:space="0"/>
              <w:bottom w:val="single" w:color="auto" w:sz="4" w:space="0"/>
              <w:right w:val="single" w:color="auto" w:sz="4" w:space="0"/>
            </w:tcBorders>
          </w:tcPr>
          <w:p w14:paraId="167934D4">
            <w:pPr>
              <w:spacing w:line="440" w:lineRule="exact"/>
              <w:jc w:val="left"/>
              <w:rPr>
                <w:rFonts w:ascii="宋体" w:hAnsi="宋体"/>
                <w:szCs w:val="21"/>
              </w:rPr>
            </w:pPr>
            <w:r>
              <w:rPr>
                <w:rFonts w:hint="eastAsia" w:ascii="宋体" w:hAnsi="宋体"/>
                <w:szCs w:val="21"/>
              </w:rPr>
              <w:t>按双方协商</w:t>
            </w:r>
            <w:r>
              <w:rPr>
                <w:rFonts w:hint="eastAsia"/>
                <w:color w:val="000000" w:themeColor="text1"/>
                <w14:textFill>
                  <w14:solidFill>
                    <w14:schemeClr w14:val="tx1"/>
                  </w14:solidFill>
                </w14:textFill>
              </w:rPr>
              <w:t>落实进度付款</w:t>
            </w:r>
            <w:r>
              <w:rPr>
                <w:rFonts w:hint="eastAsia" w:ascii="宋体" w:hAnsi="宋体"/>
                <w:szCs w:val="21"/>
              </w:rPr>
              <w:t>。</w:t>
            </w:r>
          </w:p>
        </w:tc>
      </w:tr>
      <w:tr w14:paraId="125873BB">
        <w:tblPrEx>
          <w:tblCellMar>
            <w:top w:w="0" w:type="dxa"/>
            <w:left w:w="0" w:type="dxa"/>
            <w:bottom w:w="0" w:type="dxa"/>
            <w:right w:w="0" w:type="dxa"/>
          </w:tblCellMar>
        </w:tblPrEx>
        <w:trPr>
          <w:trHeight w:val="502" w:hRule="atLeast"/>
          <w:jc w:val="center"/>
        </w:trPr>
        <w:tc>
          <w:tcPr>
            <w:tcW w:w="34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FC44C6">
            <w:pPr>
              <w:widowControl/>
              <w:jc w:val="center"/>
              <w:textAlignment w:val="center"/>
              <w:rPr>
                <w:szCs w:val="21"/>
              </w:rPr>
            </w:pPr>
            <w:r>
              <w:rPr>
                <w:szCs w:val="21"/>
              </w:rPr>
              <w:t>6</w:t>
            </w:r>
          </w:p>
        </w:tc>
        <w:tc>
          <w:tcPr>
            <w:tcW w:w="1712"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E75366">
            <w:pPr>
              <w:widowControl/>
              <w:jc w:val="center"/>
              <w:textAlignment w:val="center"/>
              <w:rPr>
                <w:rFonts w:hAnsi="宋体"/>
                <w:b/>
                <w:szCs w:val="21"/>
              </w:rPr>
            </w:pPr>
            <w:r>
              <w:rPr>
                <w:rFonts w:hint="eastAsia" w:hAnsi="宋体"/>
                <w:b/>
                <w:szCs w:val="21"/>
              </w:rPr>
              <w:t>其他要求及说明</w:t>
            </w:r>
          </w:p>
        </w:tc>
        <w:tc>
          <w:tcPr>
            <w:tcW w:w="2948" w:type="pct"/>
            <w:tcBorders>
              <w:top w:val="single" w:color="auto" w:sz="4" w:space="0"/>
              <w:left w:val="single" w:color="auto" w:sz="4" w:space="0"/>
              <w:bottom w:val="single" w:color="auto" w:sz="4" w:space="0"/>
              <w:right w:val="single" w:color="auto" w:sz="4" w:space="0"/>
            </w:tcBorders>
          </w:tcPr>
          <w:p w14:paraId="40149515">
            <w:pPr>
              <w:spacing w:line="440" w:lineRule="exact"/>
              <w:jc w:val="left"/>
              <w:rPr>
                <w:rFonts w:ascii="宋体" w:hAnsi="宋体"/>
                <w:szCs w:val="21"/>
              </w:rPr>
            </w:pPr>
            <w:r>
              <w:rPr>
                <w:rFonts w:hint="eastAsia" w:ascii="宋体" w:hAnsi="宋体"/>
                <w:szCs w:val="21"/>
              </w:rPr>
              <w:t xml:space="preserve"> 一、报价时文件要求：供应商必须提供以下材料，所提供材料必须加盖供应商公章，未按要求提供的按无效响应处理：</w:t>
            </w:r>
          </w:p>
          <w:p w14:paraId="70A819CC">
            <w:pPr>
              <w:spacing w:line="440" w:lineRule="exact"/>
              <w:jc w:val="left"/>
              <w:rPr>
                <w:rFonts w:ascii="宋体" w:hAnsi="宋体"/>
                <w:szCs w:val="21"/>
              </w:rPr>
            </w:pPr>
            <w:r>
              <w:rPr>
                <w:rFonts w:hint="eastAsia" w:ascii="宋体" w:hAnsi="宋体"/>
                <w:szCs w:val="21"/>
              </w:rPr>
              <w:t>1、供应商营业执照复印件；</w:t>
            </w:r>
          </w:p>
          <w:p w14:paraId="7BF298C6">
            <w:pPr>
              <w:spacing w:line="440" w:lineRule="exact"/>
              <w:jc w:val="left"/>
              <w:rPr>
                <w:rFonts w:ascii="宋体" w:hAnsi="宋体"/>
                <w:szCs w:val="21"/>
              </w:rPr>
            </w:pPr>
            <w:r>
              <w:rPr>
                <w:rFonts w:hint="eastAsia" w:ascii="宋体" w:hAnsi="宋体"/>
                <w:szCs w:val="21"/>
              </w:rPr>
              <w:t>2、供应商电梯安装含修理资质；</w:t>
            </w:r>
          </w:p>
          <w:p w14:paraId="24DBD2E7">
            <w:pPr>
              <w:spacing w:line="440" w:lineRule="exact"/>
              <w:jc w:val="left"/>
              <w:rPr>
                <w:rFonts w:ascii="宋体" w:hAnsi="宋体"/>
                <w:szCs w:val="21"/>
              </w:rPr>
            </w:pPr>
            <w:r>
              <w:rPr>
                <w:rFonts w:hint="eastAsia" w:ascii="宋体" w:hAnsi="宋体"/>
                <w:szCs w:val="21"/>
              </w:rPr>
              <w:t>3、电梯品牌生产厂家《中华人民共和国特种设备制造许可证》或《中华人民共和国特种设备生产许可证》；</w:t>
            </w:r>
          </w:p>
          <w:p w14:paraId="20369BD8">
            <w:pPr>
              <w:spacing w:line="440" w:lineRule="exact"/>
              <w:jc w:val="left"/>
              <w:rPr>
                <w:rFonts w:ascii="宋体" w:hAnsi="宋体"/>
                <w:szCs w:val="21"/>
              </w:rPr>
            </w:pPr>
            <w:r>
              <w:rPr>
                <w:rFonts w:hint="eastAsia" w:ascii="宋体" w:hAnsi="宋体"/>
                <w:szCs w:val="21"/>
              </w:rPr>
              <w:t>4、电梯品牌生产厂家营业执照复印件；</w:t>
            </w:r>
          </w:p>
          <w:p w14:paraId="6A058296">
            <w:pPr>
              <w:spacing w:line="440" w:lineRule="exact"/>
              <w:jc w:val="left"/>
              <w:rPr>
                <w:rFonts w:ascii="宋体" w:hAnsi="宋体"/>
                <w:szCs w:val="21"/>
              </w:rPr>
            </w:pPr>
            <w:r>
              <w:rPr>
                <w:rFonts w:hint="eastAsia" w:ascii="宋体" w:hAnsi="宋体"/>
                <w:szCs w:val="21"/>
              </w:rPr>
              <w:t>二、基本要求</w:t>
            </w:r>
          </w:p>
          <w:p w14:paraId="706F9B84">
            <w:pPr>
              <w:spacing w:line="440" w:lineRule="exact"/>
              <w:jc w:val="left"/>
              <w:rPr>
                <w:rFonts w:ascii="宋体" w:hAnsi="宋体"/>
                <w:szCs w:val="21"/>
              </w:rPr>
            </w:pPr>
            <w:r>
              <w:rPr>
                <w:rFonts w:hint="eastAsia" w:ascii="宋体" w:hAnsi="宋体"/>
                <w:szCs w:val="21"/>
              </w:rPr>
              <w:t>1、成交供应商负责办理电梯开工申报及报调报验等一切手续，招标人给予资料手续方面的配合。</w:t>
            </w:r>
          </w:p>
          <w:p w14:paraId="04AE0DCB">
            <w:pPr>
              <w:spacing w:line="440" w:lineRule="exact"/>
              <w:jc w:val="left"/>
              <w:rPr>
                <w:rFonts w:ascii="宋体" w:hAnsi="宋体"/>
                <w:szCs w:val="21"/>
              </w:rPr>
            </w:pPr>
            <w:r>
              <w:rPr>
                <w:rFonts w:hint="eastAsia" w:ascii="宋体" w:hAnsi="宋体"/>
                <w:szCs w:val="21"/>
              </w:rPr>
              <w:t>2、设备必须是全新整套的、符合国家有关质量标准、满足项目需求技术指标的电梯设备。所有配件及安装材料必须是未经使用的全新的并符合国家有关质量安全标准的产品。</w:t>
            </w:r>
          </w:p>
          <w:p w14:paraId="2453DB85">
            <w:pPr>
              <w:spacing w:line="440" w:lineRule="exact"/>
              <w:jc w:val="left"/>
              <w:rPr>
                <w:rFonts w:ascii="宋体" w:hAnsi="宋体"/>
                <w:szCs w:val="21"/>
              </w:rPr>
            </w:pPr>
            <w:r>
              <w:rPr>
                <w:rFonts w:hint="eastAsia" w:ascii="宋体" w:hAnsi="宋体"/>
                <w:szCs w:val="21"/>
              </w:rPr>
              <w:t>3、设备应包括必备的易损耗备件和专用工具并提供设备的清单及设备安装、调试的有关技术资料和图纸。</w:t>
            </w:r>
          </w:p>
          <w:p w14:paraId="25EC99D2">
            <w:pPr>
              <w:spacing w:line="440" w:lineRule="exact"/>
              <w:jc w:val="left"/>
              <w:rPr>
                <w:rFonts w:ascii="宋体" w:hAnsi="宋体"/>
                <w:szCs w:val="21"/>
              </w:rPr>
            </w:pPr>
            <w:r>
              <w:rPr>
                <w:rFonts w:hint="eastAsia" w:ascii="宋体" w:hAnsi="宋体"/>
                <w:szCs w:val="21"/>
              </w:rPr>
              <w:t>4、设备免费送货上门，免费安装调试合格（安装标准必须符合国家有关技术规范和技术标准），安装调试严格执行国家有关电梯安装的法律法规。</w:t>
            </w:r>
          </w:p>
          <w:p w14:paraId="00D5C5A4">
            <w:pPr>
              <w:spacing w:line="440" w:lineRule="exact"/>
              <w:jc w:val="left"/>
              <w:rPr>
                <w:rFonts w:ascii="宋体" w:hAnsi="宋体"/>
                <w:szCs w:val="21"/>
              </w:rPr>
            </w:pPr>
            <w:r>
              <w:rPr>
                <w:rFonts w:hint="eastAsia" w:ascii="宋体" w:hAnsi="宋体"/>
                <w:szCs w:val="21"/>
                <w:lang w:val="en-US" w:eastAsia="zh-CN"/>
              </w:rPr>
              <w:t>5</w:t>
            </w:r>
            <w:r>
              <w:rPr>
                <w:rFonts w:hint="eastAsia" w:ascii="宋体" w:hAnsi="宋体"/>
                <w:szCs w:val="21"/>
              </w:rPr>
              <w:t>、竣工验收：按照国家有关技术规范和技术标准，由成交供应商向技术监督局提出验收申请，并协助采购人及技术监督检测部门完成检测验收。</w:t>
            </w:r>
          </w:p>
          <w:p w14:paraId="240BC879">
            <w:pPr>
              <w:spacing w:line="440" w:lineRule="exact"/>
              <w:jc w:val="left"/>
              <w:rPr>
                <w:rFonts w:ascii="宋体" w:hAnsi="宋体"/>
                <w:szCs w:val="21"/>
              </w:rPr>
            </w:pPr>
            <w:r>
              <w:rPr>
                <w:rFonts w:hint="eastAsia" w:ascii="宋体" w:hAnsi="宋体"/>
                <w:szCs w:val="21"/>
                <w:lang w:val="en-US" w:eastAsia="zh-CN"/>
              </w:rPr>
              <w:t>6</w:t>
            </w:r>
            <w:r>
              <w:rPr>
                <w:rFonts w:hint="eastAsia" w:ascii="宋体" w:hAnsi="宋体"/>
                <w:szCs w:val="21"/>
              </w:rPr>
              <w:t>、工期要求：自签订合同之日起</w:t>
            </w:r>
            <w:r>
              <w:rPr>
                <w:rFonts w:hint="eastAsia" w:ascii="宋体" w:hAnsi="宋体"/>
                <w:color w:val="FF0000"/>
                <w:szCs w:val="21"/>
                <w:lang w:val="en-US" w:eastAsia="zh-CN"/>
              </w:rPr>
              <w:t>20</w:t>
            </w:r>
            <w:r>
              <w:rPr>
                <w:rFonts w:hint="eastAsia" w:ascii="宋体" w:hAnsi="宋体"/>
                <w:color w:val="FF0000"/>
                <w:szCs w:val="21"/>
              </w:rPr>
              <w:t>个</w:t>
            </w:r>
            <w:r>
              <w:rPr>
                <w:rFonts w:hint="eastAsia" w:ascii="宋体" w:hAnsi="宋体"/>
                <w:szCs w:val="21"/>
              </w:rPr>
              <w:t>工作日内到货，60个日历天内完成安装并验收合格。</w:t>
            </w:r>
          </w:p>
          <w:p w14:paraId="73167DA8">
            <w:pPr>
              <w:spacing w:line="440" w:lineRule="exact"/>
              <w:jc w:val="left"/>
              <w:rPr>
                <w:rFonts w:ascii="宋体" w:hAnsi="宋体"/>
                <w:szCs w:val="21"/>
              </w:rPr>
            </w:pPr>
            <w:r>
              <w:rPr>
                <w:rFonts w:hint="eastAsia" w:ascii="宋体" w:hAnsi="宋体"/>
                <w:szCs w:val="21"/>
                <w:lang w:val="en-US" w:eastAsia="zh-CN"/>
              </w:rPr>
              <w:t>7</w:t>
            </w:r>
            <w:r>
              <w:rPr>
                <w:rFonts w:hint="eastAsia" w:ascii="宋体" w:hAnsi="宋体"/>
                <w:szCs w:val="21"/>
              </w:rPr>
              <w:t>、为保证所供产品为原厂正品，避免假冒伪劣产品，成交供应商须在签订合同前提供电梯的整梯型式试验报告复印件备查。并提供针对本项目的原厂授权原件作为签订合同时的核验材料，不提供上述资料的、或者所供货物不满足本项目采购需求的，视为无效报价，采购人有权不予确认成交或终止合同，所造成的损失由供应商承担。</w:t>
            </w:r>
          </w:p>
          <w:p w14:paraId="40DF881C">
            <w:pPr>
              <w:spacing w:line="440" w:lineRule="exact"/>
              <w:jc w:val="left"/>
              <w:rPr>
                <w:rFonts w:ascii="宋体" w:hAnsi="宋体"/>
                <w:szCs w:val="21"/>
              </w:rPr>
            </w:pPr>
            <w:r>
              <w:rPr>
                <w:rFonts w:hint="eastAsia" w:ascii="宋体" w:hAnsi="宋体"/>
                <w:szCs w:val="21"/>
              </w:rPr>
              <w:t>　　二、井道改造及设备安装施工要求</w:t>
            </w:r>
          </w:p>
          <w:p w14:paraId="5A7575F5">
            <w:pPr>
              <w:spacing w:line="440" w:lineRule="exact"/>
              <w:jc w:val="left"/>
              <w:rPr>
                <w:rFonts w:ascii="宋体" w:hAnsi="宋体"/>
                <w:szCs w:val="21"/>
              </w:rPr>
            </w:pPr>
            <w:r>
              <w:rPr>
                <w:rFonts w:hint="eastAsia" w:ascii="宋体" w:hAnsi="宋体"/>
                <w:szCs w:val="21"/>
              </w:rPr>
              <w:t>1.成交供应商依据井道尺寸提供满足各项技术指标及各项使用功能要求的轿厢尺寸报采购人确认后方可定制。</w:t>
            </w:r>
          </w:p>
          <w:p w14:paraId="673B2566">
            <w:pPr>
              <w:spacing w:line="440" w:lineRule="exact"/>
              <w:jc w:val="left"/>
              <w:rPr>
                <w:rFonts w:ascii="宋体" w:hAnsi="宋体"/>
                <w:szCs w:val="21"/>
              </w:rPr>
            </w:pPr>
            <w:r>
              <w:rPr>
                <w:rFonts w:hint="eastAsia" w:ascii="宋体" w:hAnsi="宋体"/>
                <w:szCs w:val="21"/>
              </w:rPr>
              <w:t>2.成交供应商必须承诺听从采购单位指挥，安装调试必须严格执行国家有关的电梯安装规范、标准及条例，成交供应商自行负责施工人员人身安全及设备安全责任。</w:t>
            </w:r>
          </w:p>
          <w:p w14:paraId="63169B62">
            <w:pPr>
              <w:spacing w:line="440" w:lineRule="exact"/>
              <w:jc w:val="left"/>
              <w:rPr>
                <w:rFonts w:ascii="宋体" w:hAnsi="宋体"/>
                <w:szCs w:val="21"/>
              </w:rPr>
            </w:pPr>
            <w:r>
              <w:rPr>
                <w:rFonts w:hint="eastAsia" w:ascii="宋体" w:hAnsi="宋体"/>
                <w:szCs w:val="21"/>
              </w:rPr>
              <w:t>3.安装调试过程中，成交供应商应派专业技术人员对安装进行同步指导，并负责全套设备的调试运行、达到验收要求。成交供应商须提供完整的机组安装、调试、操作、使用、控制和维护手册等详细技术资料及图纸给采购人。</w:t>
            </w:r>
          </w:p>
          <w:p w14:paraId="7553FCED">
            <w:pPr>
              <w:spacing w:line="440" w:lineRule="exact"/>
              <w:jc w:val="left"/>
              <w:rPr>
                <w:rFonts w:ascii="宋体" w:hAnsi="宋体"/>
                <w:szCs w:val="21"/>
              </w:rPr>
            </w:pPr>
            <w:r>
              <w:rPr>
                <w:rFonts w:hint="eastAsia" w:ascii="宋体" w:hAnsi="宋体"/>
                <w:szCs w:val="21"/>
              </w:rPr>
              <w:t>4.成交供应商须明确项目实施时的具体项目经理、技术人员及施工队伍。人员经双方确认后，成交供应商在项目执行期间不得随意改动人员名单；如确有特殊情况需要变动的，须经采购人同意方可调整。</w:t>
            </w:r>
          </w:p>
          <w:p w14:paraId="321B19BE">
            <w:pPr>
              <w:spacing w:line="440" w:lineRule="exact"/>
              <w:jc w:val="left"/>
              <w:rPr>
                <w:rFonts w:ascii="宋体" w:hAnsi="宋体"/>
                <w:szCs w:val="21"/>
              </w:rPr>
            </w:pPr>
            <w:r>
              <w:rPr>
                <w:rFonts w:hint="eastAsia" w:ascii="宋体" w:hAnsi="宋体"/>
                <w:szCs w:val="21"/>
              </w:rPr>
              <w:t>5.成交供应商在井道施工、安装、调试等全过程中接受采购人的监督。</w:t>
            </w:r>
          </w:p>
          <w:p w14:paraId="54B75B6C">
            <w:pPr>
              <w:spacing w:line="440" w:lineRule="exact"/>
              <w:jc w:val="left"/>
              <w:rPr>
                <w:rFonts w:ascii="宋体" w:hAnsi="宋体"/>
                <w:szCs w:val="21"/>
              </w:rPr>
            </w:pPr>
            <w:r>
              <w:rPr>
                <w:rFonts w:hint="eastAsia" w:ascii="宋体" w:hAnsi="宋体"/>
                <w:szCs w:val="21"/>
              </w:rPr>
              <w:t>三、安装验收执行的规范和标准</w:t>
            </w:r>
          </w:p>
          <w:p w14:paraId="193B306E">
            <w:pPr>
              <w:spacing w:line="440" w:lineRule="exact"/>
              <w:jc w:val="left"/>
              <w:rPr>
                <w:rFonts w:ascii="宋体" w:hAnsi="宋体"/>
                <w:szCs w:val="21"/>
              </w:rPr>
            </w:pPr>
            <w:r>
              <w:rPr>
                <w:rFonts w:hint="eastAsia" w:ascii="宋体" w:hAnsi="宋体"/>
                <w:szCs w:val="21"/>
              </w:rPr>
              <w:t xml:space="preserve">1.《电梯安装验收规范》（GB10060）； </w:t>
            </w:r>
          </w:p>
          <w:p w14:paraId="0EBD988C">
            <w:pPr>
              <w:spacing w:line="440" w:lineRule="exact"/>
              <w:jc w:val="left"/>
              <w:rPr>
                <w:rFonts w:ascii="宋体" w:hAnsi="宋体"/>
                <w:szCs w:val="21"/>
              </w:rPr>
            </w:pPr>
            <w:r>
              <w:rPr>
                <w:rFonts w:hint="eastAsia" w:ascii="宋体" w:hAnsi="宋体"/>
                <w:szCs w:val="21"/>
              </w:rPr>
              <w:t xml:space="preserve">2.《电气装置安装工程电梯电气装置施工及验收规范》 （GB50182）；  </w:t>
            </w:r>
          </w:p>
          <w:p w14:paraId="1A91E943">
            <w:pPr>
              <w:spacing w:line="440" w:lineRule="exact"/>
              <w:jc w:val="left"/>
              <w:rPr>
                <w:rFonts w:ascii="宋体" w:hAnsi="宋体"/>
                <w:szCs w:val="21"/>
              </w:rPr>
            </w:pPr>
            <w:r>
              <w:rPr>
                <w:rFonts w:hint="eastAsia" w:ascii="宋体" w:hAnsi="宋体"/>
                <w:szCs w:val="21"/>
              </w:rPr>
              <w:t xml:space="preserve">3.《电梯工程施工质量验收规范》（GB50310）；  </w:t>
            </w:r>
          </w:p>
          <w:p w14:paraId="0C2569CC">
            <w:pPr>
              <w:spacing w:line="440" w:lineRule="exact"/>
              <w:jc w:val="left"/>
              <w:rPr>
                <w:rFonts w:ascii="宋体" w:hAnsi="宋体"/>
                <w:szCs w:val="21"/>
              </w:rPr>
            </w:pPr>
            <w:r>
              <w:rPr>
                <w:rFonts w:hint="eastAsia" w:ascii="宋体" w:hAnsi="宋体"/>
                <w:szCs w:val="21"/>
              </w:rPr>
              <w:t>4.电力、消防、安监等部门的有关规定。</w:t>
            </w:r>
          </w:p>
        </w:tc>
      </w:tr>
    </w:tbl>
    <w:p w14:paraId="665C7E62">
      <w:pPr>
        <w:spacing w:line="240" w:lineRule="atLeast"/>
        <w:ind w:firstLine="420" w:firstLineChars="200"/>
        <w:jc w:val="left"/>
      </w:pPr>
    </w:p>
    <w:p w14:paraId="31CACC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B33"/>
    <w:rsid w:val="000E5A22"/>
    <w:rsid w:val="001A3DB7"/>
    <w:rsid w:val="001D4B33"/>
    <w:rsid w:val="0020653B"/>
    <w:rsid w:val="0021375B"/>
    <w:rsid w:val="002473AA"/>
    <w:rsid w:val="002665AB"/>
    <w:rsid w:val="00330127"/>
    <w:rsid w:val="00363CA8"/>
    <w:rsid w:val="003B6E0E"/>
    <w:rsid w:val="003C68F9"/>
    <w:rsid w:val="003E5D8B"/>
    <w:rsid w:val="0040639A"/>
    <w:rsid w:val="00423D06"/>
    <w:rsid w:val="0043285B"/>
    <w:rsid w:val="00466315"/>
    <w:rsid w:val="00523238"/>
    <w:rsid w:val="005377F3"/>
    <w:rsid w:val="0056105C"/>
    <w:rsid w:val="005779E6"/>
    <w:rsid w:val="005A5775"/>
    <w:rsid w:val="005F2060"/>
    <w:rsid w:val="00605303"/>
    <w:rsid w:val="00696F39"/>
    <w:rsid w:val="006B50D9"/>
    <w:rsid w:val="006C25B8"/>
    <w:rsid w:val="00703AF0"/>
    <w:rsid w:val="007173DB"/>
    <w:rsid w:val="00753337"/>
    <w:rsid w:val="007A7504"/>
    <w:rsid w:val="007C6F18"/>
    <w:rsid w:val="0084642C"/>
    <w:rsid w:val="008F2E5E"/>
    <w:rsid w:val="00A23F80"/>
    <w:rsid w:val="00A34DF6"/>
    <w:rsid w:val="00A96A8A"/>
    <w:rsid w:val="00AF5E63"/>
    <w:rsid w:val="00C1416D"/>
    <w:rsid w:val="00CA65FB"/>
    <w:rsid w:val="00DD6096"/>
    <w:rsid w:val="00DE67A7"/>
    <w:rsid w:val="00E0218D"/>
    <w:rsid w:val="00E0467E"/>
    <w:rsid w:val="00EE5552"/>
    <w:rsid w:val="00F0323F"/>
    <w:rsid w:val="00F447B4"/>
    <w:rsid w:val="00F967FE"/>
    <w:rsid w:val="00FC1C03"/>
    <w:rsid w:val="00FF6366"/>
    <w:rsid w:val="1463670A"/>
    <w:rsid w:val="41815739"/>
    <w:rsid w:val="5D8E58B8"/>
    <w:rsid w:val="7D27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Plain Text"/>
    <w:basedOn w:val="1"/>
    <w:link w:val="9"/>
    <w:qFormat/>
    <w:uiPriority w:val="0"/>
    <w:rPr>
      <w:rFonts w:ascii="宋体" w:hAnsi="宋体" w:cs="Courier New"/>
      <w:szCs w:val="21"/>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style>
  <w:style w:type="character" w:customStyle="1" w:styleId="8">
    <w:name w:val="页脚 字符"/>
    <w:basedOn w:val="7"/>
    <w:link w:val="2"/>
    <w:uiPriority w:val="99"/>
    <w:rPr>
      <w:rFonts w:ascii="Calibri" w:hAnsi="Calibri" w:eastAsia="宋体" w:cs="Times New Roman"/>
      <w:sz w:val="18"/>
      <w:szCs w:val="18"/>
    </w:rPr>
  </w:style>
  <w:style w:type="character" w:customStyle="1" w:styleId="9">
    <w:name w:val="纯文本 字符"/>
    <w:basedOn w:val="7"/>
    <w:link w:val="3"/>
    <w:qFormat/>
    <w:uiPriority w:val="0"/>
    <w:rPr>
      <w:rFonts w:ascii="宋体" w:hAnsi="宋体" w:eastAsia="宋体" w:cs="Courier New"/>
      <w:szCs w:val="21"/>
    </w:rPr>
  </w:style>
  <w:style w:type="character" w:customStyle="1" w:styleId="10">
    <w:name w:val="页眉 字符"/>
    <w:basedOn w:val="7"/>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4305</Words>
  <Characters>4572</Characters>
  <Lines>33</Lines>
  <Paragraphs>9</Paragraphs>
  <TotalTime>3</TotalTime>
  <ScaleCrop>false</ScaleCrop>
  <LinksUpToDate>false</LinksUpToDate>
  <CharactersWithSpaces>4589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2025-11-19T03:36:00Z</dcterms:created>
  <dc:creator>Windows 用户</dc:creator>
  <cp:lastModifiedBy>钟海燕</cp:lastModifiedBy>
  <cp:lastPrinted>2026-05-21T07:52:11Z</cp:lastPrinted>
  <dcterms:modified xsi:type="dcterms:W3CDTF">2026-05-21T07:54:17Z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eyJoZGlkIjoiM2E2NGRlZTE3NjVmZGZkNzU0MTQwYWE4ZjgyZGJkMmQiLCJ1c2VySWQiOiIxNzM4Njc1NDgxIn0=</vt:lpwstr>
  </property>
  <property fmtid="{D5CDD505-2E9C-101B-9397-08002B2CF9AE}" pid="3" name="KSOProductBuildVer">
    <vt:lpwstr>2052-12.1.0.25865</vt:lpwstr>
  </property>
  <property fmtid="{D5CDD505-2E9C-101B-9397-08002B2CF9AE}" pid="4" name="ICV">
    <vt:lpwstr>4AC844F92865441D9DB7FFE3743396B2_12</vt:lpwstr>
  </property>
</Properties>
</file>