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69" w:rsidRDefault="003D249B">
      <w:pPr>
        <w:spacing w:line="360" w:lineRule="auto"/>
        <w:rPr>
          <w:rFonts w:ascii="微软雅黑" w:eastAsia="微软雅黑" w:hAnsi="微软雅黑" w:cs="宋体"/>
          <w:b/>
          <w:bCs/>
          <w:color w:val="EE000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color w:val="EE0000"/>
          <w:sz w:val="30"/>
          <w:szCs w:val="30"/>
        </w:rPr>
        <w:t>一、UPS主机技术要求：</w:t>
      </w:r>
    </w:p>
    <w:p w:rsidR="005F0769" w:rsidRDefault="003D249B">
      <w:pPr>
        <w:spacing w:line="56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1．</w:t>
      </w:r>
      <w:r>
        <w:rPr>
          <w:rFonts w:ascii="微软雅黑" w:eastAsia="微软雅黑" w:hAnsi="微软雅黑" w:hint="eastAsia"/>
          <w:szCs w:val="21"/>
        </w:rPr>
        <w:t>UPS</w:t>
      </w:r>
      <w:r>
        <w:rPr>
          <w:rFonts w:ascii="微软雅黑" w:eastAsia="微软雅黑" w:hAnsi="微软雅黑"/>
          <w:szCs w:val="21"/>
        </w:rPr>
        <w:t>功率</w:t>
      </w:r>
      <w:r>
        <w:rPr>
          <w:rFonts w:ascii="微软雅黑" w:eastAsia="微软雅黑" w:hAnsi="微软雅黑" w:hint="eastAsia"/>
          <w:szCs w:val="21"/>
        </w:rPr>
        <w:t>：300</w:t>
      </w:r>
      <w:r>
        <w:rPr>
          <w:rFonts w:ascii="微软雅黑" w:eastAsia="微软雅黑" w:hAnsi="微软雅黑"/>
          <w:szCs w:val="21"/>
        </w:rPr>
        <w:t>KVA，输出功率因素</w:t>
      </w:r>
      <w:r>
        <w:rPr>
          <w:rFonts w:ascii="微软雅黑" w:eastAsia="微软雅黑" w:hAnsi="微软雅黑" w:hint="eastAsia"/>
          <w:szCs w:val="21"/>
        </w:rPr>
        <w:t>1</w:t>
      </w:r>
      <w:r>
        <w:rPr>
          <w:rFonts w:ascii="微软雅黑" w:eastAsia="微软雅黑" w:hAnsi="微软雅黑"/>
          <w:szCs w:val="21"/>
        </w:rPr>
        <w:t>。</w:t>
      </w:r>
      <w:r>
        <w:rPr>
          <w:rFonts w:ascii="微软雅黑" w:eastAsia="微软雅黑" w:hAnsi="微软雅黑" w:hint="eastAsia"/>
          <w:szCs w:val="21"/>
        </w:rPr>
        <w:t>数量4台。</w:t>
      </w:r>
    </w:p>
    <w:p w:rsidR="005F0769" w:rsidRDefault="003D249B">
      <w:pPr>
        <w:spacing w:line="560" w:lineRule="exact"/>
        <w:ind w:leftChars="200" w:left="840" w:hangingChars="200" w:hanging="4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微软雅黑" w:eastAsia="微软雅黑" w:hAnsi="微软雅黑"/>
          <w:szCs w:val="21"/>
        </w:rPr>
        <w:t>2. UPS采用模块化设计，</w:t>
      </w:r>
      <w:r>
        <w:rPr>
          <w:rFonts w:ascii="微软雅黑" w:eastAsia="微软雅黑" w:hAnsi="微软雅黑" w:hint="eastAsia"/>
          <w:szCs w:val="21"/>
        </w:rPr>
        <w:t>物理架构：U</w:t>
      </w:r>
      <w:r>
        <w:rPr>
          <w:rFonts w:ascii="微软雅黑" w:eastAsia="微软雅黑" w:hAnsi="微软雅黑"/>
          <w:szCs w:val="21"/>
        </w:rPr>
        <w:t>PS</w:t>
      </w:r>
      <w:r>
        <w:rPr>
          <w:rFonts w:ascii="微软雅黑" w:eastAsia="微软雅黑" w:hAnsi="微软雅黑" w:hint="eastAsia"/>
          <w:szCs w:val="21"/>
        </w:rPr>
        <w:t xml:space="preserve">由智能控制模块、功率模块、静态旁路模块及其它组件组成；单机框容量：600KW, </w:t>
      </w:r>
      <w:r>
        <w:rPr>
          <w:rFonts w:ascii="微软雅黑" w:eastAsia="微软雅黑" w:hAnsi="微软雅黑"/>
          <w:szCs w:val="21"/>
        </w:rPr>
        <w:t>功率模块</w:t>
      </w:r>
      <w:r>
        <w:rPr>
          <w:rFonts w:ascii="微软雅黑" w:eastAsia="微软雅黑" w:hAnsi="微软雅黑" w:hint="eastAsia"/>
          <w:szCs w:val="21"/>
        </w:rPr>
        <w:t>≥60</w:t>
      </w:r>
      <w:r>
        <w:rPr>
          <w:rFonts w:ascii="微软雅黑" w:eastAsia="微软雅黑" w:hAnsi="微软雅黑"/>
          <w:szCs w:val="21"/>
        </w:rPr>
        <w:t>KW，</w:t>
      </w:r>
      <w:r>
        <w:rPr>
          <w:rFonts w:ascii="微软雅黑" w:eastAsia="微软雅黑" w:hAnsi="微软雅黑" w:hint="eastAsia"/>
          <w:szCs w:val="21"/>
        </w:rPr>
        <w:t>本期部署</w:t>
      </w:r>
      <w:r>
        <w:rPr>
          <w:rFonts w:ascii="微软雅黑" w:eastAsia="微软雅黑" w:hAnsi="微软雅黑"/>
          <w:szCs w:val="21"/>
        </w:rPr>
        <w:t>功率模块</w:t>
      </w:r>
      <w:r>
        <w:rPr>
          <w:rFonts w:ascii="微软雅黑" w:eastAsia="微软雅黑" w:hAnsi="微软雅黑" w:hint="eastAsia"/>
          <w:szCs w:val="21"/>
        </w:rPr>
        <w:t>数量：5个，每个模块高度：3U</w:t>
      </w:r>
      <w:r>
        <w:rPr>
          <w:rFonts w:ascii="微软雅黑" w:eastAsia="微软雅黑" w:hAnsi="微软雅黑"/>
          <w:szCs w:val="21"/>
        </w:rPr>
        <w:t>。功率模块可在不转旁路情况下，实现带电热插拔，可在线扩容，</w:t>
      </w:r>
      <w:r>
        <w:rPr>
          <w:rFonts w:ascii="微软雅黑" w:eastAsia="微软雅黑" w:hAnsi="微软雅黑" w:hint="eastAsia"/>
          <w:szCs w:val="21"/>
        </w:rPr>
        <w:t>方便后期扩容及维护；智能控制模块、静态旁路模块应实现可插拔，便于现场维护，</w:t>
      </w:r>
      <w:r>
        <w:rPr>
          <w:rFonts w:ascii="微软雅黑" w:eastAsia="微软雅黑" w:hAnsi="微软雅黑"/>
          <w:szCs w:val="21"/>
        </w:rPr>
        <w:t>极大降低现场的维修时间</w:t>
      </w:r>
      <w:r>
        <w:rPr>
          <w:rFonts w:ascii="微软雅黑" w:eastAsia="微软雅黑" w:hAnsi="微软雅黑" w:hint="eastAsia"/>
          <w:szCs w:val="21"/>
        </w:rPr>
        <w:t>。</w:t>
      </w:r>
    </w:p>
    <w:p w:rsidR="005F0769" w:rsidRDefault="003D249B">
      <w:pPr>
        <w:pStyle w:val="a3"/>
        <w:numPr>
          <w:ilvl w:val="0"/>
          <w:numId w:val="1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UPS输入要求：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输入电压</w:t>
      </w:r>
      <w:r>
        <w:rPr>
          <w:rFonts w:ascii="微软雅黑" w:eastAsia="微软雅黑" w:hAnsi="微软雅黑" w:hint="eastAsia"/>
          <w:szCs w:val="21"/>
        </w:rPr>
        <w:t>：AC</w:t>
      </w:r>
      <w:r>
        <w:rPr>
          <w:rFonts w:ascii="微软雅黑" w:eastAsia="微软雅黑" w:hAnsi="微软雅黑"/>
          <w:szCs w:val="21"/>
        </w:rPr>
        <w:t>380 / 400 / 415 V （三相 + 零线 + 地线）</w:t>
      </w:r>
      <w:r>
        <w:rPr>
          <w:rFonts w:ascii="微软雅黑" w:eastAsia="微软雅黑" w:hAnsi="微软雅黑" w:hint="eastAsia"/>
          <w:szCs w:val="21"/>
        </w:rPr>
        <w:t>。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输入电压范围应不小于±15%。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频率范围为4</w:t>
      </w:r>
      <w:r>
        <w:rPr>
          <w:rFonts w:ascii="微软雅黑" w:eastAsia="微软雅黑" w:hAnsi="微软雅黑"/>
          <w:szCs w:val="21"/>
        </w:rPr>
        <w:t>0</w:t>
      </w:r>
      <w:r>
        <w:rPr>
          <w:rFonts w:ascii="微软雅黑" w:eastAsia="微软雅黑" w:hAnsi="微软雅黑" w:hint="eastAsia"/>
          <w:szCs w:val="21"/>
        </w:rPr>
        <w:t>～</w:t>
      </w:r>
      <w:r>
        <w:rPr>
          <w:rFonts w:ascii="微软雅黑" w:eastAsia="微软雅黑" w:hAnsi="微软雅黑"/>
          <w:szCs w:val="21"/>
        </w:rPr>
        <w:t>70</w:t>
      </w:r>
      <w:r>
        <w:rPr>
          <w:rFonts w:ascii="微软雅黑" w:eastAsia="微软雅黑" w:hAnsi="微软雅黑" w:hint="eastAsia"/>
          <w:szCs w:val="21"/>
        </w:rPr>
        <w:t>Hz。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频率跟踪范围为50Hz</w:t>
      </w:r>
      <w:r>
        <w:rPr>
          <w:rFonts w:ascii="微软雅黑" w:eastAsia="微软雅黑" w:hAnsi="微软雅黑"/>
          <w:szCs w:val="21"/>
        </w:rPr>
        <w:t>±10</w:t>
      </w:r>
      <w:r>
        <w:rPr>
          <w:rFonts w:ascii="微软雅黑" w:eastAsia="微软雅黑" w:hAnsi="微软雅黑" w:hint="eastAsia"/>
          <w:szCs w:val="21"/>
        </w:rPr>
        <w:t>％可调。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频率跟踪速率：≤1Hz/s。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输入功率因数（3</w:t>
      </w:r>
      <w:r>
        <w:rPr>
          <w:rFonts w:ascii="微软雅黑" w:eastAsia="微软雅黑" w:hAnsi="微软雅黑"/>
          <w:szCs w:val="21"/>
        </w:rPr>
        <w:t>0</w:t>
      </w:r>
      <w:r>
        <w:rPr>
          <w:rFonts w:ascii="微软雅黑" w:eastAsia="微软雅黑" w:hAnsi="微软雅黑" w:hint="eastAsia"/>
          <w:szCs w:val="21"/>
        </w:rPr>
        <w:t>%非线性负载以上）：≥0.99，请投标人提供泰尔检测报告数据（3</w:t>
      </w:r>
      <w:r>
        <w:rPr>
          <w:rFonts w:ascii="微软雅黑" w:eastAsia="微软雅黑" w:hAnsi="微软雅黑"/>
          <w:szCs w:val="21"/>
        </w:rPr>
        <w:t>0</w:t>
      </w:r>
      <w:r>
        <w:rPr>
          <w:rFonts w:ascii="微软雅黑" w:eastAsia="微软雅黑" w:hAnsi="微软雅黑" w:hint="eastAsia"/>
          <w:szCs w:val="21"/>
        </w:rPr>
        <w:t>%、5</w:t>
      </w:r>
      <w:r>
        <w:rPr>
          <w:rFonts w:ascii="微软雅黑" w:eastAsia="微软雅黑" w:hAnsi="微软雅黑"/>
          <w:szCs w:val="21"/>
        </w:rPr>
        <w:t>0</w:t>
      </w:r>
      <w:r>
        <w:rPr>
          <w:rFonts w:ascii="微软雅黑" w:eastAsia="微软雅黑" w:hAnsi="微软雅黑" w:hint="eastAsia"/>
          <w:szCs w:val="21"/>
        </w:rPr>
        <w:t>%及1</w:t>
      </w:r>
      <w:r>
        <w:rPr>
          <w:rFonts w:ascii="微软雅黑" w:eastAsia="微软雅黑" w:hAnsi="微软雅黑"/>
          <w:szCs w:val="21"/>
        </w:rPr>
        <w:t>00</w:t>
      </w:r>
      <w:r>
        <w:rPr>
          <w:rFonts w:ascii="微软雅黑" w:eastAsia="微软雅黑" w:hAnsi="微软雅黑" w:hint="eastAsia"/>
          <w:szCs w:val="21"/>
        </w:rPr>
        <w:t>%非线性负载时）供查验。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输入电流谐波失真度（THDI，</w:t>
      </w:r>
      <w:r>
        <w:rPr>
          <w:rFonts w:ascii="微软雅黑" w:eastAsia="微软雅黑" w:hAnsi="微软雅黑"/>
          <w:szCs w:val="21"/>
        </w:rPr>
        <w:t>100</w:t>
      </w:r>
      <w:r>
        <w:rPr>
          <w:rFonts w:ascii="微软雅黑" w:eastAsia="微软雅黑" w:hAnsi="微软雅黑" w:hint="eastAsia"/>
          <w:szCs w:val="21"/>
        </w:rPr>
        <w:t>%线性负载时）：≤3%，请投标人提供泰尔检测报告数据供查验。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输入短路限制电流</w:t>
      </w:r>
      <w:r>
        <w:rPr>
          <w:rFonts w:ascii="微软雅黑" w:eastAsia="微软雅黑" w:hAnsi="微软雅黑"/>
          <w:szCs w:val="21"/>
        </w:rPr>
        <w:t>ICC</w:t>
      </w:r>
      <w:r>
        <w:rPr>
          <w:rFonts w:ascii="微软雅黑" w:eastAsia="微软雅黑" w:hAnsi="微软雅黑" w:hint="eastAsia"/>
          <w:szCs w:val="21"/>
        </w:rPr>
        <w:t>：65</w:t>
      </w:r>
      <w:r>
        <w:rPr>
          <w:rFonts w:ascii="微软雅黑" w:eastAsia="微软雅黑" w:hAnsi="微软雅黑"/>
          <w:szCs w:val="21"/>
        </w:rPr>
        <w:t>KA</w:t>
      </w:r>
    </w:p>
    <w:p w:rsidR="005F0769" w:rsidRDefault="003D249B">
      <w:pPr>
        <w:pStyle w:val="a3"/>
        <w:numPr>
          <w:ilvl w:val="0"/>
          <w:numId w:val="2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整流器具有PFC功率因数校正功能。</w:t>
      </w:r>
    </w:p>
    <w:p w:rsidR="005F0769" w:rsidRDefault="003D249B">
      <w:pPr>
        <w:pStyle w:val="a3"/>
        <w:numPr>
          <w:ilvl w:val="0"/>
          <w:numId w:val="1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输出要求：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输出电压：AC</w:t>
      </w:r>
      <w:r>
        <w:rPr>
          <w:rFonts w:ascii="微软雅黑" w:eastAsia="微软雅黑" w:hAnsi="微软雅黑"/>
          <w:szCs w:val="21"/>
        </w:rPr>
        <w:t>380/400/415V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输出电压稳压精度：38</w:t>
      </w:r>
      <w:r>
        <w:rPr>
          <w:rFonts w:ascii="微软雅黑" w:eastAsia="微软雅黑" w:hAnsi="微软雅黑"/>
          <w:szCs w:val="21"/>
        </w:rPr>
        <w:t>0VAC±0.5</w:t>
      </w:r>
      <w:r>
        <w:rPr>
          <w:rFonts w:ascii="微软雅黑" w:eastAsia="微软雅黑" w:hAnsi="微软雅黑" w:hint="eastAsia"/>
          <w:szCs w:val="21"/>
        </w:rPr>
        <w:t xml:space="preserve">％，三相五线。 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输出频率：50±0.01Hz</w:t>
      </w:r>
      <w:r>
        <w:rPr>
          <w:rFonts w:ascii="微软雅黑" w:eastAsia="微软雅黑" w:hAnsi="微软雅黑" w:hint="eastAsia"/>
          <w:szCs w:val="21"/>
        </w:rPr>
        <w:t>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lastRenderedPageBreak/>
        <w:t>瞬态</w:t>
      </w:r>
      <w:r>
        <w:rPr>
          <w:rFonts w:ascii="微软雅黑" w:eastAsia="微软雅黑" w:hAnsi="微软雅黑" w:hint="eastAsia"/>
          <w:szCs w:val="21"/>
        </w:rPr>
        <w:t>电压变化范围：</w:t>
      </w:r>
      <w:r>
        <w:rPr>
          <w:rFonts w:ascii="微软雅黑" w:eastAsia="微软雅黑" w:hAnsi="微软雅黑"/>
          <w:szCs w:val="21"/>
        </w:rPr>
        <w:t>在负载跳变100</w:t>
      </w:r>
      <w:r>
        <w:rPr>
          <w:rFonts w:ascii="微软雅黑" w:eastAsia="微软雅黑" w:hAnsi="微软雅黑" w:hint="eastAsia"/>
          <w:szCs w:val="21"/>
        </w:rPr>
        <w:t>％</w:t>
      </w:r>
      <w:r>
        <w:rPr>
          <w:rFonts w:ascii="微软雅黑" w:eastAsia="微软雅黑" w:hAnsi="微软雅黑"/>
          <w:szCs w:val="21"/>
        </w:rPr>
        <w:t>时</w:t>
      </w:r>
      <w:r>
        <w:rPr>
          <w:rFonts w:ascii="微软雅黑" w:eastAsia="微软雅黑" w:hAnsi="微软雅黑" w:hint="eastAsia"/>
          <w:szCs w:val="21"/>
        </w:rPr>
        <w:t>≤</w:t>
      </w:r>
      <w:r>
        <w:rPr>
          <w:rFonts w:ascii="微软雅黑" w:eastAsia="微软雅黑" w:hAnsi="微软雅黑"/>
          <w:szCs w:val="21"/>
        </w:rPr>
        <w:t>±2</w:t>
      </w:r>
      <w:r>
        <w:rPr>
          <w:rFonts w:ascii="微软雅黑" w:eastAsia="微软雅黑" w:hAnsi="微软雅黑" w:hint="eastAsia"/>
          <w:szCs w:val="21"/>
        </w:rPr>
        <w:t>％。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瞬时电压恢复时间：≤</w:t>
      </w:r>
      <w:r>
        <w:rPr>
          <w:rFonts w:ascii="微软雅黑" w:eastAsia="微软雅黑" w:hAnsi="微软雅黑"/>
          <w:szCs w:val="21"/>
        </w:rPr>
        <w:t>5</w:t>
      </w:r>
      <w:r>
        <w:rPr>
          <w:rFonts w:ascii="微软雅黑" w:eastAsia="微软雅黑" w:hAnsi="微软雅黑" w:hint="eastAsia"/>
          <w:szCs w:val="21"/>
        </w:rPr>
        <w:t>ms。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输出电压谐波失真度(THD</w:t>
      </w:r>
      <w:r>
        <w:rPr>
          <w:rFonts w:ascii="微软雅黑" w:eastAsia="微软雅黑" w:hAnsi="微软雅黑"/>
          <w:szCs w:val="21"/>
        </w:rPr>
        <w:t>U</w:t>
      </w:r>
      <w:r>
        <w:rPr>
          <w:rFonts w:ascii="微软雅黑" w:eastAsia="微软雅黑" w:hAnsi="微软雅黑" w:hint="eastAsia"/>
          <w:szCs w:val="21"/>
        </w:rPr>
        <w:t>)：≤1%（线性负载）；≤3%（非线性负载）。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峰值因数：≥</w:t>
      </w:r>
      <w:r>
        <w:rPr>
          <w:rFonts w:ascii="微软雅黑" w:eastAsia="微软雅黑" w:hAnsi="微软雅黑"/>
          <w:szCs w:val="21"/>
        </w:rPr>
        <w:t>3</w:t>
      </w:r>
      <w:r>
        <w:rPr>
          <w:rFonts w:ascii="微软雅黑" w:eastAsia="微软雅黑" w:hAnsi="微软雅黑" w:hint="eastAsia"/>
          <w:szCs w:val="21"/>
        </w:rPr>
        <w:t>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输出负载功率因数1（环境温度0-40℃）。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双变换模式下效率： 50%负载下≥97%，100%负载下≥96%。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输出</w:t>
      </w:r>
      <w:r>
        <w:rPr>
          <w:rFonts w:ascii="微软雅黑" w:eastAsia="微软雅黑" w:hAnsi="微软雅黑"/>
          <w:szCs w:val="21"/>
        </w:rPr>
        <w:t>电压不平衡：</w:t>
      </w:r>
      <w:r>
        <w:rPr>
          <w:rFonts w:ascii="微软雅黑" w:eastAsia="微软雅黑" w:hAnsi="微软雅黑" w:hint="eastAsia"/>
          <w:szCs w:val="21"/>
        </w:rPr>
        <w:t>±＜0</w:t>
      </w:r>
      <w:r>
        <w:rPr>
          <w:rFonts w:ascii="微软雅黑" w:eastAsia="微软雅黑" w:hAnsi="微软雅黑"/>
          <w:szCs w:val="21"/>
        </w:rPr>
        <w:t>.1</w:t>
      </w:r>
      <w:r>
        <w:rPr>
          <w:rFonts w:ascii="微软雅黑" w:eastAsia="微软雅黑" w:hAnsi="微软雅黑" w:hint="eastAsia"/>
          <w:szCs w:val="21"/>
        </w:rPr>
        <w:t>%（平衡负载），±＜1%（1</w:t>
      </w:r>
      <w:r>
        <w:rPr>
          <w:rFonts w:ascii="微软雅黑" w:eastAsia="微软雅黑" w:hAnsi="微软雅黑"/>
          <w:szCs w:val="21"/>
        </w:rPr>
        <w:t>00</w:t>
      </w:r>
      <w:r>
        <w:rPr>
          <w:rFonts w:ascii="微软雅黑" w:eastAsia="微软雅黑" w:hAnsi="微软雅黑" w:hint="eastAsia"/>
          <w:szCs w:val="21"/>
        </w:rPr>
        <w:t>%不平衡负载）。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输出电压相位偏差：≤±0.2°。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逆变器过载能力：</w:t>
      </w:r>
      <w:r>
        <w:rPr>
          <w:rFonts w:ascii="微软雅黑" w:eastAsia="微软雅黑" w:hAnsi="微软雅黑"/>
          <w:szCs w:val="21"/>
        </w:rPr>
        <w:t>1</w:t>
      </w:r>
      <w:r>
        <w:rPr>
          <w:rFonts w:ascii="微软雅黑" w:eastAsia="微软雅黑" w:hAnsi="微软雅黑" w:hint="eastAsia"/>
          <w:szCs w:val="21"/>
        </w:rPr>
        <w:t>10％</w:t>
      </w:r>
      <w:r>
        <w:rPr>
          <w:rFonts w:ascii="微软雅黑" w:eastAsia="微软雅黑" w:hAnsi="微软雅黑"/>
          <w:szCs w:val="21"/>
        </w:rPr>
        <w:t>支持</w:t>
      </w:r>
      <w:r>
        <w:rPr>
          <w:rFonts w:ascii="微软雅黑" w:eastAsia="微软雅黑" w:hAnsi="微软雅黑" w:hint="eastAsia"/>
          <w:szCs w:val="21"/>
        </w:rPr>
        <w:t>60min运行，</w:t>
      </w:r>
      <w:r>
        <w:rPr>
          <w:rFonts w:ascii="微软雅黑" w:eastAsia="微软雅黑" w:hAnsi="微软雅黑"/>
          <w:szCs w:val="21"/>
        </w:rPr>
        <w:t>125</w:t>
      </w:r>
      <w:r>
        <w:rPr>
          <w:rFonts w:ascii="微软雅黑" w:eastAsia="微软雅黑" w:hAnsi="微软雅黑" w:hint="eastAsia"/>
          <w:szCs w:val="21"/>
        </w:rPr>
        <w:t>％</w:t>
      </w:r>
      <w:r>
        <w:rPr>
          <w:rFonts w:ascii="微软雅黑" w:eastAsia="微软雅黑" w:hAnsi="微软雅黑"/>
          <w:szCs w:val="21"/>
        </w:rPr>
        <w:t>支持10</w:t>
      </w:r>
      <w:r>
        <w:rPr>
          <w:rFonts w:ascii="微软雅黑" w:eastAsia="微软雅黑" w:hAnsi="微软雅黑" w:hint="eastAsia"/>
          <w:szCs w:val="21"/>
        </w:rPr>
        <w:t>min运行，</w:t>
      </w:r>
      <w:r>
        <w:rPr>
          <w:rFonts w:ascii="微软雅黑" w:eastAsia="微软雅黑" w:hAnsi="微软雅黑"/>
          <w:szCs w:val="21"/>
        </w:rPr>
        <w:t>150</w:t>
      </w:r>
      <w:r>
        <w:rPr>
          <w:rFonts w:ascii="微软雅黑" w:eastAsia="微软雅黑" w:hAnsi="微软雅黑" w:hint="eastAsia"/>
          <w:szCs w:val="21"/>
        </w:rPr>
        <w:t>％</w:t>
      </w:r>
      <w:r>
        <w:rPr>
          <w:rFonts w:ascii="微软雅黑" w:eastAsia="微软雅黑" w:hAnsi="微软雅黑"/>
          <w:szCs w:val="21"/>
        </w:rPr>
        <w:t>支持60</w:t>
      </w:r>
      <w:r>
        <w:rPr>
          <w:rFonts w:ascii="微软雅黑" w:eastAsia="微软雅黑" w:hAnsi="微软雅黑" w:hint="eastAsia"/>
          <w:szCs w:val="21"/>
        </w:rPr>
        <w:t>s运行。</w:t>
      </w:r>
    </w:p>
    <w:p w:rsidR="005F0769" w:rsidRDefault="003D249B">
      <w:pPr>
        <w:pStyle w:val="a3"/>
        <w:numPr>
          <w:ilvl w:val="0"/>
          <w:numId w:val="3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静态旁路过载能力：</w:t>
      </w:r>
      <w:r>
        <w:rPr>
          <w:rFonts w:ascii="微软雅黑" w:eastAsia="微软雅黑" w:hAnsi="微软雅黑"/>
          <w:szCs w:val="21"/>
        </w:rPr>
        <w:t>12</w:t>
      </w:r>
      <w:r>
        <w:rPr>
          <w:rFonts w:ascii="微软雅黑" w:eastAsia="微软雅黑" w:hAnsi="微软雅黑" w:hint="eastAsia"/>
          <w:szCs w:val="21"/>
        </w:rPr>
        <w:t>0％支持60min运行，</w:t>
      </w:r>
      <w:r>
        <w:rPr>
          <w:rFonts w:ascii="微软雅黑" w:eastAsia="微软雅黑" w:hAnsi="微软雅黑"/>
          <w:szCs w:val="21"/>
        </w:rPr>
        <w:t>125</w:t>
      </w:r>
      <w:r>
        <w:rPr>
          <w:rFonts w:ascii="微软雅黑" w:eastAsia="微软雅黑" w:hAnsi="微软雅黑" w:hint="eastAsia"/>
          <w:szCs w:val="21"/>
        </w:rPr>
        <w:t>％</w:t>
      </w:r>
      <w:r>
        <w:rPr>
          <w:rFonts w:ascii="微软雅黑" w:eastAsia="微软雅黑" w:hAnsi="微软雅黑"/>
          <w:szCs w:val="21"/>
        </w:rPr>
        <w:t>支持10</w:t>
      </w:r>
      <w:r>
        <w:rPr>
          <w:rFonts w:ascii="微软雅黑" w:eastAsia="微软雅黑" w:hAnsi="微软雅黑" w:hint="eastAsia"/>
          <w:szCs w:val="21"/>
        </w:rPr>
        <w:t>min运行，</w:t>
      </w:r>
      <w:r>
        <w:rPr>
          <w:rFonts w:ascii="微软雅黑" w:eastAsia="微软雅黑" w:hAnsi="微软雅黑"/>
          <w:szCs w:val="21"/>
        </w:rPr>
        <w:t>150</w:t>
      </w:r>
      <w:r>
        <w:rPr>
          <w:rFonts w:ascii="微软雅黑" w:eastAsia="微软雅黑" w:hAnsi="微软雅黑" w:hint="eastAsia"/>
          <w:szCs w:val="21"/>
        </w:rPr>
        <w:t>％</w:t>
      </w:r>
      <w:r>
        <w:rPr>
          <w:rFonts w:ascii="微软雅黑" w:eastAsia="微软雅黑" w:hAnsi="微软雅黑"/>
          <w:szCs w:val="21"/>
        </w:rPr>
        <w:t>支持60</w:t>
      </w:r>
      <w:r>
        <w:rPr>
          <w:rFonts w:ascii="微软雅黑" w:eastAsia="微软雅黑" w:hAnsi="微软雅黑" w:hint="eastAsia"/>
          <w:szCs w:val="21"/>
        </w:rPr>
        <w:t>s运行。</w:t>
      </w:r>
    </w:p>
    <w:p w:rsidR="005F0769" w:rsidRDefault="003D249B">
      <w:pPr>
        <w:pStyle w:val="a3"/>
        <w:numPr>
          <w:ilvl w:val="0"/>
          <w:numId w:val="1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市电电池切换时间：0ms，旁路逆变切换时间：＜0ms。</w:t>
      </w:r>
    </w:p>
    <w:p w:rsidR="005F0769" w:rsidRDefault="003D249B">
      <w:pPr>
        <w:pStyle w:val="a3"/>
        <w:numPr>
          <w:ilvl w:val="0"/>
          <w:numId w:val="1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尺寸（W*</w:t>
      </w:r>
      <w:r>
        <w:rPr>
          <w:rFonts w:ascii="微软雅黑" w:eastAsia="微软雅黑" w:hAnsi="微软雅黑"/>
          <w:szCs w:val="21"/>
        </w:rPr>
        <w:t>D*H</w:t>
      </w:r>
      <w:r>
        <w:rPr>
          <w:rFonts w:ascii="微软雅黑" w:eastAsia="微软雅黑" w:hAnsi="微软雅黑" w:hint="eastAsia"/>
          <w:szCs w:val="21"/>
        </w:rPr>
        <w:t>）：不大于</w:t>
      </w:r>
      <w:r>
        <w:rPr>
          <w:rFonts w:ascii="微软雅黑" w:eastAsia="微软雅黑" w:hAnsi="微软雅黑"/>
          <w:szCs w:val="21"/>
        </w:rPr>
        <w:t>60</w:t>
      </w:r>
      <w:r>
        <w:rPr>
          <w:rFonts w:ascii="微软雅黑" w:eastAsia="微软雅黑" w:hAnsi="微软雅黑" w:hint="eastAsia"/>
          <w:szCs w:val="21"/>
        </w:rPr>
        <w:t>0</w:t>
      </w:r>
      <w:r>
        <w:rPr>
          <w:rFonts w:ascii="微软雅黑" w:eastAsia="微软雅黑" w:hAnsi="微软雅黑"/>
          <w:szCs w:val="21"/>
        </w:rPr>
        <w:t>mm</w:t>
      </w:r>
      <w:r>
        <w:rPr>
          <w:rFonts w:ascii="微软雅黑" w:eastAsia="微软雅黑" w:hAnsi="微软雅黑" w:hint="eastAsia"/>
          <w:szCs w:val="21"/>
        </w:rPr>
        <w:t>*</w:t>
      </w:r>
      <w:r>
        <w:rPr>
          <w:rFonts w:ascii="微软雅黑" w:eastAsia="微软雅黑" w:hAnsi="微软雅黑"/>
          <w:szCs w:val="21"/>
        </w:rPr>
        <w:t>1000mm</w:t>
      </w:r>
      <w:r>
        <w:rPr>
          <w:rFonts w:ascii="微软雅黑" w:eastAsia="微软雅黑" w:hAnsi="微软雅黑" w:hint="eastAsia"/>
          <w:szCs w:val="21"/>
        </w:rPr>
        <w:t>*</w:t>
      </w:r>
      <w:r>
        <w:rPr>
          <w:rFonts w:ascii="微软雅黑" w:eastAsia="微软雅黑" w:hAnsi="微软雅黑"/>
          <w:szCs w:val="21"/>
        </w:rPr>
        <w:t>2000mm</w:t>
      </w:r>
      <w:r>
        <w:rPr>
          <w:rFonts w:ascii="微软雅黑" w:eastAsia="微软雅黑" w:hAnsi="微软雅黑" w:hint="eastAsia"/>
          <w:szCs w:val="21"/>
        </w:rPr>
        <w:t>。</w:t>
      </w:r>
    </w:p>
    <w:p w:rsidR="005F0769" w:rsidRDefault="003D249B">
      <w:pPr>
        <w:pStyle w:val="a3"/>
        <w:numPr>
          <w:ilvl w:val="0"/>
          <w:numId w:val="1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显示面板： 采用不小于10英寸彩色触摸屏</w:t>
      </w:r>
      <w:r>
        <w:rPr>
          <w:rFonts w:ascii="微软雅黑" w:eastAsia="微软雅黑" w:hAnsi="微软雅黑"/>
          <w:szCs w:val="21"/>
        </w:rPr>
        <w:t>，方便操作维护。</w:t>
      </w:r>
      <w:r>
        <w:rPr>
          <w:rFonts w:ascii="微软雅黑" w:eastAsia="微软雅黑" w:hAnsi="微软雅黑" w:hint="eastAsia"/>
          <w:szCs w:val="21"/>
        </w:rPr>
        <w:t>具备U</w:t>
      </w:r>
      <w:r>
        <w:rPr>
          <w:rFonts w:ascii="微软雅黑" w:eastAsia="微软雅黑" w:hAnsi="微软雅黑"/>
          <w:szCs w:val="21"/>
        </w:rPr>
        <w:t>PS</w:t>
      </w:r>
      <w:r>
        <w:rPr>
          <w:rFonts w:ascii="微软雅黑" w:eastAsia="微软雅黑" w:hAnsi="微软雅黑" w:hint="eastAsia"/>
          <w:szCs w:val="21"/>
        </w:rPr>
        <w:t xml:space="preserve">运行模拟图和中文显示，具有事件记录。 </w:t>
      </w:r>
    </w:p>
    <w:p w:rsidR="005F0769" w:rsidRDefault="003D249B">
      <w:pPr>
        <w:pStyle w:val="a3"/>
        <w:numPr>
          <w:ilvl w:val="0"/>
          <w:numId w:val="1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为满足长延时备电，U</w:t>
      </w:r>
      <w:r>
        <w:rPr>
          <w:rFonts w:ascii="微软雅黑" w:eastAsia="微软雅黑" w:hAnsi="微软雅黑"/>
          <w:szCs w:val="21"/>
        </w:rPr>
        <w:t>PS</w:t>
      </w:r>
      <w:r>
        <w:rPr>
          <w:rFonts w:ascii="微软雅黑" w:eastAsia="微软雅黑" w:hAnsi="微软雅黑" w:hint="eastAsia"/>
          <w:szCs w:val="21"/>
        </w:rPr>
        <w:t>应具有不小于60%U</w:t>
      </w:r>
      <w:r>
        <w:rPr>
          <w:rFonts w:ascii="微软雅黑" w:eastAsia="微软雅黑" w:hAnsi="微软雅黑"/>
          <w:szCs w:val="21"/>
        </w:rPr>
        <w:t>PS</w:t>
      </w:r>
      <w:r>
        <w:rPr>
          <w:rFonts w:ascii="微软雅黑" w:eastAsia="微软雅黑" w:hAnsi="微软雅黑" w:hint="eastAsia"/>
          <w:szCs w:val="21"/>
        </w:rPr>
        <w:t xml:space="preserve">额定功率的充电功率。 </w:t>
      </w:r>
    </w:p>
    <w:p w:rsidR="005F0769" w:rsidRDefault="003D249B">
      <w:pPr>
        <w:pStyle w:val="a3"/>
        <w:numPr>
          <w:ilvl w:val="0"/>
          <w:numId w:val="1"/>
        </w:numPr>
        <w:spacing w:line="360" w:lineRule="auto"/>
        <w:contextualSpacing w:val="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hint="eastAsia"/>
          <w:szCs w:val="21"/>
        </w:rPr>
        <w:t>UPS电池管理：</w:t>
      </w:r>
    </w:p>
    <w:p w:rsidR="005F0769" w:rsidRDefault="003D249B">
      <w:pPr>
        <w:pStyle w:val="a3"/>
        <w:numPr>
          <w:ilvl w:val="0"/>
          <w:numId w:val="4"/>
        </w:numPr>
        <w:spacing w:line="360" w:lineRule="auto"/>
        <w:contextualSpacing w:val="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UPS具有电池均充、浮充自动控制功能：UPS在停机放置一段时间后，以及在蓄电池放电结束恢复正常供电后，自动启动均充充电，均充电压及均</w:t>
      </w:r>
      <w:proofErr w:type="gramStart"/>
      <w:r>
        <w:rPr>
          <w:rFonts w:ascii="微软雅黑" w:eastAsia="微软雅黑" w:hAnsi="微软雅黑" w:cs="宋体" w:hint="eastAsia"/>
          <w:szCs w:val="21"/>
        </w:rPr>
        <w:t>充时间</w:t>
      </w:r>
      <w:proofErr w:type="gramEnd"/>
      <w:r>
        <w:rPr>
          <w:rFonts w:ascii="微软雅黑" w:eastAsia="微软雅黑" w:hAnsi="微软雅黑" w:cs="宋体" w:hint="eastAsia"/>
          <w:szCs w:val="21"/>
        </w:rPr>
        <w:t>根据蓄电池性能要求设定好进行均充，均</w:t>
      </w:r>
      <w:proofErr w:type="gramStart"/>
      <w:r>
        <w:rPr>
          <w:rFonts w:ascii="微软雅黑" w:eastAsia="微软雅黑" w:hAnsi="微软雅黑" w:cs="宋体" w:hint="eastAsia"/>
          <w:szCs w:val="21"/>
        </w:rPr>
        <w:t>充完成</w:t>
      </w:r>
      <w:proofErr w:type="gramEnd"/>
      <w:r>
        <w:rPr>
          <w:rFonts w:ascii="微软雅黑" w:eastAsia="微软雅黑" w:hAnsi="微软雅黑" w:cs="宋体" w:hint="eastAsia"/>
          <w:szCs w:val="21"/>
        </w:rPr>
        <w:t>能够自动转为浮充充电。</w:t>
      </w:r>
    </w:p>
    <w:p w:rsidR="005F0769" w:rsidRDefault="003D249B">
      <w:pPr>
        <w:pStyle w:val="a3"/>
        <w:numPr>
          <w:ilvl w:val="0"/>
          <w:numId w:val="4"/>
        </w:numPr>
        <w:spacing w:line="360" w:lineRule="auto"/>
        <w:contextualSpacing w:val="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UPS具有电池充电温度补偿功能：能够根据电池环境温度，自动调整充电器输出</w:t>
      </w:r>
      <w:r>
        <w:rPr>
          <w:rFonts w:ascii="微软雅黑" w:eastAsia="微软雅黑" w:hAnsi="微软雅黑" w:cs="宋体" w:hint="eastAsia"/>
          <w:szCs w:val="21"/>
        </w:rPr>
        <w:lastRenderedPageBreak/>
        <w:t>电压，避免过充电和欠充电。</w:t>
      </w:r>
    </w:p>
    <w:p w:rsidR="005F0769" w:rsidRDefault="003D249B">
      <w:pPr>
        <w:pStyle w:val="a3"/>
        <w:numPr>
          <w:ilvl w:val="0"/>
          <w:numId w:val="4"/>
        </w:numPr>
        <w:spacing w:line="360" w:lineRule="auto"/>
        <w:contextualSpacing w:val="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UPS具有电池定期自动维护和测试功能：可以按客户要求设定蓄电池自动维护测试，到了设定的维护时间UPS自动转到电池供电，测试完成后自动恢复正常供电（测试到电池有问题时，即使没有完成电池测试，UPS都恢复正常供电，并报电池故障通知运维人员）。</w:t>
      </w:r>
    </w:p>
    <w:p w:rsidR="005F0769" w:rsidRDefault="003D249B">
      <w:pPr>
        <w:pStyle w:val="a3"/>
        <w:numPr>
          <w:ilvl w:val="0"/>
          <w:numId w:val="4"/>
        </w:numPr>
        <w:spacing w:line="360" w:lineRule="auto"/>
        <w:contextualSpacing w:val="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hint="eastAsia"/>
          <w:szCs w:val="21"/>
        </w:rPr>
        <w:t>设置电池分组开关，采用专用直流断路器</w:t>
      </w:r>
      <w:bookmarkStart w:id="0" w:name="_Hlk528073118"/>
      <w:r>
        <w:rPr>
          <w:rFonts w:ascii="微软雅黑" w:eastAsia="微软雅黑" w:hAnsi="微软雅黑" w:hint="eastAsia"/>
          <w:szCs w:val="21"/>
        </w:rPr>
        <w:t>：施耐德NSX DC</w:t>
      </w:r>
      <w:bookmarkEnd w:id="0"/>
      <w:r>
        <w:rPr>
          <w:rFonts w:ascii="微软雅黑" w:eastAsia="微软雅黑" w:hAnsi="微软雅黑" w:hint="eastAsia"/>
          <w:szCs w:val="21"/>
        </w:rPr>
        <w:t>，</w:t>
      </w:r>
      <w:r>
        <w:rPr>
          <w:rFonts w:ascii="微软雅黑" w:eastAsia="微软雅黑" w:hAnsi="微软雅黑" w:cs="宋体" w:hint="eastAsia"/>
          <w:szCs w:val="21"/>
        </w:rPr>
        <w:t>电池断路器具有防止误操作和深度放电保护的功能。</w:t>
      </w:r>
    </w:p>
    <w:p w:rsidR="005F0769" w:rsidRDefault="003D249B">
      <w:pPr>
        <w:pStyle w:val="a3"/>
        <w:numPr>
          <w:ilvl w:val="0"/>
          <w:numId w:val="4"/>
        </w:numPr>
        <w:spacing w:line="360" w:lineRule="auto"/>
        <w:contextualSpacing w:val="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在开关意外脱扣的情况下，系统能够提供报警。当整流器未建立直流母线电压时，电池断路器不能被闭合。</w:t>
      </w:r>
    </w:p>
    <w:p w:rsidR="005F0769" w:rsidRDefault="003D249B">
      <w:pPr>
        <w:pStyle w:val="a3"/>
        <w:numPr>
          <w:ilvl w:val="0"/>
          <w:numId w:val="4"/>
        </w:numPr>
        <w:spacing w:line="360" w:lineRule="auto"/>
        <w:contextualSpacing w:val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当电池放电终止时，断路器应能自动断开，以避免蓄电池组因过放电而损坏，U</w:t>
      </w:r>
      <w:r>
        <w:rPr>
          <w:rFonts w:ascii="微软雅黑" w:eastAsia="微软雅黑" w:hAnsi="微软雅黑" w:cs="宋体"/>
          <w:szCs w:val="21"/>
        </w:rPr>
        <w:t>PS</w:t>
      </w:r>
      <w:r>
        <w:rPr>
          <w:rFonts w:ascii="微软雅黑" w:eastAsia="微软雅黑" w:hAnsi="微软雅黑" w:cs="宋体" w:hint="eastAsia"/>
          <w:szCs w:val="21"/>
        </w:rPr>
        <w:t>具有不少于4组电池分开关的自动脱扣管理和开关状态监测功能，为保证安全，U</w:t>
      </w:r>
      <w:r>
        <w:rPr>
          <w:rFonts w:ascii="微软雅黑" w:eastAsia="微软雅黑" w:hAnsi="微软雅黑" w:cs="宋体"/>
          <w:szCs w:val="21"/>
        </w:rPr>
        <w:t>PS</w:t>
      </w:r>
      <w:r>
        <w:rPr>
          <w:rFonts w:ascii="微软雅黑" w:eastAsia="微软雅黑" w:hAnsi="微软雅黑" w:cs="宋体" w:hint="eastAsia"/>
          <w:szCs w:val="21"/>
        </w:rPr>
        <w:t>侧各电池分开关脱扣接入及辅助触点</w:t>
      </w:r>
      <w:proofErr w:type="gramStart"/>
      <w:r>
        <w:rPr>
          <w:rFonts w:ascii="微软雅黑" w:eastAsia="微软雅黑" w:hAnsi="微软雅黑" w:cs="宋体" w:hint="eastAsia"/>
          <w:szCs w:val="21"/>
        </w:rPr>
        <w:t>接入需</w:t>
      </w:r>
      <w:proofErr w:type="gramEnd"/>
      <w:r>
        <w:rPr>
          <w:rFonts w:ascii="微软雅黑" w:eastAsia="微软雅黑" w:hAnsi="微软雅黑" w:cs="宋体" w:hint="eastAsia"/>
          <w:szCs w:val="21"/>
        </w:rPr>
        <w:t>为分别的接口。</w:t>
      </w:r>
    </w:p>
    <w:p w:rsidR="005F0769" w:rsidRDefault="003D249B">
      <w:pPr>
        <w:pStyle w:val="a3"/>
        <w:numPr>
          <w:ilvl w:val="0"/>
          <w:numId w:val="4"/>
        </w:numPr>
        <w:spacing w:line="360" w:lineRule="auto"/>
        <w:contextualSpacing w:val="0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hint="eastAsia"/>
          <w:szCs w:val="21"/>
        </w:rPr>
        <w:t>UPS</w:t>
      </w:r>
      <w:r>
        <w:rPr>
          <w:rFonts w:ascii="微软雅黑" w:eastAsia="微软雅黑" w:hAnsi="微软雅黑" w:cs="宋体" w:hint="eastAsia"/>
          <w:szCs w:val="21"/>
        </w:rPr>
        <w:t>电池节数40-48连续单节可调（无中线）。</w:t>
      </w:r>
    </w:p>
    <w:p w:rsidR="005F0769" w:rsidRDefault="003D249B">
      <w:pPr>
        <w:spacing w:line="360" w:lineRule="auto"/>
        <w:rPr>
          <w:rFonts w:ascii="微软雅黑" w:eastAsia="微软雅黑" w:hAnsi="微软雅黑" w:cs="宋体"/>
          <w:b/>
          <w:bCs/>
          <w:color w:val="EE000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color w:val="EE0000"/>
          <w:sz w:val="30"/>
          <w:szCs w:val="30"/>
        </w:rPr>
        <w:t>二、商务要求</w:t>
      </w:r>
    </w:p>
    <w:p w:rsidR="003D249B" w:rsidRDefault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1、商品价格</w:t>
      </w:r>
      <w:r>
        <w:rPr>
          <w:rFonts w:ascii="微软雅黑" w:eastAsia="微软雅黑" w:hAnsi="微软雅黑" w:cs="宋体" w:hint="eastAsia"/>
          <w:bCs/>
          <w:szCs w:val="21"/>
        </w:rPr>
        <w:t>：</w:t>
      </w:r>
      <w:r w:rsidRPr="006126C8">
        <w:rPr>
          <w:rFonts w:ascii="微软雅黑" w:eastAsia="微软雅黑" w:hAnsi="微软雅黑" w:cs="宋体" w:hint="eastAsia"/>
          <w:bCs/>
          <w:szCs w:val="21"/>
        </w:rPr>
        <w:t>报价为含税总价，供应商须开具合法有效的增值税专用发票;报价包含运输、包装、装卸及UPS主机原厂工程师上门开机调试服务，采购人不再另行支付任何费用。</w:t>
      </w:r>
    </w:p>
    <w:p w:rsidR="006126C8" w:rsidRDefault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2、</w:t>
      </w:r>
      <w:r w:rsidRPr="006126C8">
        <w:rPr>
          <w:rFonts w:ascii="微软雅黑" w:eastAsia="微软雅黑" w:hAnsi="微软雅黑" w:cs="宋体" w:hint="eastAsia"/>
          <w:bCs/>
          <w:szCs w:val="21"/>
        </w:rPr>
        <w:t>交货时间</w:t>
      </w:r>
      <w:r>
        <w:rPr>
          <w:rFonts w:ascii="微软雅黑" w:eastAsia="微软雅黑" w:hAnsi="微软雅黑" w:cs="宋体" w:hint="eastAsia"/>
          <w:bCs/>
          <w:szCs w:val="21"/>
        </w:rPr>
        <w:t>：</w:t>
      </w:r>
      <w:r w:rsidRPr="006126C8">
        <w:rPr>
          <w:rFonts w:ascii="微软雅黑" w:eastAsia="微软雅黑" w:hAnsi="微软雅黑" w:cs="宋体" w:hint="eastAsia"/>
          <w:bCs/>
          <w:szCs w:val="21"/>
        </w:rPr>
        <w:t>合同签订后20个工作日内完成供货</w:t>
      </w:r>
      <w:r>
        <w:rPr>
          <w:rFonts w:ascii="微软雅黑" w:eastAsia="微软雅黑" w:hAnsi="微软雅黑" w:cs="宋体" w:hint="eastAsia"/>
          <w:bCs/>
          <w:szCs w:val="21"/>
        </w:rPr>
        <w:t>。</w:t>
      </w:r>
    </w:p>
    <w:p w:rsidR="006126C8" w:rsidRDefault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3、</w:t>
      </w:r>
      <w:r w:rsidRPr="006126C8">
        <w:rPr>
          <w:rFonts w:ascii="微软雅黑" w:eastAsia="微软雅黑" w:hAnsi="微软雅黑" w:cs="宋体" w:hint="eastAsia"/>
          <w:bCs/>
          <w:szCs w:val="21"/>
        </w:rPr>
        <w:t>送货地址</w:t>
      </w:r>
      <w:r>
        <w:rPr>
          <w:rFonts w:ascii="微软雅黑" w:eastAsia="微软雅黑" w:hAnsi="微软雅黑" w:cs="宋体" w:hint="eastAsia"/>
          <w:bCs/>
          <w:szCs w:val="21"/>
        </w:rPr>
        <w:t>:</w:t>
      </w:r>
      <w:r w:rsidRPr="006126C8">
        <w:rPr>
          <w:rFonts w:hint="eastAsia"/>
        </w:rPr>
        <w:t xml:space="preserve"> </w:t>
      </w:r>
      <w:r w:rsidRPr="006126C8">
        <w:rPr>
          <w:rFonts w:ascii="微软雅黑" w:eastAsia="微软雅黑" w:hAnsi="微软雅黑" w:cs="宋体" w:hint="eastAsia"/>
          <w:bCs/>
          <w:szCs w:val="21"/>
        </w:rPr>
        <w:t>广西广播电视台民族大道73号、75号</w:t>
      </w:r>
      <w:r>
        <w:rPr>
          <w:rFonts w:ascii="微软雅黑" w:eastAsia="微软雅黑" w:hAnsi="微软雅黑" w:cs="宋体" w:hint="eastAsia"/>
          <w:bCs/>
          <w:szCs w:val="21"/>
        </w:rPr>
        <w:t>.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4、</w:t>
      </w:r>
      <w:r w:rsidRPr="006126C8">
        <w:rPr>
          <w:rFonts w:ascii="微软雅黑" w:eastAsia="微软雅黑" w:hAnsi="微软雅黑" w:cs="宋体" w:hint="eastAsia"/>
          <w:bCs/>
          <w:szCs w:val="21"/>
        </w:rPr>
        <w:t>履约保证金</w:t>
      </w:r>
      <w:r>
        <w:rPr>
          <w:rFonts w:ascii="微软雅黑" w:eastAsia="微软雅黑" w:hAnsi="微软雅黑" w:cs="宋体" w:hint="eastAsia"/>
          <w:bCs/>
          <w:szCs w:val="21"/>
        </w:rPr>
        <w:t>：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（1）履约保证金金额：履约保证金按成交金额的2%计取，成交供应商须于成交结果确认后2个工作日内、合同签订前，将足额履约保证金缴入采购人下述指定账户：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 xml:space="preserve"> 开户名称：广西广播电视台 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lastRenderedPageBreak/>
        <w:t xml:space="preserve">开户银行：中国银行南宁市新竹路支行 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银行账号：626257498303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 xml:space="preserve"> 逾期未提交的，视作自动放弃成交资格，采购人顺延确定第二名候选人为成交人。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 xml:space="preserve"> （2）履约保证金递交方式：支票、汇票、本票，或者银行、保险机构出具的保函等非现金方式。 </w:t>
      </w:r>
    </w:p>
    <w:p w:rsidR="005B1070" w:rsidRDefault="006126C8">
      <w:pPr>
        <w:spacing w:line="360" w:lineRule="auto"/>
        <w:rPr>
          <w:rFonts w:ascii="微软雅黑" w:eastAsia="微软雅黑" w:hAnsi="微软雅黑" w:cs="宋体" w:hint="eastAsia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 xml:space="preserve">（3）履约保证金退付的方式、时间及条件：履约保证金在全部货物验收合格之日起十五个工作日内，由采购人无息退还。 </w:t>
      </w:r>
    </w:p>
    <w:p w:rsidR="006126C8" w:rsidRDefault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（4）履约保证金不予退还的情形：合同签订后至全部货物验收合格前，因乙方违约导致甲方解除合同的，甲方有权全额不予退还履约保证金，并追究乙方其他违约责任。</w:t>
      </w:r>
    </w:p>
    <w:p w:rsidR="006126C8" w:rsidRDefault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5、</w:t>
      </w:r>
      <w:r w:rsidRPr="006126C8">
        <w:rPr>
          <w:rFonts w:ascii="微软雅黑" w:eastAsia="微软雅黑" w:hAnsi="微软雅黑" w:cs="宋体" w:hint="eastAsia"/>
          <w:bCs/>
          <w:szCs w:val="21"/>
        </w:rPr>
        <w:t>供货要求</w:t>
      </w:r>
      <w:r>
        <w:rPr>
          <w:rFonts w:ascii="微软雅黑" w:eastAsia="微软雅黑" w:hAnsi="微软雅黑" w:cs="宋体" w:hint="eastAsia"/>
          <w:bCs/>
          <w:szCs w:val="21"/>
        </w:rPr>
        <w:t>：</w:t>
      </w:r>
      <w:r w:rsidRPr="006126C8">
        <w:rPr>
          <w:rFonts w:ascii="微软雅黑" w:eastAsia="微软雅黑" w:hAnsi="微软雅黑" w:cs="宋体" w:hint="eastAsia"/>
          <w:bCs/>
          <w:szCs w:val="21"/>
        </w:rPr>
        <w:t>UPS主机须为施耐德电气信息技术（中国）有限公司近半年同批次生产、全新未使用原厂合格品，供货需提供第三方检测报告及相关认证证书，享受原厂标准售后。一经查实货品为翻新、二手等非全新正品，采购人可拒收货物、单方解除合同，供应商承担合同总价20%违约金，不足弥补检测费、采买差价、工期延误等损失部分另行赔付，采购人可从履约保证金中直接抵扣相关费用。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6、</w:t>
      </w:r>
      <w:r w:rsidRPr="006126C8">
        <w:rPr>
          <w:rFonts w:ascii="微软雅黑" w:eastAsia="微软雅黑" w:hAnsi="微软雅黑" w:cs="宋体" w:hint="eastAsia"/>
          <w:bCs/>
          <w:szCs w:val="21"/>
        </w:rPr>
        <w:t>开机调试服务要求</w:t>
      </w:r>
      <w:r>
        <w:rPr>
          <w:rFonts w:ascii="微软雅黑" w:eastAsia="微软雅黑" w:hAnsi="微软雅黑" w:cs="宋体" w:hint="eastAsia"/>
          <w:bCs/>
          <w:szCs w:val="21"/>
        </w:rPr>
        <w:t>：</w:t>
      </w:r>
      <w:r w:rsidRPr="006126C8">
        <w:rPr>
          <w:rFonts w:ascii="微软雅黑" w:eastAsia="微软雅黑" w:hAnsi="微软雅黑" w:cs="宋体" w:hint="eastAsia"/>
          <w:bCs/>
          <w:szCs w:val="21"/>
        </w:rPr>
        <w:t>施耐德原厂工程师到场开展UPS主机开机调试作业前，须向采购人完整提交以下资料核验，全部核验合格后方可进场实施带电调试：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 xml:space="preserve"> （1）</w:t>
      </w:r>
      <w:r w:rsidRPr="006126C8">
        <w:rPr>
          <w:rFonts w:ascii="微软雅黑" w:eastAsia="微软雅黑" w:hAnsi="微软雅黑" w:cs="宋体" w:hint="eastAsia"/>
          <w:bCs/>
          <w:szCs w:val="21"/>
        </w:rPr>
        <w:t>服务授权文件：施耐德出具的本项目专项服务授权文件；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（2）</w:t>
      </w:r>
      <w:r w:rsidRPr="006126C8">
        <w:rPr>
          <w:rFonts w:ascii="微软雅黑" w:eastAsia="微软雅黑" w:hAnsi="微软雅黑" w:cs="宋体" w:hint="eastAsia"/>
          <w:bCs/>
          <w:szCs w:val="21"/>
        </w:rPr>
        <w:t>作业人员资质：调试工程师有效期内电工特种作业操作证、施耐德UPS原厂工程师认证证书、该工程师近3个月社保缴纳凭证；</w:t>
      </w:r>
    </w:p>
    <w:p w:rsid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（3）</w:t>
      </w:r>
      <w:r w:rsidRPr="006126C8">
        <w:rPr>
          <w:rFonts w:ascii="微软雅黑" w:eastAsia="微软雅黑" w:hAnsi="微软雅黑" w:cs="宋体" w:hint="eastAsia"/>
          <w:bCs/>
          <w:szCs w:val="21"/>
        </w:rPr>
        <w:t>调试配套凭证：施耐德官方服务派遣工单、施耐德出具的本项目专项质</w:t>
      </w:r>
      <w:proofErr w:type="gramStart"/>
      <w:r w:rsidRPr="006126C8">
        <w:rPr>
          <w:rFonts w:ascii="微软雅黑" w:eastAsia="微软雅黑" w:hAnsi="微软雅黑" w:cs="宋体" w:hint="eastAsia"/>
          <w:bCs/>
          <w:szCs w:val="21"/>
        </w:rPr>
        <w:t>保承诺</w:t>
      </w:r>
      <w:proofErr w:type="gramEnd"/>
      <w:r w:rsidRPr="006126C8">
        <w:rPr>
          <w:rFonts w:ascii="微软雅黑" w:eastAsia="微软雅黑" w:hAnsi="微软雅黑" w:cs="宋体" w:hint="eastAsia"/>
          <w:bCs/>
          <w:szCs w:val="21"/>
        </w:rPr>
        <w:t>函。</w:t>
      </w:r>
    </w:p>
    <w:p w:rsid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7、</w:t>
      </w:r>
      <w:r w:rsidRPr="006126C8">
        <w:rPr>
          <w:rFonts w:ascii="微软雅黑" w:eastAsia="微软雅黑" w:hAnsi="微软雅黑" w:cs="宋体" w:hint="eastAsia"/>
          <w:bCs/>
          <w:szCs w:val="21"/>
        </w:rPr>
        <w:t>履约要求</w:t>
      </w:r>
      <w:r>
        <w:rPr>
          <w:rFonts w:ascii="微软雅黑" w:eastAsia="微软雅黑" w:hAnsi="微软雅黑" w:cs="宋体" w:hint="eastAsia"/>
          <w:bCs/>
          <w:szCs w:val="21"/>
        </w:rPr>
        <w:t>:</w:t>
      </w:r>
      <w:r w:rsidRPr="006126C8">
        <w:rPr>
          <w:rFonts w:hint="eastAsia"/>
        </w:rPr>
        <w:t xml:space="preserve"> </w:t>
      </w:r>
      <w:r w:rsidRPr="006126C8">
        <w:rPr>
          <w:rFonts w:ascii="微软雅黑" w:eastAsia="微软雅黑" w:hAnsi="微软雅黑" w:cs="宋体" w:hint="eastAsia"/>
          <w:bCs/>
          <w:szCs w:val="21"/>
        </w:rPr>
        <w:t>供应商逾期7 日不能交货的，应向采购人支付合同总价1 %的违约金，并且采购人有权解除本合同，不再退还履约保证金。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lastRenderedPageBreak/>
        <w:t>8、</w:t>
      </w:r>
      <w:r w:rsidRPr="006126C8">
        <w:rPr>
          <w:rFonts w:ascii="微软雅黑" w:eastAsia="微软雅黑" w:hAnsi="微软雅黑" w:cs="宋体" w:hint="eastAsia"/>
          <w:bCs/>
          <w:szCs w:val="21"/>
        </w:rPr>
        <w:t>付款方式</w:t>
      </w:r>
      <w:r>
        <w:rPr>
          <w:rFonts w:ascii="微软雅黑" w:eastAsia="微软雅黑" w:hAnsi="微软雅黑" w:cs="宋体" w:hint="eastAsia"/>
          <w:bCs/>
          <w:szCs w:val="21"/>
        </w:rPr>
        <w:t>：</w:t>
      </w:r>
      <w:r w:rsidRPr="006126C8">
        <w:rPr>
          <w:rFonts w:ascii="微软雅黑" w:eastAsia="微软雅黑" w:hAnsi="微软雅黑" w:cs="宋体" w:hint="eastAsia"/>
          <w:bCs/>
          <w:szCs w:val="21"/>
        </w:rPr>
        <w:t>(1)预付款:合同生效后15个工作日内，采购人向成交人支付合同总价款的30%。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(2)到货款:全部货物送达采购人指定地点并完成到货清点验收合格后15个工作日内，支付合同总价款的15%。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(3)初验款:项目完成安装调试，按采购人验收流程通过系统初验合格后15个工作日内，支付合同总价款的20%。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(4)终验款:货物全部安装完毕、试运行结束并通过最终验收后15个工作日内，支付合同总价款的20%。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(5)尾款:</w:t>
      </w:r>
      <w:proofErr w:type="gramStart"/>
      <w:r w:rsidRPr="006126C8">
        <w:rPr>
          <w:rFonts w:ascii="微软雅黑" w:eastAsia="微软雅黑" w:hAnsi="微软雅黑" w:cs="宋体" w:hint="eastAsia"/>
          <w:bCs/>
          <w:szCs w:val="21"/>
        </w:rPr>
        <w:t>自项目</w:t>
      </w:r>
      <w:proofErr w:type="gramEnd"/>
      <w:r w:rsidRPr="006126C8">
        <w:rPr>
          <w:rFonts w:ascii="微软雅黑" w:eastAsia="微软雅黑" w:hAnsi="微软雅黑" w:cs="宋体" w:hint="eastAsia"/>
          <w:bCs/>
          <w:szCs w:val="21"/>
        </w:rPr>
        <w:t>最终验收合格之日起满一年，质保期内无质量问题的，期满后15个工作日内，支付剩余合同总价款的15%。</w:t>
      </w:r>
    </w:p>
    <w:p w:rsid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 w:rsidRPr="006126C8">
        <w:rPr>
          <w:rFonts w:ascii="微软雅黑" w:eastAsia="微软雅黑" w:hAnsi="微软雅黑" w:cs="宋体" w:hint="eastAsia"/>
          <w:bCs/>
          <w:szCs w:val="21"/>
        </w:rPr>
        <w:t>(6)发票约定:每期款项支付前，成交人需向采购人开具对应金额的增值税专用发票。</w:t>
      </w:r>
    </w:p>
    <w:p w:rsidR="006126C8" w:rsidRPr="006126C8" w:rsidRDefault="006126C8" w:rsidP="006126C8">
      <w:pPr>
        <w:spacing w:line="360" w:lineRule="auto"/>
        <w:rPr>
          <w:rFonts w:ascii="微软雅黑" w:eastAsia="微软雅黑" w:hAnsi="微软雅黑" w:cs="宋体"/>
          <w:bCs/>
          <w:szCs w:val="21"/>
        </w:rPr>
      </w:pPr>
      <w:r>
        <w:rPr>
          <w:rFonts w:ascii="微软雅黑" w:eastAsia="微软雅黑" w:hAnsi="微软雅黑" w:cs="宋体" w:hint="eastAsia"/>
          <w:bCs/>
          <w:szCs w:val="21"/>
        </w:rPr>
        <w:t>9、</w:t>
      </w:r>
      <w:r w:rsidRPr="006126C8">
        <w:rPr>
          <w:rFonts w:ascii="微软雅黑" w:eastAsia="微软雅黑" w:hAnsi="微软雅黑" w:cs="宋体" w:hint="eastAsia"/>
          <w:bCs/>
          <w:szCs w:val="21"/>
        </w:rPr>
        <w:t>质保期</w:t>
      </w:r>
      <w:r>
        <w:rPr>
          <w:rFonts w:ascii="微软雅黑" w:eastAsia="微软雅黑" w:hAnsi="微软雅黑" w:cs="宋体" w:hint="eastAsia"/>
          <w:bCs/>
          <w:szCs w:val="21"/>
        </w:rPr>
        <w:t>：</w:t>
      </w:r>
      <w:r w:rsidRPr="006126C8">
        <w:rPr>
          <w:rFonts w:ascii="微软雅黑" w:eastAsia="微软雅黑" w:hAnsi="微软雅黑" w:cs="宋体" w:hint="eastAsia"/>
          <w:bCs/>
          <w:szCs w:val="21"/>
        </w:rPr>
        <w:t>所供货物享受原厂标准售后服务，质保期自验收合格之日起1年，质保期内质量问题免费更换，相应货物质保期重新计算。</w:t>
      </w:r>
    </w:p>
    <w:sectPr w:rsidR="006126C8" w:rsidRPr="006126C8" w:rsidSect="005F0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51A2"/>
    <w:multiLevelType w:val="multilevel"/>
    <w:tmpl w:val="186051A2"/>
    <w:lvl w:ilvl="0">
      <w:start w:val="1"/>
      <w:numFmt w:val="decimal"/>
      <w:lvlText w:val="%1)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">
    <w:nsid w:val="271047C2"/>
    <w:multiLevelType w:val="multilevel"/>
    <w:tmpl w:val="271047C2"/>
    <w:lvl w:ilvl="0">
      <w:start w:val="1"/>
      <w:numFmt w:val="decimal"/>
      <w:lvlText w:val="%1)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>
    <w:nsid w:val="33D05E8E"/>
    <w:multiLevelType w:val="multilevel"/>
    <w:tmpl w:val="33D05E8E"/>
    <w:lvl w:ilvl="0">
      <w:start w:val="1"/>
      <w:numFmt w:val="decimal"/>
      <w:lvlText w:val="%1)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3">
    <w:nsid w:val="50244663"/>
    <w:multiLevelType w:val="multilevel"/>
    <w:tmpl w:val="50244663"/>
    <w:lvl w:ilvl="0">
      <w:start w:val="3"/>
      <w:numFmt w:val="decimal"/>
      <w:lvlText w:val="%1、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0769"/>
    <w:rsid w:val="003D249B"/>
    <w:rsid w:val="005302C8"/>
    <w:rsid w:val="005B1070"/>
    <w:rsid w:val="005F0769"/>
    <w:rsid w:val="006126C8"/>
    <w:rsid w:val="00832C1E"/>
    <w:rsid w:val="00A2112F"/>
    <w:rsid w:val="09526325"/>
    <w:rsid w:val="35973B37"/>
    <w:rsid w:val="3D2D6690"/>
    <w:rsid w:val="4B6B2E9B"/>
    <w:rsid w:val="77CF2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76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7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FE039-1529-4D1C-83C7-BBB29ED6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419</Words>
  <Characters>2389</Characters>
  <Application>Microsoft Office Word</Application>
  <DocSecurity>0</DocSecurity>
  <Lines>19</Lines>
  <Paragraphs>5</Paragraphs>
  <ScaleCrop>false</ScaleCrop>
  <Company>神州网信技术有限公司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动力一科</dc:creator>
  <cp:lastModifiedBy>dell</cp:lastModifiedBy>
  <cp:revision>4</cp:revision>
  <dcterms:created xsi:type="dcterms:W3CDTF">2026-06-16T07:50:00Z</dcterms:created>
  <dcterms:modified xsi:type="dcterms:W3CDTF">2026-06-16T08:27:00Z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eyJoZGlkIjoiNWU0YjcwYzZlYTFiYzViMzZhMzRhMmJhMmM0YjRiNTUiLCJ1c2VySWQiOiI4MTMzODk4MDkifQ==</vt:lpwstr>
  </property>
  <property fmtid="{D5CDD505-2E9C-101B-9397-08002B2CF9AE}" pid="4" name="ICV">
    <vt:lpwstr>AE6632D232EF4FFB88345FC9DE07CA3F_12</vt:lpwstr>
  </property>
</Properties>
</file>