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11EBA">
      <w:pPr>
        <w:keepNext w:val="0"/>
        <w:keepLines w:val="0"/>
        <w:pageBreakBefore w:val="0"/>
        <w:kinsoku/>
        <w:wordWrap/>
        <w:overflowPunct/>
        <w:topLinePunct w:val="0"/>
        <w:autoSpaceDE/>
        <w:autoSpaceDN/>
        <w:bidi w:val="0"/>
        <w:snapToGrid/>
        <w:spacing w:line="520" w:lineRule="exact"/>
        <w:jc w:val="center"/>
        <w:rPr>
          <w:rFonts w:ascii="Times New Roman" w:hAnsi="Times New Roman" w:eastAsia="方正小标宋简体"/>
          <w:b w:val="0"/>
          <w:bCs w:val="0"/>
          <w:sz w:val="44"/>
          <w:szCs w:val="44"/>
          <w:lang w:val="en-US" w:eastAsia="zh-CN"/>
        </w:rPr>
      </w:pPr>
      <w:r>
        <w:rPr>
          <w:rFonts w:ascii="Times New Roman" w:hAnsi="Times New Roman" w:eastAsia="方正小标宋简体"/>
          <w:b w:val="0"/>
          <w:bCs w:val="0"/>
          <w:sz w:val="44"/>
          <w:szCs w:val="44"/>
          <w:lang w:val="en-US" w:eastAsia="zh-CN"/>
        </w:rPr>
        <w:t>广西百色干部学院</w:t>
      </w:r>
      <w:r>
        <w:rPr>
          <w:rFonts w:hint="eastAsia" w:ascii="Times New Roman" w:hAnsi="Times New Roman" w:eastAsia="方正小标宋简体" w:cs="Times New Roman"/>
          <w:color w:val="auto"/>
          <w:sz w:val="44"/>
          <w:szCs w:val="44"/>
          <w:highlight w:val="none"/>
          <w:lang w:eastAsia="zh-CN"/>
        </w:rPr>
        <w:t>2026</w:t>
      </w:r>
      <w:r>
        <w:rPr>
          <w:rFonts w:hint="default" w:ascii="Times New Roman" w:hAnsi="Times New Roman" w:eastAsia="方正小标宋简体" w:cs="Times New Roman"/>
          <w:color w:val="auto"/>
          <w:sz w:val="44"/>
          <w:szCs w:val="44"/>
          <w:highlight w:val="none"/>
        </w:rPr>
        <w:t>年</w:t>
      </w:r>
      <w:r>
        <w:rPr>
          <w:rFonts w:hint="eastAsia" w:ascii="Times New Roman" w:hAnsi="Times New Roman" w:eastAsia="方正小标宋简体" w:cs="Times New Roman"/>
          <w:color w:val="auto"/>
          <w:sz w:val="44"/>
          <w:szCs w:val="44"/>
          <w:highlight w:val="none"/>
          <w:lang w:val="en-US" w:eastAsia="zh-CN"/>
        </w:rPr>
        <w:t>密集架</w:t>
      </w:r>
      <w:r>
        <w:rPr>
          <w:rFonts w:ascii="Times New Roman" w:hAnsi="Times New Roman" w:eastAsia="方正小标宋简体"/>
          <w:b w:val="0"/>
          <w:bCs w:val="0"/>
          <w:sz w:val="44"/>
          <w:szCs w:val="44"/>
          <w:lang w:val="en-US" w:eastAsia="zh-CN"/>
        </w:rPr>
        <w:t>报价表</w:t>
      </w:r>
    </w:p>
    <w:p w14:paraId="385195C7">
      <w:pPr>
        <w:keepNext w:val="0"/>
        <w:keepLines w:val="0"/>
        <w:pageBreakBefore w:val="0"/>
        <w:kinsoku/>
        <w:wordWrap/>
        <w:overflowPunct/>
        <w:topLinePunct w:val="0"/>
        <w:autoSpaceDE/>
        <w:autoSpaceDN/>
        <w:bidi w:val="0"/>
        <w:snapToGrid/>
        <w:spacing w:line="520" w:lineRule="exact"/>
        <w:jc w:val="center"/>
        <w:rPr>
          <w:rFonts w:ascii="Times New Roman" w:hAnsi="Times New Roman" w:eastAsia="方正小标宋简体"/>
          <w:b w:val="0"/>
          <w:bCs w:val="0"/>
          <w:sz w:val="44"/>
          <w:szCs w:val="44"/>
          <w:lang w:val="en-US" w:eastAsia="zh-CN"/>
        </w:rPr>
      </w:pPr>
    </w:p>
    <w:p w14:paraId="03A345D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kern w:val="2"/>
          <w:sz w:val="32"/>
          <w:szCs w:val="32"/>
          <w:lang w:val="en-US" w:eastAsia="zh-CN" w:bidi="ar-SA"/>
        </w:rPr>
        <w:t>一、</w:t>
      </w:r>
      <w:r>
        <w:rPr>
          <w:rFonts w:hint="eastAsia" w:ascii="黑体" w:hAnsi="黑体" w:eastAsia="黑体" w:cs="黑体"/>
          <w:b w:val="0"/>
          <w:bCs w:val="0"/>
          <w:color w:val="auto"/>
          <w:sz w:val="32"/>
          <w:szCs w:val="32"/>
          <w:highlight w:val="none"/>
          <w:lang w:eastAsia="zh-CN"/>
        </w:rPr>
        <w:t>项目名称</w:t>
      </w:r>
    </w:p>
    <w:p w14:paraId="4B8767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sz w:val="32"/>
          <w:szCs w:val="32"/>
          <w:lang w:val="en-US" w:eastAsia="zh-CN"/>
        </w:rPr>
        <w:t>广西百色干部学院</w:t>
      </w:r>
      <w:r>
        <w:rPr>
          <w:rFonts w:hint="default" w:ascii="Times New Roman" w:hAnsi="Times New Roman" w:eastAsia="仿宋_GB2312"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密集架采购</w:t>
      </w:r>
    </w:p>
    <w:p w14:paraId="3CC16FB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2"/>
          <w:sz w:val="32"/>
          <w:szCs w:val="32"/>
          <w:lang w:val="en-US" w:eastAsia="zh-CN" w:bidi="ar-SA"/>
        </w:rPr>
        <w:t>二、</w:t>
      </w:r>
      <w:r>
        <w:rPr>
          <w:rFonts w:hint="eastAsia" w:ascii="黑体" w:hAnsi="黑体" w:eastAsia="黑体" w:cs="黑体"/>
          <w:color w:val="auto"/>
          <w:sz w:val="32"/>
          <w:szCs w:val="32"/>
          <w:highlight w:val="none"/>
          <w:lang w:val="en-US" w:eastAsia="zh-CN"/>
        </w:rPr>
        <w:t>经费预算</w:t>
      </w:r>
    </w:p>
    <w:p w14:paraId="68BB75C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人民币壹拾柒万玖仟玖佰叁拾陆元整（</w:t>
      </w:r>
      <w:r>
        <w:rPr>
          <w:rFonts w:hint="default" w:ascii="Times New Roman" w:hAnsi="Times New Roman" w:eastAsia="仿宋_GB2312" w:cs="Times New Roman"/>
          <w:i w:val="0"/>
          <w:iCs/>
          <w:color w:val="auto"/>
          <w:w w:val="100"/>
          <w:sz w:val="32"/>
          <w:szCs w:val="32"/>
          <w:highlight w:val="none"/>
          <w:lang w:eastAsia="zh-CN"/>
        </w:rPr>
        <w:t>¥</w:t>
      </w:r>
      <w:r>
        <w:rPr>
          <w:rFonts w:hint="eastAsia" w:ascii="Times New Roman" w:hAnsi="Times New Roman" w:eastAsia="仿宋_GB2312" w:cs="Times New Roman"/>
          <w:i w:val="0"/>
          <w:iCs/>
          <w:color w:val="auto"/>
          <w:w w:val="100"/>
          <w:sz w:val="32"/>
          <w:szCs w:val="32"/>
          <w:highlight w:val="none"/>
          <w:lang w:val="en-US" w:eastAsia="zh-CN"/>
        </w:rPr>
        <w:t>179936.00</w:t>
      </w:r>
      <w:r>
        <w:rPr>
          <w:rFonts w:hint="eastAsia" w:ascii="Times New Roman" w:hAnsi="Times New Roman" w:eastAsia="仿宋_GB2312" w:cs="Times New Roman"/>
          <w:b w:val="0"/>
          <w:bCs w:val="0"/>
          <w:color w:val="auto"/>
          <w:sz w:val="32"/>
          <w:szCs w:val="32"/>
          <w:highlight w:val="none"/>
          <w:lang w:val="en-US" w:eastAsia="zh-CN"/>
        </w:rPr>
        <w:t>）</w:t>
      </w:r>
    </w:p>
    <w:p w14:paraId="2C62BCE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三、技术要求</w:t>
      </w:r>
    </w:p>
    <w:tbl>
      <w:tblPr>
        <w:tblStyle w:val="4"/>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722"/>
        <w:gridCol w:w="5758"/>
        <w:gridCol w:w="450"/>
        <w:gridCol w:w="990"/>
        <w:gridCol w:w="975"/>
        <w:gridCol w:w="760"/>
      </w:tblGrid>
      <w:tr w14:paraId="50B7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blHeader/>
          <w:jc w:val="center"/>
        </w:trPr>
        <w:tc>
          <w:tcPr>
            <w:tcW w:w="552" w:type="dxa"/>
            <w:vAlign w:val="center"/>
          </w:tcPr>
          <w:p w14:paraId="0F8537D0">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bCs/>
                <w:color w:val="000000"/>
                <w:sz w:val="24"/>
                <w:szCs w:val="24"/>
                <w:shd w:val="clear" w:color="auto" w:fill="auto"/>
                <w:lang w:eastAsia="zh-CN" w:bidi="ar-SA"/>
              </w:rPr>
            </w:pPr>
            <w:r>
              <w:rPr>
                <w:rFonts w:hint="eastAsia" w:ascii="仿宋_GB2312" w:hAnsi="仿宋_GB2312" w:eastAsia="仿宋_GB2312" w:cs="仿宋_GB2312"/>
                <w:b/>
                <w:bCs/>
                <w:color w:val="000000"/>
                <w:sz w:val="24"/>
                <w:szCs w:val="24"/>
                <w:shd w:val="clear" w:color="auto" w:fill="auto"/>
                <w:lang w:eastAsia="zh-CN" w:bidi="ar-SA"/>
              </w:rPr>
              <w:t>序号</w:t>
            </w:r>
          </w:p>
        </w:tc>
        <w:tc>
          <w:tcPr>
            <w:tcW w:w="722" w:type="dxa"/>
            <w:vAlign w:val="center"/>
          </w:tcPr>
          <w:p w14:paraId="2FBCB7C9">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bCs/>
                <w:color w:val="000000"/>
                <w:sz w:val="24"/>
                <w:szCs w:val="24"/>
                <w:shd w:val="clear" w:color="auto" w:fill="auto"/>
                <w:lang w:eastAsia="zh-CN" w:bidi="ar-SA"/>
              </w:rPr>
            </w:pPr>
            <w:r>
              <w:rPr>
                <w:rFonts w:hint="eastAsia" w:ascii="仿宋_GB2312" w:hAnsi="仿宋_GB2312" w:eastAsia="仿宋_GB2312" w:cs="仿宋_GB2312"/>
                <w:b/>
                <w:bCs/>
                <w:color w:val="000000"/>
                <w:sz w:val="24"/>
                <w:szCs w:val="24"/>
                <w:shd w:val="clear" w:color="auto" w:fill="auto"/>
                <w:lang w:eastAsia="zh-CN" w:bidi="ar-SA"/>
              </w:rPr>
              <w:t>采购</w:t>
            </w:r>
          </w:p>
          <w:p w14:paraId="188188C7">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bCs/>
                <w:color w:val="000000"/>
                <w:sz w:val="24"/>
                <w:szCs w:val="24"/>
                <w:shd w:val="clear" w:color="auto" w:fill="auto"/>
                <w:lang w:eastAsia="zh-CN" w:bidi="ar-SA"/>
              </w:rPr>
            </w:pPr>
            <w:r>
              <w:rPr>
                <w:rFonts w:hint="eastAsia" w:ascii="仿宋_GB2312" w:hAnsi="仿宋_GB2312" w:eastAsia="仿宋_GB2312" w:cs="仿宋_GB2312"/>
                <w:b/>
                <w:bCs/>
                <w:color w:val="000000"/>
                <w:sz w:val="24"/>
                <w:szCs w:val="24"/>
                <w:shd w:val="clear" w:color="auto" w:fill="auto"/>
                <w:lang w:eastAsia="zh-CN" w:bidi="ar-SA"/>
              </w:rPr>
              <w:t>内容</w:t>
            </w:r>
          </w:p>
        </w:tc>
        <w:tc>
          <w:tcPr>
            <w:tcW w:w="5758" w:type="dxa"/>
            <w:vAlign w:val="center"/>
          </w:tcPr>
          <w:p w14:paraId="5DAAC0AE">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color w:val="000000"/>
                <w:sz w:val="24"/>
                <w:szCs w:val="24"/>
                <w:shd w:val="clear" w:color="auto" w:fill="auto"/>
                <w:lang w:val="en" w:eastAsia="zh-CN" w:bidi="ar-SA"/>
              </w:rPr>
            </w:pPr>
            <w:r>
              <w:rPr>
                <w:rFonts w:hint="eastAsia" w:ascii="仿宋_GB2312" w:hAnsi="仿宋_GB2312" w:eastAsia="仿宋_GB2312" w:cs="仿宋_GB2312"/>
                <w:b/>
                <w:color w:val="000000"/>
                <w:sz w:val="24"/>
                <w:szCs w:val="24"/>
                <w:shd w:val="clear" w:color="auto" w:fill="auto"/>
                <w:lang w:val="en" w:eastAsia="zh-CN" w:bidi="ar-SA"/>
              </w:rPr>
              <w:t>规格参数</w:t>
            </w:r>
          </w:p>
        </w:tc>
        <w:tc>
          <w:tcPr>
            <w:tcW w:w="450" w:type="dxa"/>
            <w:vAlign w:val="center"/>
          </w:tcPr>
          <w:p w14:paraId="3E4F299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color w:val="000000"/>
                <w:sz w:val="24"/>
                <w:szCs w:val="24"/>
                <w:shd w:val="clear" w:color="auto" w:fill="auto"/>
                <w:lang w:bidi="ar-SA"/>
              </w:rPr>
            </w:pPr>
            <w:r>
              <w:rPr>
                <w:rFonts w:hint="eastAsia" w:ascii="仿宋_GB2312" w:hAnsi="仿宋_GB2312" w:eastAsia="仿宋_GB2312" w:cs="仿宋_GB2312"/>
                <w:b/>
                <w:color w:val="000000"/>
                <w:sz w:val="24"/>
                <w:szCs w:val="24"/>
                <w:shd w:val="clear" w:color="auto" w:fill="auto"/>
                <w:lang w:bidi="ar-SA"/>
              </w:rPr>
              <w:t>数量</w:t>
            </w:r>
          </w:p>
        </w:tc>
        <w:tc>
          <w:tcPr>
            <w:tcW w:w="990" w:type="dxa"/>
            <w:vAlign w:val="center"/>
          </w:tcPr>
          <w:p w14:paraId="64F16C76">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color w:val="000000"/>
                <w:sz w:val="24"/>
                <w:szCs w:val="24"/>
                <w:shd w:val="clear" w:color="auto" w:fill="auto"/>
                <w:lang w:val="en-US" w:eastAsia="zh-CN" w:bidi="ar-SA"/>
              </w:rPr>
            </w:pPr>
            <w:r>
              <w:rPr>
                <w:rFonts w:hint="eastAsia" w:ascii="仿宋_GB2312" w:hAnsi="仿宋_GB2312" w:eastAsia="仿宋_GB2312" w:cs="仿宋_GB2312"/>
                <w:b/>
                <w:color w:val="000000"/>
                <w:sz w:val="24"/>
                <w:szCs w:val="24"/>
                <w:highlight w:val="none"/>
                <w:shd w:val="clear" w:color="auto" w:fill="auto"/>
                <w:lang w:val="en-US" w:eastAsia="zh-CN" w:bidi="ar-SA"/>
              </w:rPr>
              <w:t>预算金额（元）</w:t>
            </w:r>
          </w:p>
        </w:tc>
        <w:tc>
          <w:tcPr>
            <w:tcW w:w="975" w:type="dxa"/>
            <w:vAlign w:val="center"/>
          </w:tcPr>
          <w:p w14:paraId="7B2B4476">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bCs/>
                <w:color w:val="000000"/>
                <w:sz w:val="24"/>
                <w:szCs w:val="24"/>
                <w:shd w:val="clear" w:color="auto" w:fill="auto"/>
                <w:lang w:val="en" w:eastAsia="zh-CN" w:bidi="ar-SA"/>
              </w:rPr>
            </w:pPr>
            <w:r>
              <w:rPr>
                <w:rFonts w:hint="eastAsia" w:ascii="仿宋_GB2312" w:hAnsi="仿宋_GB2312" w:eastAsia="仿宋_GB2312" w:cs="仿宋_GB2312"/>
                <w:b/>
                <w:bCs/>
                <w:color w:val="000000"/>
                <w:sz w:val="24"/>
                <w:szCs w:val="24"/>
                <w:shd w:val="clear" w:color="auto" w:fill="auto"/>
                <w:lang w:val="en" w:eastAsia="zh-CN" w:bidi="ar-SA"/>
              </w:rPr>
              <w:t>报价金额（元）</w:t>
            </w:r>
          </w:p>
        </w:tc>
        <w:tc>
          <w:tcPr>
            <w:tcW w:w="760" w:type="dxa"/>
            <w:vAlign w:val="center"/>
          </w:tcPr>
          <w:p w14:paraId="74BBF46D">
            <w:pPr>
              <w:keepNext w:val="0"/>
              <w:keepLines w:val="0"/>
              <w:pageBreakBefore w:val="0"/>
              <w:widowControl/>
              <w:kinsoku/>
              <w:wordWrap/>
              <w:overflowPunct/>
              <w:topLinePunct w:val="0"/>
              <w:autoSpaceDE/>
              <w:autoSpaceDN/>
              <w:bidi w:val="0"/>
              <w:adjustRightInd/>
              <w:snapToGrid/>
              <w:spacing w:line="280" w:lineRule="exact"/>
              <w:ind w:left="0" w:leftChars="0" w:right="0" w:rightChars="0"/>
              <w:jc w:val="center"/>
              <w:textAlignment w:val="auto"/>
              <w:rPr>
                <w:rFonts w:hint="eastAsia" w:ascii="仿宋_GB2312" w:hAnsi="仿宋_GB2312" w:eastAsia="仿宋_GB2312" w:cs="仿宋_GB2312"/>
                <w:b/>
                <w:bCs/>
                <w:color w:val="000000"/>
                <w:sz w:val="24"/>
                <w:szCs w:val="24"/>
                <w:shd w:val="clear" w:color="auto" w:fill="auto"/>
                <w:lang w:val="en" w:eastAsia="zh-CN" w:bidi="ar-SA"/>
              </w:rPr>
            </w:pPr>
            <w:r>
              <w:rPr>
                <w:rFonts w:hint="eastAsia" w:ascii="仿宋_GB2312" w:hAnsi="仿宋_GB2312" w:eastAsia="仿宋_GB2312" w:cs="仿宋_GB2312"/>
                <w:b/>
                <w:bCs/>
                <w:color w:val="000000"/>
                <w:sz w:val="24"/>
                <w:szCs w:val="24"/>
                <w:shd w:val="clear" w:color="auto" w:fill="auto"/>
                <w:lang w:val="en" w:eastAsia="zh-CN" w:bidi="ar-SA"/>
              </w:rPr>
              <w:t>备注</w:t>
            </w:r>
          </w:p>
        </w:tc>
      </w:tr>
      <w:tr w14:paraId="3D82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2" w:type="dxa"/>
            <w:vAlign w:val="center"/>
          </w:tcPr>
          <w:p w14:paraId="1863C7AC">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仿宋_GB2312" w:hAnsi="仿宋_GB2312" w:eastAsia="仿宋_GB2312" w:cs="仿宋_GB2312"/>
                <w:color w:val="000000"/>
                <w:kern w:val="0"/>
                <w:sz w:val="22"/>
                <w:szCs w:val="22"/>
                <w:u w:val="none"/>
                <w:lang w:val="en-US" w:eastAsia="zh-CN" w:bidi="ar"/>
              </w:rPr>
            </w:pPr>
            <w:r>
              <w:rPr>
                <w:rFonts w:hint="default" w:ascii="Times New Roman" w:hAnsi="Times New Roman" w:eastAsia="仿宋_GB2312" w:cs="Times New Roman"/>
                <w:color w:val="000000"/>
                <w:kern w:val="0"/>
                <w:sz w:val="24"/>
                <w:szCs w:val="24"/>
                <w:u w:val="none"/>
                <w:lang w:val="en-US" w:eastAsia="zh-CN" w:bidi="ar"/>
              </w:rPr>
              <w:t>1</w:t>
            </w:r>
          </w:p>
        </w:tc>
        <w:tc>
          <w:tcPr>
            <w:tcW w:w="722" w:type="dxa"/>
            <w:vAlign w:val="center"/>
          </w:tcPr>
          <w:p w14:paraId="6082BE75">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仿宋_GB2312" w:hAnsi="仿宋_GB2312" w:eastAsia="仿宋_GB2312" w:cs="仿宋_GB2312"/>
                <w:color w:val="000000"/>
                <w:kern w:val="0"/>
                <w:sz w:val="22"/>
                <w:szCs w:val="22"/>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智能密集架</w:t>
            </w:r>
          </w:p>
        </w:tc>
        <w:tc>
          <w:tcPr>
            <w:tcW w:w="5758" w:type="dxa"/>
            <w:vAlign w:val="center"/>
          </w:tcPr>
          <w:p w14:paraId="47BCFC2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一、产品规格（mm）</w:t>
            </w:r>
          </w:p>
          <w:p w14:paraId="5652052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每列长5600mm×宽600mm×高2500mm，共18列，约158m³，以最终实地测量所得数据为准。每列标配6组，每组标配6层，双面存放档案，层板活动高低可调。</w:t>
            </w:r>
          </w:p>
          <w:p w14:paraId="72B1E1F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二、产品执行标准</w:t>
            </w:r>
          </w:p>
          <w:p w14:paraId="3DB7CB2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both"/>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产品应严格按照中华人民共和国GB/T13667.4-2013密集架国家标准和DA/T7-92国家档案局直列式档案密集架行业要求执行。</w:t>
            </w:r>
          </w:p>
          <w:p w14:paraId="0B677E7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三、产品用材</w:t>
            </w:r>
          </w:p>
          <w:p w14:paraId="4FAEF0A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密集架轨道：</w:t>
            </w:r>
          </w:p>
          <w:p w14:paraId="7702595E">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采用≥1.8mm优质304不锈钢拉丝板材，轨道板和轨芯采用整板一次性成型工艺,轨道板成型尺寸120×25mm（允许偏差±1 mm）。成型不锈钢轨芯尺寸22×25mm（允许偏差±1 mm）。轨道板两侧分别向内侧三道弯边，两侧折弯形成闭环密封结构，成型尺寸16×25mm（允许偏差±1 mm），同时在轨道板两侧压印≥3mm凹槽,增强轨道板强度，预埋轨道与混凝土凝固后形成相互咬合结构。</w:t>
            </w:r>
          </w:p>
          <w:p w14:paraId="06E30DE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密集架底框：</w:t>
            </w:r>
          </w:p>
          <w:p w14:paraId="2E7F8AC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采用3.0mm优质冷轧钢板，折弯成型，高度120mm，并采用双折弯工艺加强，底框上平面弯边≥50mm，架体长期荷重存放资料不易变形，底框与立柱连接采用φ10×20（mm）螺栓，并设有防倾倒装置，防止架体倾倒，底框装配后的直线偏差≤0.5mm/m，全长偏差≤3mm。底框采用嵌入式分段对接紧固原理组装，底框连接件采用方孔设计，紧固件（螺杆）底部为方颈，与连接件形成嵌入式紧固，实现三点紧固和三点承重受力。提高底框的承载能力。</w:t>
            </w:r>
          </w:p>
          <w:p w14:paraId="4682C37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密集架立柱：</w:t>
            </w:r>
          </w:p>
          <w:p w14:paraId="2CEF02D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采用1.5mm优质冷轧钢板一次性成型制作。七道弯边工艺，立柱正面50mm±1mm，侧面38mm±1mm。正面压印凹槽，凹槽成型尺寸≥20mm，深度≥2mm。侧面压印凹槽，凹槽成型尺寸≥18mm，深度≥1.2mm。凹槽底面为平面，增强立柱承重能力。</w:t>
            </w:r>
          </w:p>
          <w:p w14:paraId="4087FD9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 xml:space="preserve">密集架托板： </w:t>
            </w:r>
          </w:p>
          <w:p w14:paraId="6780087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采用1.2mm优质冷轧钢板，每层托板采用双面组合结构，并采用六道弯边工艺，托板表面冲压两条对称凹槽筋，冲压深度为</w:t>
            </w:r>
            <w:bookmarkStart w:id="0" w:name="OLE_LINK1"/>
            <w:r>
              <w:rPr>
                <w:rFonts w:hint="default" w:ascii="Times New Roman" w:hAnsi="Times New Roman" w:eastAsia="仿宋_GB2312" w:cs="Times New Roman"/>
                <w:color w:val="000000"/>
                <w:kern w:val="0"/>
                <w:sz w:val="24"/>
                <w:szCs w:val="24"/>
                <w:u w:val="none"/>
                <w:lang w:val="en" w:eastAsia="zh-CN" w:bidi="ar"/>
              </w:rPr>
              <w:t>≥</w:t>
            </w:r>
            <w:bookmarkEnd w:id="0"/>
            <w:r>
              <w:rPr>
                <w:rFonts w:hint="default" w:ascii="Times New Roman" w:hAnsi="Times New Roman" w:eastAsia="仿宋_GB2312" w:cs="Times New Roman"/>
                <w:color w:val="000000"/>
                <w:kern w:val="0"/>
                <w:sz w:val="24"/>
                <w:szCs w:val="24"/>
                <w:u w:val="none"/>
                <w:lang w:val="en" w:eastAsia="zh-CN" w:bidi="ar"/>
              </w:rPr>
              <w:t>2mm，托板两侧折弯高度为≥25mm，增加承载能力。每层托板能达到承重≥100kg，最大挠度为4mm，最大负荷载重24小时卸载后不得出现裂痕和钢性变形。</w:t>
            </w:r>
          </w:p>
          <w:p w14:paraId="0A666A6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5</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密集架档棒：采用1.0mm优质冷轧钢板。</w:t>
            </w:r>
          </w:p>
          <w:p w14:paraId="7EE03E0C">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6</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密集架挂板：采用1.2mm优质冷轧钢板冲压成型。</w:t>
            </w:r>
          </w:p>
          <w:p w14:paraId="60B3245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7</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密集架侧护板：采用1.0mm优质冷轧钢板。</w:t>
            </w:r>
          </w:p>
          <w:p w14:paraId="5166596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8</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密集架顶板：采用1.0mm优质冷轧钢板，两头采用重叠回折压死边工艺，整板成型无需拼装焊接。顶板与立柱上端搭接截面1/2，形成嵌入连接组装结构。</w:t>
            </w:r>
          </w:p>
          <w:p w14:paraId="40F5253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9</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门板：采用1.0mm优质冷轧钢板，门平面采用整体压印凸出工艺，凸出四角为圆弧，凸出四边为直线线条。与门凸出落差≥0.5mm。门栓φ≥8mm，门栓门孔采用塑料栓套和孔套起到消声防护作用。采用电子密码锁。</w:t>
            </w:r>
          </w:p>
          <w:p w14:paraId="2743B02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10</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密集架传动机构</w:t>
            </w:r>
          </w:p>
          <w:p w14:paraId="0777418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10.1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摇手：采用T字可折叠式。</w:t>
            </w:r>
          </w:p>
          <w:p w14:paraId="05CE514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10.2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传动系统：采用双向超越结构，其结构为棘轮式、脱挡，停用后摇把可自行停于垂直位置，可避免通道障碍，摇动任意一列不会带动其它把手。架体空</w:t>
            </w:r>
            <w:r>
              <w:rPr>
                <w:rFonts w:hint="eastAsia" w:ascii="Times New Roman" w:hAnsi="Times New Roman" w:eastAsia="仿宋_GB2312" w:cs="Times New Roman"/>
                <w:color w:val="000000"/>
                <w:kern w:val="0"/>
                <w:sz w:val="24"/>
                <w:szCs w:val="24"/>
                <w:u w:val="none"/>
                <w:lang w:val="en" w:eastAsia="zh-CN" w:bidi="ar"/>
              </w:rPr>
              <w:t>间利</w:t>
            </w:r>
            <w:r>
              <w:rPr>
                <w:rFonts w:hint="default" w:ascii="Times New Roman" w:hAnsi="Times New Roman" w:eastAsia="仿宋_GB2312" w:cs="Times New Roman"/>
                <w:color w:val="000000"/>
                <w:kern w:val="0"/>
                <w:sz w:val="24"/>
                <w:szCs w:val="24"/>
                <w:u w:val="none"/>
                <w:lang w:val="en" w:eastAsia="zh-CN" w:bidi="ar"/>
              </w:rPr>
              <w:t xml:space="preserve">用率≥82%。 </w:t>
            </w:r>
          </w:p>
          <w:p w14:paraId="10DFCE7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制动装置</w:t>
            </w:r>
          </w:p>
          <w:p w14:paraId="1F2AB8B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11.1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每列均应有刹车制动装置，使之做到每一列均可锁定，查阅、存放档案资料时能确保人身安全，存取更安全。</w:t>
            </w:r>
          </w:p>
          <w:p w14:paraId="1277596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11.2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每一组合团体均应有总锁装置，使之做到每个组合团体都可锁定，门面装有扣拉式方形锁。</w:t>
            </w:r>
          </w:p>
          <w:p w14:paraId="04E039C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11.3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密封装置每列的接触面均应有缓冲及密封条，顶部应有防尘板，每列架体上方安装防尘压条，底部有防鼠板，合拢后无缝隙，具有良好的防尘、防光、防鼠、防潮等功能。</w:t>
            </w:r>
          </w:p>
          <w:p w14:paraId="104066A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牵引装置</w:t>
            </w:r>
          </w:p>
          <w:p w14:paraId="61BD4DB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12.1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在每团体两端列（带门列）装配高性能防倾覆装置，防倾覆部件结构采用导向滑动牵引式方法，满足架体移动开启空间和防倾覆（倒）的需要，防倾覆（倒）部件运行向架体(团体）内侧延展、合并。</w:t>
            </w:r>
          </w:p>
          <w:p w14:paraId="6815947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四、表面处理标准</w:t>
            </w:r>
          </w:p>
          <w:p w14:paraId="32DFD944">
            <w:pPr>
              <w:keepNext w:val="0"/>
              <w:keepLines w:val="0"/>
              <w:pageBreakBefore w:val="0"/>
              <w:widowControl w:val="0"/>
              <w:kinsoku/>
              <w:wordWrap/>
              <w:overflowPunct/>
              <w:topLinePunct w:val="0"/>
              <w:autoSpaceDE/>
              <w:autoSpaceDN/>
              <w:bidi w:val="0"/>
              <w:adjustRightInd/>
              <w:snapToGrid/>
              <w:spacing w:line="260" w:lineRule="exact"/>
              <w:ind w:left="0" w:right="0" w:firstLine="480" w:firstLineChars="200"/>
              <w:jc w:val="both"/>
              <w:textAlignment w:val="auto"/>
              <w:outlineLvl w:val="2"/>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auto"/>
                <w:sz w:val="24"/>
                <w:szCs w:val="24"/>
                <w:highlight w:val="none"/>
                <w:lang w:val="en-US" w:eastAsia="zh-CN" w:bidi="ar-SA"/>
              </w:rPr>
              <w:t>光泽测定：＞85</w:t>
            </w:r>
            <w:r>
              <w:rPr>
                <w:rFonts w:hint="default" w:ascii="Times New Roman" w:hAnsi="Times New Roman" w:eastAsia="仿宋_GB2312" w:cs="Times New Roman"/>
                <w:color w:val="auto"/>
                <w:sz w:val="24"/>
                <w:szCs w:val="24"/>
                <w:highlight w:val="none"/>
                <w:u w:val="none"/>
                <w:lang w:val="en-US" w:eastAsia="zh-CN" w:bidi="ar-SA"/>
              </w:rPr>
              <w:t>GU，符合</w:t>
            </w:r>
            <w:r>
              <w:rPr>
                <w:rFonts w:hint="default" w:ascii="Times New Roman" w:hAnsi="Times New Roman" w:eastAsia="仿宋_GB2312" w:cs="Times New Roman"/>
                <w:color w:val="auto"/>
                <w:sz w:val="24"/>
                <w:szCs w:val="24"/>
              </w:rPr>
              <w:t>GB/T 9754-2025</w:t>
            </w:r>
            <w:r>
              <w:rPr>
                <w:rFonts w:hint="default" w:ascii="Times New Roman" w:hAnsi="Times New Roman" w:eastAsia="仿宋_GB2312" w:cs="Times New Roman"/>
                <w:color w:val="auto"/>
                <w:sz w:val="24"/>
                <w:szCs w:val="24"/>
                <w:highlight w:val="none"/>
                <w:lang w:val="en-US" w:eastAsia="zh-CN" w:bidi="ar-SA"/>
              </w:rPr>
              <w:t>（60°）</w:t>
            </w:r>
            <w:r>
              <w:rPr>
                <w:rFonts w:hint="default" w:ascii="Times New Roman" w:hAnsi="Times New Roman" w:eastAsia="仿宋_GB2312" w:cs="Times New Roman"/>
                <w:color w:val="auto"/>
                <w:sz w:val="24"/>
                <w:szCs w:val="24"/>
                <w:lang w:val="en-US" w:eastAsia="zh-CN"/>
              </w:rPr>
              <w:t>标准</w:t>
            </w:r>
            <w:r>
              <w:rPr>
                <w:rFonts w:hint="default" w:ascii="Times New Roman" w:hAnsi="Times New Roman" w:eastAsia="仿宋_GB2312" w:cs="Times New Roman"/>
                <w:color w:val="auto"/>
                <w:kern w:val="0"/>
                <w:sz w:val="24"/>
                <w:szCs w:val="24"/>
                <w:u w:val="none"/>
                <w:lang w:val="en" w:eastAsia="zh-CN" w:bidi="ar"/>
              </w:rPr>
              <w:t>；</w:t>
            </w:r>
          </w:p>
          <w:p w14:paraId="2F3942DE">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2</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涂膜硬度：≥0.4，符合GB1730标准；</w:t>
            </w:r>
          </w:p>
          <w:p w14:paraId="1CD87ED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3</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耐冲击力：≥ 4N.M，符合GB/1732标准；</w:t>
            </w:r>
          </w:p>
          <w:p w14:paraId="045331C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4</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涂膜厚度：60-70微米；</w:t>
            </w:r>
          </w:p>
          <w:p w14:paraId="29DAE3B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5</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涂膜附着力：划格法试验，100%不剥落，不低于1级标准，塑层防锈能力在30年以上，在温度-40℃-250℃，相对温度40%-90%，海拔高度不大于6000米，地震烈度不大于6级时，产品不生锈、不变形。附着力符合</w:t>
            </w:r>
            <w:r>
              <w:rPr>
                <w:rFonts w:hint="default" w:ascii="Times New Roman" w:hAnsi="Times New Roman" w:eastAsia="仿宋_GB2312" w:cs="Times New Roman"/>
                <w:color w:val="auto"/>
                <w:sz w:val="24"/>
                <w:szCs w:val="24"/>
              </w:rPr>
              <w:t>GB/T 9286-2021</w:t>
            </w:r>
            <w:r>
              <w:rPr>
                <w:rFonts w:hint="default" w:ascii="Times New Roman" w:hAnsi="Times New Roman" w:eastAsia="仿宋_GB2312" w:cs="Times New Roman"/>
                <w:color w:val="auto"/>
                <w:kern w:val="0"/>
                <w:sz w:val="24"/>
                <w:szCs w:val="24"/>
                <w:u w:val="none"/>
                <w:lang w:val="en" w:eastAsia="zh-CN" w:bidi="ar"/>
              </w:rPr>
              <w:t>标准。</w:t>
            </w:r>
          </w:p>
          <w:p w14:paraId="0FC11EA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6</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耐水性：将涂层试片浸泡于90℃热水中，8小时无变化，符合GB/T 1733标准。</w:t>
            </w:r>
          </w:p>
          <w:p w14:paraId="049D1376">
            <w:pPr>
              <w:keepNext w:val="0"/>
              <w:keepLines w:val="0"/>
              <w:pageBreakBefore w:val="0"/>
              <w:widowControl w:val="0"/>
              <w:kinsoku/>
              <w:wordWrap/>
              <w:overflowPunct/>
              <w:topLinePunct w:val="0"/>
              <w:autoSpaceDE/>
              <w:autoSpaceDN/>
              <w:bidi w:val="0"/>
              <w:adjustRightInd/>
              <w:snapToGrid/>
              <w:spacing w:line="260" w:lineRule="exact"/>
              <w:ind w:left="0" w:right="0" w:firstLine="480" w:firstLineChars="200"/>
              <w:jc w:val="both"/>
              <w:textAlignment w:val="auto"/>
              <w:outlineLvl w:val="2"/>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7</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柔韧性：≤2mm，</w:t>
            </w:r>
            <w:r>
              <w:rPr>
                <w:rFonts w:hint="default" w:ascii="Times New Roman" w:hAnsi="Times New Roman" w:eastAsia="仿宋_GB2312" w:cs="Times New Roman"/>
                <w:color w:val="auto"/>
                <w:sz w:val="24"/>
                <w:szCs w:val="24"/>
                <w:highlight w:val="none"/>
                <w:lang w:val="en-US" w:eastAsia="zh-CN" w:bidi="ar-SA"/>
              </w:rPr>
              <w:t>符合</w:t>
            </w:r>
            <w:r>
              <w:rPr>
                <w:rFonts w:hint="default" w:ascii="Times New Roman" w:hAnsi="Times New Roman" w:eastAsia="仿宋_GB2312" w:cs="Times New Roman"/>
                <w:color w:val="auto"/>
                <w:sz w:val="24"/>
                <w:szCs w:val="24"/>
              </w:rPr>
              <w:t>GB/T 1731-2020</w:t>
            </w:r>
            <w:r>
              <w:rPr>
                <w:rFonts w:hint="default" w:ascii="Times New Roman" w:hAnsi="Times New Roman" w:eastAsia="仿宋_GB2312" w:cs="Times New Roman"/>
                <w:color w:val="auto"/>
                <w:sz w:val="24"/>
                <w:szCs w:val="24"/>
                <w:highlight w:val="none"/>
                <w:lang w:val="en-US" w:eastAsia="zh-CN" w:bidi="ar-SA"/>
              </w:rPr>
              <w:t>标准</w:t>
            </w:r>
            <w:r>
              <w:rPr>
                <w:rFonts w:hint="default" w:ascii="Times New Roman" w:hAnsi="Times New Roman" w:eastAsia="仿宋_GB2312" w:cs="Times New Roman"/>
                <w:color w:val="auto"/>
                <w:sz w:val="24"/>
                <w:szCs w:val="24"/>
                <w:lang w:val="en-US" w:eastAsia="zh-CN"/>
              </w:rPr>
              <w:t>；杯</w:t>
            </w:r>
            <w:r>
              <w:rPr>
                <w:rFonts w:hint="default" w:ascii="Times New Roman" w:hAnsi="Times New Roman" w:eastAsia="仿宋_GB2312" w:cs="Times New Roman"/>
                <w:color w:val="auto"/>
                <w:sz w:val="24"/>
                <w:szCs w:val="24"/>
                <w:highlight w:val="none"/>
                <w:lang w:val="en-US" w:eastAsia="zh-CN" w:bidi="ar-SA"/>
              </w:rPr>
              <w:t>突深度</w:t>
            </w:r>
            <w:r>
              <w:rPr>
                <w:rFonts w:hint="default" w:ascii="Times New Roman" w:hAnsi="Times New Roman" w:eastAsia="仿宋_GB2312" w:cs="Times New Roman"/>
                <w:color w:val="auto"/>
                <w:sz w:val="24"/>
                <w:szCs w:val="24"/>
              </w:rPr>
              <w:t>≥6mm</w:t>
            </w:r>
            <w:r>
              <w:rPr>
                <w:rFonts w:hint="default" w:ascii="Times New Roman" w:hAnsi="Times New Roman" w:eastAsia="仿宋_GB2312" w:cs="Times New Roman"/>
                <w:color w:val="auto"/>
                <w:sz w:val="24"/>
                <w:szCs w:val="24"/>
                <w:highlight w:val="none"/>
                <w:lang w:val="en-US" w:eastAsia="zh-CN" w:bidi="ar-SA"/>
              </w:rPr>
              <w:t>，符合</w:t>
            </w:r>
            <w:r>
              <w:rPr>
                <w:rFonts w:hint="default" w:ascii="Times New Roman" w:hAnsi="Times New Roman" w:eastAsia="仿宋_GB2312" w:cs="Times New Roman"/>
                <w:color w:val="auto"/>
                <w:sz w:val="24"/>
                <w:szCs w:val="24"/>
              </w:rPr>
              <w:t>GB/T 9753-2021</w:t>
            </w:r>
            <w:r>
              <w:rPr>
                <w:rFonts w:hint="default" w:ascii="Times New Roman" w:hAnsi="Times New Roman" w:eastAsia="仿宋_GB2312" w:cs="Times New Roman"/>
                <w:color w:val="auto"/>
                <w:sz w:val="24"/>
                <w:szCs w:val="24"/>
                <w:highlight w:val="none"/>
                <w:lang w:val="en-US" w:eastAsia="zh-CN" w:bidi="ar-SA"/>
              </w:rPr>
              <w:t>标准</w:t>
            </w:r>
            <w:r>
              <w:rPr>
                <w:rFonts w:hint="default" w:ascii="Times New Roman" w:hAnsi="Times New Roman" w:eastAsia="仿宋_GB2312" w:cs="Times New Roman"/>
                <w:color w:val="auto"/>
                <w:kern w:val="0"/>
                <w:sz w:val="24"/>
                <w:szCs w:val="24"/>
                <w:u w:val="none"/>
                <w:lang w:val="en" w:eastAsia="zh-CN" w:bidi="ar"/>
              </w:rPr>
              <w:t>。</w:t>
            </w:r>
          </w:p>
          <w:p w14:paraId="61BEDCC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8</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稳定性：按GB/T10357.4标准进行。</w:t>
            </w:r>
          </w:p>
          <w:p w14:paraId="7BB3101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五、制造要求</w:t>
            </w:r>
          </w:p>
          <w:p w14:paraId="6447C10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凡需焊接的部位应焊接牢固，焊点均匀，焊痕高度≤1mm，焊点间距应控制在100mm以内，焊痕表面波纹平整，不得出现焊焦、焊穿等现象。</w:t>
            </w:r>
          </w:p>
          <w:p w14:paraId="700A9AA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冲压件必须平整无毛刺，不允许有裂痕，冲压尺寸的误差应控制在±2.0mm之内。</w:t>
            </w:r>
          </w:p>
          <w:p w14:paraId="2DD1ED8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折弯必须到位，以确保工件折弯所需角度，其邻边垂直度、平行度控制在≤1.5mm内。</w:t>
            </w:r>
          </w:p>
          <w:p w14:paraId="3027EEF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涂层表面应平整光滑，色泽均匀一致，不允许有流挂、起粒、皱皮、露底、剥落、伤痕等外观缺陷。</w:t>
            </w:r>
          </w:p>
          <w:p w14:paraId="3BCB3D9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5</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各零件、组合件表面应光滑平整，不得有尖角凸起；各零件、组合件之间能保持互换性。所有标准件及紧固件均需氧化或镀锌处理。</w:t>
            </w:r>
          </w:p>
          <w:p w14:paraId="55270C5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六、载重性能要求</w:t>
            </w:r>
          </w:p>
          <w:p w14:paraId="0034B61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托板载重：托板上均布载重100kg，最大挠度为4mm，24h卸载后，不得裂纹。</w:t>
            </w:r>
          </w:p>
          <w:p w14:paraId="214603C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全负载载重：每标准节在全负载600 kg（每层托板均布载重100kg）的情况下，架体、立柱不应有明显变形，架体不应产生倾倒现象。</w:t>
            </w:r>
          </w:p>
          <w:p w14:paraId="6B3CD75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载重运行：在全负载的情况下，各列智能密集架在手动操纵下，都应运行自如，不得有阻滞现象。</w:t>
            </w:r>
          </w:p>
          <w:p w14:paraId="2732FAC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载重稳定性：在受全部载荷二十分之一外力（沿X、Y轴两个方向的水平外力）的作用反复100次后，取消外力，架体所产生的倾斜不得大于总高的百分之一。支架、立柱不得有明显变形。</w:t>
            </w:r>
          </w:p>
          <w:p w14:paraId="7D191EA4">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七、智能部分功能要求</w:t>
            </w:r>
          </w:p>
          <w:p w14:paraId="18A9EBFE">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固定列人机交互要求：</w:t>
            </w:r>
          </w:p>
          <w:p w14:paraId="4E40D7E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（1）固定列应采用15寸工业级带触摸计算机（系统优选主流安卓系统），而不是采用商业电脑设计；必须具备网口、USB口、标准串口；</w:t>
            </w:r>
          </w:p>
          <w:p w14:paraId="2309C26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（2）具备网络直接接入功能，可通过wifi、有线连接管理服务器；</w:t>
            </w:r>
          </w:p>
          <w:p w14:paraId="0E2D49B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（3）温湿度信息动态曲线显示；具备历史温湿度查询、统计分析功能；</w:t>
            </w:r>
          </w:p>
          <w:p w14:paraId="2BABB8D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（4）具备人图形手势解锁功能；</w:t>
            </w:r>
          </w:p>
          <w:p w14:paraId="2C249D7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（5）图形化架体运动位置监视功能，具备二维及三维显示方式；</w:t>
            </w:r>
          </w:p>
          <w:p w14:paraId="144002C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移动列人机交互要求：8寸彩色液晶触摸屏</w:t>
            </w:r>
          </w:p>
          <w:p w14:paraId="6C2514D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架体驱动：移动列采用≤150W的低压无刷直流电机驱动，驱动器采用独立专用模块驱动，以最大限度提高电磁兼容性及可靠稳定性，方便用户自主维护。（现场验证：电机是否独立专用模块驱动，连接方式采用标准接插件）；</w:t>
            </w:r>
          </w:p>
          <w:p w14:paraId="33DD0A0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节能控制：</w:t>
            </w:r>
          </w:p>
          <w:p w14:paraId="6E37EE4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（1）因红外光会随着时间衰减，所有红外传感器需在空闲不用时自动切断电源以延长使用寿命，并在需要时自动启动（验证方式：采用手机相机模式查看所有红外传感器的红外光束的开启与关闭）；</w:t>
            </w:r>
          </w:p>
          <w:p w14:paraId="3C2545D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（2）道口人体红外检测按需自动开启，通道打开距离小于20CM自动关闭（验证方式：采用手机相机模式查看所有红外传感器的红外光束的开启与关闭）；</w:t>
            </w:r>
          </w:p>
          <w:p w14:paraId="1252E522">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（3）架内采用低压24V高亮LED灯辅助照明。架体打开时照明设备进入预启动状态，待人员进入时列照明自动开启，人员离开时灯光自动熄灭，达到最佳节能；</w:t>
            </w:r>
          </w:p>
          <w:p w14:paraId="732A128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5</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档案查询管理</w:t>
            </w:r>
          </w:p>
          <w:p w14:paraId="160BA1C9">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（1）固定列能够采用关键词的档案查询及架体控制，能够从数据库服务器（可在远程和本地切换）同时获取多条提档信息，并能控制架体打开所获取的提档列表中的所有档案位置；</w:t>
            </w:r>
          </w:p>
          <w:p w14:paraId="4AF53A3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（2）任意列液晶屏上可通过模糊查询关键词方式，通过查询档案编号及关键词来查找及显示对应档案的进一步详细情况。查询到的档案可执行远程开架操作；</w:t>
            </w:r>
          </w:p>
          <w:p w14:paraId="162EF47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（3）任意列均可在操作液晶屏上查看该列精确到每个格位的存放档案数量分布信息，且可在操作液晶屏上图形化方式点击查看该列某位置存放的档案目录及状态（在库、借出、注销等）。</w:t>
            </w:r>
          </w:p>
          <w:p w14:paraId="6DA75F0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6</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能实现语音提醒与控制。</w:t>
            </w:r>
          </w:p>
          <w:p w14:paraId="28515FCB">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eastAsia" w:ascii="黑体" w:hAnsi="黑体" w:eastAsia="黑体" w:cs="黑体"/>
                <w:b w:val="0"/>
                <w:bCs w:val="0"/>
                <w:color w:val="000000"/>
                <w:kern w:val="0"/>
                <w:sz w:val="24"/>
                <w:szCs w:val="24"/>
                <w:u w:val="none"/>
                <w:lang w:val="en" w:eastAsia="zh-CN" w:bidi="ar"/>
              </w:rPr>
            </w:pPr>
            <w:r>
              <w:rPr>
                <w:rFonts w:hint="eastAsia" w:ascii="黑体" w:hAnsi="黑体" w:eastAsia="黑体" w:cs="黑体"/>
                <w:b w:val="0"/>
                <w:bCs w:val="0"/>
                <w:color w:val="000000"/>
                <w:kern w:val="0"/>
                <w:sz w:val="24"/>
                <w:szCs w:val="24"/>
                <w:u w:val="none"/>
                <w:lang w:val="en" w:eastAsia="zh-CN" w:bidi="ar"/>
              </w:rPr>
              <w:t>八、电子元器件配置</w:t>
            </w:r>
          </w:p>
          <w:p w14:paraId="3C1BA5A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24V直流无刷电动机：功率≤150W， 1台/列</w:t>
            </w:r>
          </w:p>
          <w:p w14:paraId="109C137C">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固定列控制板：嵌入式设计， 1个/区</w:t>
            </w:r>
          </w:p>
          <w:p w14:paraId="46037D6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活动列控制板：嵌入式设计， 1个/列</w:t>
            </w:r>
          </w:p>
          <w:p w14:paraId="3E4BC50A">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eastAsia"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无刷电机专用驱动器：1个/列</w:t>
            </w:r>
          </w:p>
          <w:p w14:paraId="3C46391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5.</w:t>
            </w:r>
            <w:r>
              <w:rPr>
                <w:rFonts w:hint="default" w:ascii="Times New Roman" w:hAnsi="Times New Roman" w:eastAsia="仿宋_GB2312" w:cs="Times New Roman"/>
                <w:color w:val="000000"/>
                <w:kern w:val="0"/>
                <w:sz w:val="24"/>
                <w:szCs w:val="24"/>
                <w:u w:val="none"/>
                <w:lang w:val="en" w:eastAsia="zh-CN" w:bidi="ar"/>
              </w:rPr>
              <w:t>架内红外对射器：红外线对射、≥10m ，1个/列</w:t>
            </w:r>
          </w:p>
          <w:p w14:paraId="05BDF3A5">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6.</w:t>
            </w:r>
            <w:r>
              <w:rPr>
                <w:rFonts w:hint="default" w:ascii="Times New Roman" w:hAnsi="Times New Roman" w:eastAsia="仿宋_GB2312" w:cs="Times New Roman"/>
                <w:color w:val="000000"/>
                <w:kern w:val="0"/>
                <w:sz w:val="24"/>
                <w:szCs w:val="24"/>
                <w:u w:val="none"/>
                <w:lang w:val="en" w:eastAsia="zh-CN" w:bidi="ar"/>
              </w:rPr>
              <w:t>开关电源：24V、350W ，1个/列</w:t>
            </w:r>
          </w:p>
          <w:p w14:paraId="2B020F7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7.</w:t>
            </w:r>
            <w:r>
              <w:rPr>
                <w:rFonts w:hint="default" w:ascii="Times New Roman" w:hAnsi="Times New Roman" w:eastAsia="仿宋_GB2312" w:cs="Times New Roman"/>
                <w:color w:val="000000"/>
                <w:kern w:val="0"/>
                <w:sz w:val="24"/>
                <w:szCs w:val="24"/>
                <w:u w:val="none"/>
                <w:lang w:val="en" w:eastAsia="zh-CN" w:bidi="ar"/>
              </w:rPr>
              <w:t>接近开关：非接触式，1个/列</w:t>
            </w:r>
          </w:p>
          <w:p w14:paraId="4D6A18B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8.</w:t>
            </w:r>
            <w:r>
              <w:rPr>
                <w:rFonts w:hint="default" w:ascii="Times New Roman" w:hAnsi="Times New Roman" w:eastAsia="仿宋_GB2312" w:cs="Times New Roman"/>
                <w:color w:val="000000"/>
                <w:kern w:val="0"/>
                <w:sz w:val="24"/>
                <w:szCs w:val="24"/>
                <w:u w:val="none"/>
                <w:lang w:val="en" w:eastAsia="zh-CN" w:bidi="ar"/>
              </w:rPr>
              <w:t>空气开关：32A、漏电保护，1个/区</w:t>
            </w:r>
          </w:p>
          <w:p w14:paraId="72E6A9EF">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9.</w:t>
            </w:r>
            <w:r>
              <w:rPr>
                <w:rFonts w:hint="default" w:ascii="Times New Roman" w:hAnsi="Times New Roman" w:eastAsia="仿宋_GB2312" w:cs="Times New Roman"/>
                <w:color w:val="000000"/>
                <w:kern w:val="0"/>
                <w:sz w:val="24"/>
                <w:szCs w:val="24"/>
                <w:u w:val="none"/>
                <w:lang w:val="en" w:eastAsia="zh-CN" w:bidi="ar"/>
              </w:rPr>
              <w:t>通信电缆：超5类，1套/列</w:t>
            </w:r>
          </w:p>
          <w:p w14:paraId="6DC2745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eastAsia" w:ascii="Times New Roman" w:hAnsi="Times New Roman" w:eastAsia="仿宋_GB2312" w:cs="Times New Roman"/>
                <w:color w:val="000000"/>
                <w:kern w:val="0"/>
                <w:sz w:val="24"/>
                <w:szCs w:val="24"/>
                <w:u w:val="none"/>
                <w:lang w:val="en-US" w:eastAsia="zh-CN" w:bidi="ar"/>
              </w:rPr>
              <w:t>10.</w:t>
            </w:r>
            <w:r>
              <w:rPr>
                <w:rFonts w:hint="default" w:ascii="Times New Roman" w:hAnsi="Times New Roman" w:eastAsia="仿宋_GB2312" w:cs="Times New Roman"/>
                <w:color w:val="000000"/>
                <w:kern w:val="0"/>
                <w:sz w:val="24"/>
                <w:szCs w:val="24"/>
                <w:u w:val="none"/>
                <w:lang w:val="en" w:eastAsia="zh-CN" w:bidi="ar"/>
              </w:rPr>
              <w:t>阻燃电缆：RVV，1套/列</w:t>
            </w:r>
          </w:p>
          <w:p w14:paraId="66665D07">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Calibri" w:hAnsi="Calibri" w:eastAsia="宋体" w:cs="Times New Roman"/>
                <w:kern w:val="2"/>
                <w:sz w:val="21"/>
                <w:lang w:val="en" w:eastAsia="zh-CN" w:bidi="ar-SA"/>
              </w:rPr>
            </w:pPr>
            <w:r>
              <w:rPr>
                <w:rFonts w:hint="default" w:ascii="Times New Roman" w:hAnsi="Times New Roman" w:eastAsia="仿宋_GB2312" w:cs="Times New Roman"/>
                <w:color w:val="000000"/>
                <w:kern w:val="0"/>
                <w:sz w:val="24"/>
                <w:szCs w:val="24"/>
                <w:u w:val="none"/>
                <w:lang w:val="en" w:eastAsia="zh-CN" w:bidi="ar"/>
              </w:rPr>
              <w:t>1</w:t>
            </w:r>
            <w:r>
              <w:rPr>
                <w:rFonts w:hint="eastAsia" w:ascii="Times New Roman" w:hAnsi="Times New Roman" w:eastAsia="仿宋_GB2312" w:cs="Times New Roman"/>
                <w:color w:val="000000"/>
                <w:kern w:val="0"/>
                <w:sz w:val="24"/>
                <w:szCs w:val="24"/>
                <w:u w:val="none"/>
                <w:lang w:val="en-US" w:eastAsia="zh-CN" w:bidi="ar"/>
              </w:rPr>
              <w:t>1.</w:t>
            </w:r>
            <w:r>
              <w:rPr>
                <w:rFonts w:hint="default" w:ascii="Times New Roman" w:hAnsi="Times New Roman" w:eastAsia="仿宋_GB2312" w:cs="Times New Roman"/>
                <w:color w:val="000000"/>
                <w:kern w:val="0"/>
                <w:sz w:val="24"/>
                <w:szCs w:val="24"/>
                <w:u w:val="none"/>
                <w:lang w:val="en" w:eastAsia="zh-CN" w:bidi="ar"/>
              </w:rPr>
              <w:t>列号显示：高亮，1套/列</w:t>
            </w:r>
          </w:p>
        </w:tc>
        <w:tc>
          <w:tcPr>
            <w:tcW w:w="450" w:type="dxa"/>
            <w:vAlign w:val="center"/>
          </w:tcPr>
          <w:p w14:paraId="752545CF">
            <w:pPr>
              <w:keepNext w:val="0"/>
              <w:keepLines w:val="0"/>
              <w:pageBreakBefore w:val="0"/>
              <w:widowControl/>
              <w:suppressLineNumbers w:val="0"/>
              <w:kinsoku/>
              <w:wordWrap/>
              <w:overflowPunct/>
              <w:topLinePunct w:val="0"/>
              <w:autoSpaceDE/>
              <w:autoSpaceDN/>
              <w:bidi w:val="0"/>
              <w:snapToGrid/>
              <w:spacing w:line="520" w:lineRule="exact"/>
              <w:jc w:val="center"/>
              <w:rPr>
                <w:rFonts w:hint="default" w:ascii="Times New Roman" w:hAnsi="Times New Roman" w:eastAsia="仿宋_GB2312" w:cs="Times New Roman"/>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u w:val="none"/>
                <w:lang w:val="en-US" w:eastAsia="zh-CN" w:bidi="ar"/>
              </w:rPr>
              <w:t>1项</w:t>
            </w:r>
          </w:p>
        </w:tc>
        <w:tc>
          <w:tcPr>
            <w:tcW w:w="990" w:type="dxa"/>
            <w:vAlign w:val="center"/>
          </w:tcPr>
          <w:p w14:paraId="36C3529A">
            <w:pPr>
              <w:keepNext w:val="0"/>
              <w:keepLines w:val="0"/>
              <w:pageBreakBefore w:val="0"/>
              <w:widowControl/>
              <w:suppressLineNumbers w:val="0"/>
              <w:kinsoku/>
              <w:wordWrap/>
              <w:overflowPunct/>
              <w:topLinePunct w:val="0"/>
              <w:autoSpaceDE/>
              <w:autoSpaceDN/>
              <w:bidi w:val="0"/>
              <w:snapToGrid/>
              <w:spacing w:line="520" w:lineRule="exact"/>
              <w:jc w:val="center"/>
              <w:rPr>
                <w:rFonts w:hint="default" w:ascii="Times New Roman" w:hAnsi="Times New Roman" w:eastAsia="仿宋_GB2312" w:cs="Times New Roman"/>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u w:val="none"/>
                <w:lang w:val="en-US" w:eastAsia="zh-CN" w:bidi="ar"/>
              </w:rPr>
              <w:t>133236</w:t>
            </w:r>
          </w:p>
        </w:tc>
        <w:tc>
          <w:tcPr>
            <w:tcW w:w="975" w:type="dxa"/>
            <w:vAlign w:val="center"/>
          </w:tcPr>
          <w:p w14:paraId="22188613">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宋体" w:hAnsi="宋体" w:eastAsia="宋体" w:cs="宋体"/>
                <w:color w:val="000000"/>
                <w:kern w:val="0"/>
                <w:sz w:val="21"/>
                <w:szCs w:val="21"/>
                <w:u w:val="none"/>
                <w:lang w:val="en-US" w:eastAsia="zh-CN" w:bidi="ar"/>
              </w:rPr>
            </w:pPr>
          </w:p>
        </w:tc>
        <w:tc>
          <w:tcPr>
            <w:tcW w:w="760" w:type="dxa"/>
            <w:vAlign w:val="center"/>
          </w:tcPr>
          <w:p w14:paraId="501279F8">
            <w:pPr>
              <w:spacing w:line="592" w:lineRule="exact"/>
              <w:rPr>
                <w:rFonts w:hint="eastAsia" w:ascii="宋体" w:hAnsi="宋体" w:eastAsia="宋体" w:cs="宋体"/>
                <w:color w:val="FF0000"/>
                <w:kern w:val="0"/>
                <w:sz w:val="21"/>
                <w:szCs w:val="21"/>
                <w:u w:val="none"/>
                <w:lang w:val="en-US" w:eastAsia="zh-CN" w:bidi="ar"/>
              </w:rPr>
            </w:pPr>
          </w:p>
        </w:tc>
      </w:tr>
      <w:tr w14:paraId="1238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52" w:type="dxa"/>
            <w:vAlign w:val="center"/>
          </w:tcPr>
          <w:p w14:paraId="67F8929B">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宋体" w:hAnsi="宋体" w:eastAsia="宋体" w:cs="宋体"/>
                <w:color w:val="000000"/>
                <w:kern w:val="0"/>
                <w:sz w:val="21"/>
                <w:szCs w:val="21"/>
                <w:u w:val="none"/>
                <w:lang w:val="en-US" w:eastAsia="zh-CN" w:bidi="ar"/>
              </w:rPr>
            </w:pPr>
            <w:r>
              <w:rPr>
                <w:rFonts w:hint="default" w:ascii="Times New Roman" w:hAnsi="Times New Roman" w:eastAsia="宋体" w:cs="Times New Roman"/>
                <w:color w:val="000000"/>
                <w:kern w:val="0"/>
                <w:sz w:val="24"/>
                <w:szCs w:val="24"/>
                <w:u w:val="none"/>
                <w:lang w:val="en-US" w:eastAsia="zh-CN" w:bidi="ar"/>
              </w:rPr>
              <w:t>2</w:t>
            </w:r>
          </w:p>
        </w:tc>
        <w:tc>
          <w:tcPr>
            <w:tcW w:w="722" w:type="dxa"/>
            <w:vAlign w:val="center"/>
          </w:tcPr>
          <w:p w14:paraId="27C61AD9">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宋体" w:hAnsi="宋体" w:eastAsia="宋体" w:cs="宋体"/>
                <w:color w:val="000000"/>
                <w:kern w:val="0"/>
                <w:sz w:val="21"/>
                <w:szCs w:val="21"/>
                <w:u w:val="none"/>
                <w:lang w:val="en-US" w:eastAsia="zh-CN" w:bidi="ar"/>
              </w:rPr>
            </w:pPr>
            <w:r>
              <w:rPr>
                <w:rFonts w:hint="eastAsia" w:ascii="仿宋_GB2312" w:hAnsi="仿宋_GB2312" w:eastAsia="仿宋_GB2312" w:cs="仿宋_GB2312"/>
                <w:color w:val="auto"/>
                <w:sz w:val="24"/>
                <w:szCs w:val="24"/>
                <w:highlight w:val="none"/>
                <w:lang w:val="en-US" w:eastAsia="zh-CN"/>
              </w:rPr>
              <w:t>图书馆密集架</w:t>
            </w:r>
          </w:p>
        </w:tc>
        <w:tc>
          <w:tcPr>
            <w:tcW w:w="5758" w:type="dxa"/>
            <w:vAlign w:val="center"/>
          </w:tcPr>
          <w:p w14:paraId="194185F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420" w:leftChars="200" w:right="0" w:rightChars="0"/>
              <w:jc w:val="both"/>
              <w:textAlignment w:val="auto"/>
              <w:rPr>
                <w:rFonts w:hint="eastAsia" w:ascii="黑体" w:hAnsi="黑体" w:eastAsia="黑体" w:cs="黑体"/>
                <w:b w:val="0"/>
                <w:bCs w:val="0"/>
                <w:color w:val="auto"/>
                <w:sz w:val="24"/>
                <w:szCs w:val="24"/>
                <w:highlight w:val="none"/>
                <w:u w:val="none"/>
                <w:shd w:val="clear" w:color="auto" w:fill="auto"/>
                <w:lang w:eastAsia="zh-CN" w:bidi="ar-SA"/>
              </w:rPr>
            </w:pPr>
            <w:r>
              <w:rPr>
                <w:rFonts w:hint="eastAsia" w:ascii="黑体" w:hAnsi="黑体" w:eastAsia="黑体" w:cs="黑体"/>
                <w:b w:val="0"/>
                <w:bCs w:val="0"/>
                <w:color w:val="auto"/>
                <w:kern w:val="2"/>
                <w:sz w:val="24"/>
                <w:szCs w:val="24"/>
                <w:shd w:val="clear" w:fill="auto"/>
                <w:lang w:val="en-US" w:eastAsia="zh-CN" w:bidi="ar-SA"/>
              </w:rPr>
              <w:t>一、</w:t>
            </w:r>
            <w:r>
              <w:rPr>
                <w:rFonts w:hint="eastAsia" w:ascii="黑体" w:hAnsi="黑体" w:eastAsia="黑体" w:cs="黑体"/>
                <w:b w:val="0"/>
                <w:bCs w:val="0"/>
                <w:color w:val="auto"/>
                <w:sz w:val="24"/>
                <w:szCs w:val="24"/>
                <w:highlight w:val="none"/>
                <w:u w:val="none"/>
                <w:shd w:val="clear" w:color="auto" w:fill="auto"/>
                <w:lang w:val="en-US" w:eastAsia="zh-CN" w:bidi="ar-SA"/>
              </w:rPr>
              <w:t>产品规格</w:t>
            </w:r>
            <w:r>
              <w:rPr>
                <w:rFonts w:hint="eastAsia" w:ascii="黑体" w:hAnsi="黑体" w:eastAsia="黑体" w:cs="黑体"/>
                <w:b w:val="0"/>
                <w:bCs w:val="0"/>
                <w:color w:val="auto"/>
                <w:sz w:val="24"/>
                <w:szCs w:val="24"/>
                <w:highlight w:val="none"/>
                <w:u w:val="none"/>
                <w:shd w:val="clear" w:color="auto" w:fill="auto"/>
                <w:lang w:eastAsia="zh-CN" w:bidi="ar-SA"/>
              </w:rPr>
              <w:t>（</w:t>
            </w:r>
            <w:r>
              <w:rPr>
                <w:rFonts w:hint="eastAsia" w:ascii="黑体" w:hAnsi="黑体" w:eastAsia="黑体" w:cs="黑体"/>
                <w:b w:val="0"/>
                <w:bCs w:val="0"/>
                <w:color w:val="auto"/>
                <w:sz w:val="24"/>
                <w:szCs w:val="24"/>
                <w:highlight w:val="none"/>
                <w:u w:val="none"/>
                <w:shd w:val="clear" w:color="auto" w:fill="auto"/>
                <w:lang w:val="en-US" w:eastAsia="zh-CN" w:bidi="ar-SA"/>
              </w:rPr>
              <w:t>mm</w:t>
            </w:r>
            <w:r>
              <w:rPr>
                <w:rFonts w:hint="eastAsia" w:ascii="黑体" w:hAnsi="黑体" w:eastAsia="黑体" w:cs="黑体"/>
                <w:b w:val="0"/>
                <w:bCs w:val="0"/>
                <w:color w:val="auto"/>
                <w:sz w:val="24"/>
                <w:szCs w:val="24"/>
                <w:highlight w:val="none"/>
                <w:u w:val="none"/>
                <w:shd w:val="clear" w:color="auto" w:fill="auto"/>
                <w:lang w:eastAsia="zh-CN" w:bidi="ar-SA"/>
              </w:rPr>
              <w:t>）</w:t>
            </w:r>
          </w:p>
          <w:p w14:paraId="2E0EBFAF">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 w:eastAsia="zh-CN"/>
              </w:rPr>
              <w:t>每</w:t>
            </w:r>
            <w:r>
              <w:rPr>
                <w:rFonts w:hint="default" w:ascii="Times New Roman" w:hAnsi="Times New Roman" w:eastAsia="仿宋_GB2312" w:cs="Times New Roman"/>
                <w:b w:val="0"/>
                <w:bCs/>
                <w:color w:val="auto"/>
                <w:sz w:val="24"/>
                <w:szCs w:val="24"/>
                <w:highlight w:val="none"/>
                <w:lang w:val="en-US" w:eastAsia="zh-CN"/>
              </w:rPr>
              <w:t>列长3600</w:t>
            </w:r>
            <w:r>
              <w:rPr>
                <w:rFonts w:hint="default" w:ascii="Times New Roman" w:hAnsi="Times New Roman" w:eastAsia="仿宋_GB2312" w:cs="Times New Roman"/>
                <w:b w:val="0"/>
                <w:bCs/>
                <w:color w:val="auto"/>
                <w:sz w:val="24"/>
                <w:szCs w:val="24"/>
                <w:highlight w:val="none"/>
                <w:u w:val="none"/>
                <w:shd w:val="clear" w:color="auto" w:fill="auto"/>
                <w:lang w:val="en-US" w:eastAsia="zh-CN" w:bidi="ar-SA"/>
              </w:rPr>
              <w:t>mm</w:t>
            </w:r>
            <w:r>
              <w:rPr>
                <w:rFonts w:hint="default" w:ascii="Times New Roman" w:hAnsi="Times New Roman" w:eastAsia="仿宋_GB2312" w:cs="Times New Roman"/>
                <w:b w:val="0"/>
                <w:bCs/>
                <w:color w:val="auto"/>
                <w:sz w:val="24"/>
                <w:szCs w:val="24"/>
              </w:rPr>
              <w:t>×</w:t>
            </w:r>
            <w:r>
              <w:rPr>
                <w:rFonts w:hint="default" w:ascii="Times New Roman" w:hAnsi="Times New Roman" w:eastAsia="仿宋_GB2312" w:cs="Times New Roman"/>
                <w:b w:val="0"/>
                <w:bCs/>
                <w:color w:val="auto"/>
                <w:sz w:val="24"/>
                <w:szCs w:val="24"/>
                <w:highlight w:val="none"/>
                <w:lang w:val="en-US" w:eastAsia="zh-CN"/>
              </w:rPr>
              <w:t>宽600</w:t>
            </w:r>
            <w:r>
              <w:rPr>
                <w:rFonts w:hint="default" w:ascii="Times New Roman" w:hAnsi="Times New Roman" w:eastAsia="仿宋_GB2312" w:cs="Times New Roman"/>
                <w:b w:val="0"/>
                <w:bCs/>
                <w:color w:val="auto"/>
                <w:sz w:val="24"/>
                <w:szCs w:val="24"/>
                <w:highlight w:val="none"/>
                <w:u w:val="none"/>
                <w:shd w:val="clear" w:color="auto" w:fill="auto"/>
                <w:lang w:val="en-US" w:eastAsia="zh-CN" w:bidi="ar-SA"/>
              </w:rPr>
              <w:t>mm</w:t>
            </w:r>
            <w:r>
              <w:rPr>
                <w:rFonts w:hint="default" w:ascii="Times New Roman" w:hAnsi="Times New Roman" w:eastAsia="仿宋_GB2312" w:cs="Times New Roman"/>
                <w:b w:val="0"/>
                <w:bCs/>
                <w:color w:val="auto"/>
                <w:sz w:val="24"/>
                <w:szCs w:val="24"/>
              </w:rPr>
              <w:t>×</w:t>
            </w:r>
            <w:r>
              <w:rPr>
                <w:rFonts w:hint="default" w:ascii="Times New Roman" w:hAnsi="Times New Roman" w:eastAsia="仿宋_GB2312" w:cs="Times New Roman"/>
                <w:b w:val="0"/>
                <w:bCs/>
                <w:color w:val="auto"/>
                <w:sz w:val="24"/>
                <w:szCs w:val="24"/>
                <w:highlight w:val="none"/>
                <w:lang w:val="en-US" w:eastAsia="zh-CN"/>
              </w:rPr>
              <w:t>高2400</w:t>
            </w:r>
            <w:r>
              <w:rPr>
                <w:rFonts w:hint="default" w:ascii="Times New Roman" w:hAnsi="Times New Roman" w:eastAsia="仿宋_GB2312" w:cs="Times New Roman"/>
                <w:b w:val="0"/>
                <w:bCs/>
                <w:color w:val="auto"/>
                <w:sz w:val="24"/>
                <w:szCs w:val="24"/>
                <w:highlight w:val="none"/>
                <w:u w:val="none"/>
                <w:shd w:val="clear" w:color="auto" w:fill="auto"/>
                <w:lang w:val="en-US" w:eastAsia="zh-CN" w:bidi="ar-SA"/>
              </w:rPr>
              <w:t>mm</w:t>
            </w:r>
            <w:r>
              <w:rPr>
                <w:rFonts w:hint="default" w:ascii="Times New Roman" w:hAnsi="Times New Roman" w:eastAsia="仿宋_GB2312" w:cs="Times New Roman"/>
                <w:b w:val="0"/>
                <w:bCs/>
                <w:color w:val="auto"/>
                <w:sz w:val="24"/>
                <w:szCs w:val="24"/>
                <w:highlight w:val="none"/>
                <w:u w:val="none"/>
                <w:shd w:val="clear" w:color="auto" w:fill="auto"/>
                <w:lang w:val="en" w:eastAsia="zh-CN" w:bidi="ar-SA"/>
              </w:rPr>
              <w:t>，</w:t>
            </w:r>
            <w:r>
              <w:rPr>
                <w:rFonts w:hint="default" w:ascii="Times New Roman" w:hAnsi="Times New Roman" w:eastAsia="仿宋_GB2312" w:cs="Times New Roman"/>
                <w:b w:val="0"/>
                <w:bCs/>
                <w:color w:val="auto"/>
                <w:sz w:val="24"/>
                <w:szCs w:val="24"/>
                <w:highlight w:val="none"/>
                <w:lang w:val="en-US" w:eastAsia="zh-CN"/>
              </w:rPr>
              <w:t>共9列，约46.7</w:t>
            </w:r>
            <w:r>
              <w:rPr>
                <w:rFonts w:hint="default" w:ascii="Times New Roman" w:hAnsi="Times New Roman" w:eastAsia="仿宋_GB2312" w:cs="Times New Roman"/>
                <w:b w:val="0"/>
                <w:bCs/>
                <w:color w:val="auto"/>
                <w:kern w:val="0"/>
                <w:sz w:val="24"/>
                <w:szCs w:val="24"/>
                <w:highlight w:val="none"/>
                <w:u w:val="none"/>
                <w:lang w:val="en-US" w:eastAsia="zh-CN" w:bidi="ar"/>
              </w:rPr>
              <w:t>m³，</w:t>
            </w:r>
            <w:r>
              <w:rPr>
                <w:rFonts w:hint="default" w:ascii="Times New Roman" w:hAnsi="Times New Roman" w:eastAsia="仿宋_GB2312" w:cs="Times New Roman"/>
                <w:b w:val="0"/>
                <w:bCs/>
                <w:color w:val="auto"/>
                <w:sz w:val="24"/>
                <w:szCs w:val="24"/>
                <w:highlight w:val="none"/>
                <w:lang w:val="en-US" w:eastAsia="zh-CN"/>
              </w:rPr>
              <w:t>以最终实地测量所得数据为准。</w:t>
            </w:r>
            <w:r>
              <w:rPr>
                <w:rFonts w:hint="default" w:ascii="Times New Roman" w:hAnsi="Times New Roman" w:eastAsia="仿宋_GB2312" w:cs="Times New Roman"/>
                <w:b w:val="0"/>
                <w:bCs/>
                <w:color w:val="auto"/>
                <w:sz w:val="24"/>
                <w:szCs w:val="24"/>
                <w:highlight w:val="none"/>
                <w:lang w:val="en" w:eastAsia="zh-CN"/>
              </w:rPr>
              <w:t>每列标配</w:t>
            </w:r>
            <w:r>
              <w:rPr>
                <w:rFonts w:hint="default" w:ascii="Times New Roman" w:hAnsi="Times New Roman" w:eastAsia="仿宋_GB2312" w:cs="Times New Roman"/>
                <w:b w:val="0"/>
                <w:bCs/>
                <w:color w:val="auto"/>
                <w:sz w:val="24"/>
                <w:szCs w:val="24"/>
                <w:highlight w:val="none"/>
                <w:lang w:val="en-US" w:eastAsia="zh-CN"/>
              </w:rPr>
              <w:t>4</w:t>
            </w:r>
            <w:r>
              <w:rPr>
                <w:rFonts w:hint="default" w:ascii="Times New Roman" w:hAnsi="Times New Roman" w:eastAsia="仿宋_GB2312" w:cs="Times New Roman"/>
                <w:b w:val="0"/>
                <w:bCs/>
                <w:color w:val="auto"/>
                <w:sz w:val="24"/>
                <w:szCs w:val="24"/>
                <w:highlight w:val="none"/>
                <w:lang w:val="en" w:eastAsia="zh-CN"/>
              </w:rPr>
              <w:t>组，</w:t>
            </w:r>
            <w:r>
              <w:rPr>
                <w:rFonts w:hint="default" w:ascii="Times New Roman" w:hAnsi="Times New Roman" w:eastAsia="仿宋_GB2312" w:cs="Times New Roman"/>
                <w:b w:val="0"/>
                <w:bCs/>
                <w:color w:val="auto"/>
                <w:sz w:val="24"/>
                <w:szCs w:val="24"/>
                <w:highlight w:val="none"/>
                <w:lang w:val="en-US" w:eastAsia="zh-CN"/>
              </w:rPr>
              <w:t>每组标配6层，双面存放档案，层</w:t>
            </w:r>
            <w:r>
              <w:rPr>
                <w:rFonts w:hint="default" w:ascii="Times New Roman" w:hAnsi="Times New Roman" w:eastAsia="仿宋_GB2312" w:cs="Times New Roman"/>
                <w:bCs/>
                <w:color w:val="auto"/>
                <w:sz w:val="24"/>
                <w:szCs w:val="24"/>
                <w:highlight w:val="none"/>
                <w:lang w:val="en-US" w:eastAsia="zh-CN"/>
              </w:rPr>
              <w:t>板活动高低可调。</w:t>
            </w:r>
          </w:p>
          <w:p w14:paraId="37E18DD6">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outlineLvl w:val="9"/>
              <w:rPr>
                <w:rFonts w:hint="eastAsia" w:ascii="黑体" w:hAnsi="黑体" w:eastAsia="黑体" w:cs="黑体"/>
                <w:b w:val="0"/>
                <w:bCs w:val="0"/>
                <w:color w:val="auto"/>
                <w:sz w:val="24"/>
                <w:szCs w:val="24"/>
                <w:highlight w:val="none"/>
                <w:u w:val="none"/>
                <w:shd w:val="clear" w:color="auto" w:fill="auto"/>
                <w:lang w:val="en-US" w:eastAsia="zh-CN" w:bidi="ar-SA"/>
              </w:rPr>
            </w:pPr>
            <w:r>
              <w:rPr>
                <w:rFonts w:hint="eastAsia" w:ascii="黑体" w:hAnsi="黑体" w:eastAsia="黑体" w:cs="黑体"/>
                <w:b w:val="0"/>
                <w:bCs w:val="0"/>
                <w:color w:val="auto"/>
                <w:sz w:val="24"/>
                <w:szCs w:val="24"/>
                <w:highlight w:val="none"/>
                <w:u w:val="none"/>
                <w:shd w:val="clear" w:color="auto" w:fill="auto"/>
                <w:lang w:val="en-US" w:eastAsia="zh-CN" w:bidi="ar-SA"/>
              </w:rPr>
              <w:t>二、产品执行标准</w:t>
            </w:r>
          </w:p>
          <w:p w14:paraId="517E293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both"/>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产品应严格按照中华人民共和国GB/T13667.4-2013密集架国家标准和DA/T7-92国家档案局直列式档案密集架行业要求执行。</w:t>
            </w:r>
          </w:p>
          <w:p w14:paraId="1324CA0F">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eastAsia" w:ascii="黑体" w:hAnsi="黑体" w:eastAsia="黑体" w:cs="黑体"/>
                <w:b w:val="0"/>
                <w:bCs w:val="0"/>
                <w:color w:val="auto"/>
                <w:sz w:val="24"/>
                <w:szCs w:val="24"/>
                <w:highlight w:val="none"/>
                <w:u w:val="none"/>
                <w:shd w:val="clear" w:color="auto" w:fill="auto"/>
                <w:lang w:val="en-US" w:eastAsia="zh-CN" w:bidi="ar-SA"/>
              </w:rPr>
            </w:pPr>
            <w:r>
              <w:rPr>
                <w:rFonts w:hint="eastAsia" w:ascii="黑体" w:hAnsi="黑体" w:eastAsia="黑体" w:cs="黑体"/>
                <w:b w:val="0"/>
                <w:bCs w:val="0"/>
                <w:color w:val="auto"/>
                <w:sz w:val="24"/>
                <w:szCs w:val="24"/>
                <w:highlight w:val="none"/>
                <w:u w:val="none"/>
                <w:shd w:val="clear" w:color="auto" w:fill="auto"/>
                <w:lang w:val="en-US" w:eastAsia="zh-CN" w:bidi="ar-SA"/>
              </w:rPr>
              <w:t>三、产品用材</w:t>
            </w:r>
          </w:p>
          <w:p w14:paraId="77DFCF18">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val="en-US" w:eastAsia="zh-CN" w:bidi="ar-SA"/>
              </w:rPr>
            </w:pPr>
            <w:r>
              <w:rPr>
                <w:rFonts w:hint="default" w:ascii="Times New Roman" w:hAnsi="Times New Roman" w:eastAsia="仿宋_GB2312" w:cs="Times New Roman"/>
                <w:color w:val="auto"/>
                <w:sz w:val="24"/>
                <w:szCs w:val="24"/>
                <w:highlight w:val="none"/>
                <w:u w:val="none"/>
                <w:shd w:val="clear" w:color="auto" w:fill="auto"/>
                <w:lang w:val="en-US" w:eastAsia="zh-CN" w:bidi="ar-SA"/>
              </w:rPr>
              <w:t>1</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val="en-US" w:eastAsia="zh-CN" w:bidi="ar-SA"/>
              </w:rPr>
              <w:t>密集架轨道：</w:t>
            </w:r>
          </w:p>
          <w:p w14:paraId="091359EC">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val="en-US" w:eastAsia="zh-CN" w:bidi="ar-SA"/>
              </w:rPr>
            </w:pPr>
            <w:r>
              <w:rPr>
                <w:rFonts w:hint="default" w:ascii="Times New Roman" w:hAnsi="Times New Roman" w:eastAsia="仿宋_GB2312" w:cs="Times New Roman"/>
                <w:bCs/>
                <w:color w:val="auto"/>
                <w:sz w:val="24"/>
                <w:szCs w:val="24"/>
              </w:rPr>
              <w:t>采用≥1.8mm优质304不锈钢拉丝板材，轨道板和轨芯采用整板一次性成型工艺</w:t>
            </w:r>
            <w:r>
              <w:rPr>
                <w:rFonts w:hint="default" w:ascii="Times New Roman" w:hAnsi="Times New Roman" w:eastAsia="仿宋_GB2312" w:cs="Times New Roman"/>
                <w:bCs/>
                <w:color w:val="auto"/>
                <w:sz w:val="24"/>
                <w:szCs w:val="24"/>
                <w:lang w:val="en"/>
              </w:rPr>
              <w:t>,</w:t>
            </w:r>
            <w:r>
              <w:rPr>
                <w:rFonts w:hint="default" w:ascii="Times New Roman" w:hAnsi="Times New Roman" w:eastAsia="仿宋_GB2312" w:cs="Times New Roman"/>
                <w:bCs/>
                <w:color w:val="auto"/>
                <w:sz w:val="24"/>
                <w:szCs w:val="24"/>
              </w:rPr>
              <w:t>轨道板成型尺寸120×25mm（允许偏差±1 mm）。成型不锈钢轨芯尺寸22×25mm（允许偏差±1 mm）。轨道板两侧分别向内侧三道弯边，两侧折弯形成闭环密封结构，成型尺寸16×25mm（允许偏差±1 mm），同时在轨道板两侧压印≥3mm凹槽,增强轨道板强度，预埋轨道与混凝土凝固后形成相互咬合结构。</w:t>
            </w:r>
          </w:p>
          <w:p w14:paraId="4ED039A7">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密集架底框：</w:t>
            </w:r>
          </w:p>
          <w:p w14:paraId="0BB3CA02">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采用3.0mm优质冷轧钢板，折弯成型，高度120mm，并采用双折弯工艺加强，底框上平面弯边≥50mm，架体长期荷重存放资料不易变形，底框与立柱连接采用φ10×20（mm）螺栓，并设有防倾倒装置，防止架体倾倒，底框装配后的直线偏差≤0.5mm/m，全长偏差≤3mm。底框采用嵌入式分段对接紧固原理组装，底框连接件采用方孔设计，紧固件（螺杆）底部为方颈，与连接件形成嵌入式紧固，实现三点紧固和三点承重受力。提高底框的承载能力。</w:t>
            </w:r>
          </w:p>
          <w:p w14:paraId="336D7416">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密集架立柱：</w:t>
            </w:r>
          </w:p>
          <w:p w14:paraId="58919ADD">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采用1.5mm优质冷轧钢板一次性成型制作</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七道弯边工艺，立柱正面50mm±1mm，侧面38mm±1mm。正面压印凹槽，凹槽成型尺寸≥20mm，深度≥2mm。侧面压印凹槽，凹槽成型尺寸≥18mm，深度≥1.2mm。凹槽底面为平面，增强立柱承重能力。</w:t>
            </w:r>
          </w:p>
          <w:p w14:paraId="09A2579B">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 xml:space="preserve">密集架托板： </w:t>
            </w:r>
          </w:p>
          <w:p w14:paraId="13F3D66E">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采用1.2mm优质冷轧钢板，每层托板采用双面组合结构，并采用六道弯边工艺，托板表面冲压两条对称凹槽筋，冲压深度为≥2mm，托板两侧折弯高度为≥25mm，增加承载能力。每层托板能达到承重≥100kg，最大挠度为4mm，最大负荷载重24小时卸载后不得出现裂痕和钢性变形。</w:t>
            </w:r>
            <w:r>
              <w:rPr>
                <w:rFonts w:hint="default" w:ascii="Times New Roman" w:hAnsi="Times New Roman" w:eastAsia="仿宋_GB2312" w:cs="Times New Roman"/>
                <w:color w:val="auto"/>
                <w:sz w:val="24"/>
                <w:szCs w:val="24"/>
                <w:highlight w:val="none"/>
                <w:lang w:val="en-US" w:eastAsia="zh-CN"/>
              </w:rPr>
              <w:t>每组托板上镶嵌樟木板，厚度</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20mm，表面无毛剌、不做漆封处理，尺寸与托板匹配。</w:t>
            </w:r>
          </w:p>
          <w:p w14:paraId="5EA3130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kern w:val="2"/>
                <w:sz w:val="24"/>
                <w:szCs w:val="24"/>
                <w:lang w:val="en-US" w:eastAsia="zh-CN" w:bidi="ar-SA"/>
              </w:rPr>
              <w:t>5</w:t>
            </w:r>
            <w:r>
              <w:rPr>
                <w:rFonts w:hint="eastAsia" w:ascii="Times New Roman" w:hAnsi="Times New Roman" w:eastAsia="仿宋_GB2312" w:cs="Times New Roman"/>
                <w:color w:val="auto"/>
                <w:kern w:val="2"/>
                <w:sz w:val="24"/>
                <w:szCs w:val="24"/>
                <w:lang w:val="en-US" w:eastAsia="zh-CN" w:bidi="ar-SA"/>
              </w:rPr>
              <w:t>.</w:t>
            </w:r>
            <w:r>
              <w:rPr>
                <w:rFonts w:hint="default" w:ascii="Times New Roman" w:hAnsi="Times New Roman" w:eastAsia="仿宋_GB2312" w:cs="Times New Roman"/>
                <w:color w:val="auto"/>
                <w:sz w:val="24"/>
                <w:szCs w:val="24"/>
                <w:highlight w:val="none"/>
              </w:rPr>
              <w:t>密集架档棒：采用1.0mm优质冷轧钢板。</w:t>
            </w:r>
          </w:p>
          <w:p w14:paraId="3FD240A5">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6</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密集架挂板：采用1.2mm优质冷轧钢板冲压成型。</w:t>
            </w:r>
          </w:p>
          <w:p w14:paraId="64C3CB2E">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7</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密集架侧护板： 采用1.0mm优质冷轧钢板。</w:t>
            </w:r>
          </w:p>
          <w:p w14:paraId="28C3DF3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 xml:space="preserve">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8</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密集架顶板：采用1.0mm优质冷轧钢板，</w:t>
            </w:r>
            <w:r>
              <w:rPr>
                <w:rFonts w:hint="default" w:ascii="Times New Roman" w:hAnsi="Times New Roman" w:eastAsia="仿宋_GB2312" w:cs="Times New Roman"/>
                <w:color w:val="auto"/>
                <w:kern w:val="0"/>
                <w:sz w:val="24"/>
                <w:szCs w:val="24"/>
                <w:highlight w:val="none"/>
              </w:rPr>
              <w:t>两头采用重叠回折压死边工艺</w:t>
            </w:r>
            <w:r>
              <w:rPr>
                <w:rFonts w:hint="default" w:ascii="Times New Roman" w:hAnsi="Times New Roman" w:eastAsia="仿宋_GB2312" w:cs="Times New Roman"/>
                <w:color w:val="auto"/>
                <w:kern w:val="0"/>
                <w:sz w:val="24"/>
                <w:szCs w:val="24"/>
                <w:highlight w:val="none"/>
                <w:lang w:eastAsia="zh-CN"/>
              </w:rPr>
              <w:t>，</w:t>
            </w:r>
            <w:r>
              <w:rPr>
                <w:rFonts w:hint="default" w:ascii="Times New Roman" w:hAnsi="Times New Roman" w:eastAsia="仿宋_GB2312" w:cs="Times New Roman"/>
                <w:color w:val="auto"/>
                <w:kern w:val="0"/>
                <w:sz w:val="24"/>
                <w:szCs w:val="24"/>
                <w:highlight w:val="none"/>
              </w:rPr>
              <w:t>整板成型无需拼装焊接。顶板与立柱上端搭接截面1/2，形成嵌入连接组装结构。</w:t>
            </w:r>
          </w:p>
          <w:p w14:paraId="40D62B94">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9</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密集架传动机构</w:t>
            </w:r>
          </w:p>
          <w:p w14:paraId="01F9244B">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摇手：采用T字可折叠式。</w:t>
            </w:r>
          </w:p>
          <w:p w14:paraId="5ADA622E">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val="en-US" w:eastAsia="zh-CN"/>
              </w:rPr>
              <w:t>9</w:t>
            </w:r>
            <w:r>
              <w:rPr>
                <w:rFonts w:hint="default" w:ascii="Times New Roman" w:hAnsi="Times New Roman" w:eastAsia="仿宋_GB2312" w:cs="Times New Roman"/>
                <w:color w:val="auto"/>
                <w:sz w:val="24"/>
                <w:szCs w:val="24"/>
                <w:highlight w:val="none"/>
              </w:rPr>
              <w:t>.2</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 xml:space="preserve">传动系统：采用双向超越结构，其结构为棘轮式、脱挡，停用后摇把可自行停于垂直位置，可避免通道障碍，摇动任意一列不会带动其它把手。架体空间利用率≥82%。 </w:t>
            </w:r>
          </w:p>
          <w:p w14:paraId="0D888B18">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default" w:ascii="Times New Roman" w:hAnsi="Times New Roman" w:eastAsia="仿宋_GB2312" w:cs="Times New Roman"/>
                <w:color w:val="auto"/>
                <w:sz w:val="24"/>
                <w:szCs w:val="24"/>
                <w:highlight w:val="none"/>
                <w:lang w:val="en-US" w:eastAsia="zh-CN"/>
              </w:rPr>
              <w:t>0</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制动装置</w:t>
            </w:r>
          </w:p>
          <w:p w14:paraId="60C14C86">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default" w:ascii="Times New Roman" w:hAnsi="Times New Roman" w:eastAsia="仿宋_GB2312" w:cs="Times New Roman"/>
                <w:color w:val="auto"/>
                <w:sz w:val="24"/>
                <w:szCs w:val="24"/>
                <w:highlight w:val="none"/>
                <w:lang w:val="en-US" w:eastAsia="zh-CN"/>
              </w:rPr>
              <w:t>0</w:t>
            </w:r>
            <w:r>
              <w:rPr>
                <w:rFonts w:hint="default" w:ascii="Times New Roman" w:hAnsi="Times New Roman" w:eastAsia="仿宋_GB2312" w:cs="Times New Roman"/>
                <w:color w:val="auto"/>
                <w:sz w:val="24"/>
                <w:szCs w:val="24"/>
                <w:highlight w:val="none"/>
              </w:rPr>
              <w:t>.1</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每列均应有刹车制动装置，使之做到每一列均可锁定，查阅、存放档案资料时能确保人身安全，存取更安全。</w:t>
            </w:r>
          </w:p>
          <w:p w14:paraId="6B2EB594">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default" w:ascii="Times New Roman" w:hAnsi="Times New Roman" w:eastAsia="仿宋_GB2312" w:cs="Times New Roman"/>
                <w:color w:val="auto"/>
                <w:sz w:val="24"/>
                <w:szCs w:val="24"/>
                <w:highlight w:val="none"/>
                <w:lang w:val="en-US" w:eastAsia="zh-CN"/>
              </w:rPr>
              <w:t>0</w:t>
            </w:r>
            <w:r>
              <w:rPr>
                <w:rFonts w:hint="default" w:ascii="Times New Roman" w:hAnsi="Times New Roman" w:eastAsia="仿宋_GB2312" w:cs="Times New Roman"/>
                <w:color w:val="auto"/>
                <w:sz w:val="24"/>
                <w:szCs w:val="24"/>
                <w:highlight w:val="none"/>
              </w:rPr>
              <w:t>.2</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每一组合团体均应有总锁装置，使之做到每个组合团体都可锁定，门面装有扣拉式方形锁。</w:t>
            </w:r>
          </w:p>
          <w:p w14:paraId="1A10C85E">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r>
              <w:rPr>
                <w:rFonts w:hint="default" w:ascii="Times New Roman" w:hAnsi="Times New Roman" w:eastAsia="仿宋_GB2312" w:cs="Times New Roman"/>
                <w:color w:val="auto"/>
                <w:sz w:val="24"/>
                <w:szCs w:val="24"/>
                <w:highlight w:val="none"/>
                <w:lang w:val="en-US" w:eastAsia="zh-CN"/>
              </w:rPr>
              <w:t>0</w:t>
            </w:r>
            <w:r>
              <w:rPr>
                <w:rFonts w:hint="default" w:ascii="Times New Roman" w:hAnsi="Times New Roman" w:eastAsia="仿宋_GB2312" w:cs="Times New Roman"/>
                <w:color w:val="auto"/>
                <w:sz w:val="24"/>
                <w:szCs w:val="24"/>
                <w:highlight w:val="none"/>
              </w:rPr>
              <w:t>.3</w:t>
            </w:r>
            <w:r>
              <w:rPr>
                <w:rFonts w:hint="eastAsia" w:ascii="Times New Roman" w:hAnsi="Times New Roman" w:eastAsia="仿宋_GB2312" w:cs="Times New Roman"/>
                <w:color w:val="auto"/>
                <w:sz w:val="24"/>
                <w:szCs w:val="24"/>
                <w:highlight w:val="none"/>
                <w:lang w:val="en-US" w:eastAsia="zh-CN"/>
              </w:rPr>
              <w:t>.</w:t>
            </w:r>
            <w:r>
              <w:rPr>
                <w:rFonts w:hint="default" w:ascii="Times New Roman" w:hAnsi="Times New Roman" w:eastAsia="仿宋_GB2312" w:cs="Times New Roman"/>
                <w:color w:val="auto"/>
                <w:sz w:val="24"/>
                <w:szCs w:val="24"/>
                <w:highlight w:val="none"/>
              </w:rPr>
              <w:t>密封装置每列的接触面均应有缓冲及密封条，顶部应有防尘板，每列架体上方安装防尘压条，底部有防鼠板，合拢后无缝隙，具有良好的防尘、防光、防鼠、防潮等功能。</w:t>
            </w:r>
          </w:p>
          <w:p w14:paraId="461643EC">
            <w:pPr>
              <w:keepNext w:val="0"/>
              <w:keepLines w:val="0"/>
              <w:pageBreakBefore w:val="0"/>
              <w:widowControl w:val="0"/>
              <w:kinsoku/>
              <w:wordWrap/>
              <w:overflowPunct/>
              <w:topLinePunct w:val="0"/>
              <w:autoSpaceDE/>
              <w:autoSpaceDN/>
              <w:bidi w:val="0"/>
              <w:adjustRightInd/>
              <w:snapToGrid/>
              <w:spacing w:line="280" w:lineRule="exact"/>
              <w:ind w:left="0" w:leftChars="0" w:right="0" w:firstLine="480" w:firstLineChars="200"/>
              <w:jc w:val="both"/>
              <w:textAlignment w:val="auto"/>
              <w:rPr>
                <w:rFonts w:hint="default" w:ascii="Times New Roman" w:hAnsi="Times New Roman" w:eastAsia="仿宋_GB2312" w:cs="Times New Roman"/>
                <w:b w:val="0"/>
                <w:bCs w:val="0"/>
                <w:color w:val="auto"/>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lang w:val="en-US" w:eastAsia="zh-CN" w:bidi="ar-SA"/>
              </w:rPr>
              <w:t>11</w:t>
            </w:r>
            <w:r>
              <w:rPr>
                <w:rFonts w:hint="eastAsia" w:ascii="Times New Roman" w:hAnsi="Times New Roman" w:eastAsia="仿宋_GB2312" w:cs="Times New Roman"/>
                <w:b w:val="0"/>
                <w:bCs w:val="0"/>
                <w:color w:val="auto"/>
                <w:sz w:val="24"/>
                <w:szCs w:val="24"/>
                <w:highlight w:val="none"/>
                <w:lang w:val="en-US" w:eastAsia="zh-CN" w:bidi="ar-SA"/>
              </w:rPr>
              <w:t>.</w:t>
            </w:r>
            <w:r>
              <w:rPr>
                <w:rFonts w:hint="default" w:ascii="Times New Roman" w:hAnsi="Times New Roman" w:eastAsia="仿宋_GB2312" w:cs="Times New Roman"/>
                <w:b w:val="0"/>
                <w:bCs w:val="0"/>
                <w:color w:val="auto"/>
                <w:sz w:val="24"/>
                <w:szCs w:val="24"/>
                <w:highlight w:val="none"/>
                <w:lang w:val="en-US" w:eastAsia="zh-CN" w:bidi="ar-SA"/>
              </w:rPr>
              <w:t>牵引装置</w:t>
            </w:r>
          </w:p>
          <w:p w14:paraId="15DBCB8A">
            <w:pPr>
              <w:keepNext w:val="0"/>
              <w:keepLines w:val="0"/>
              <w:pageBreakBefore w:val="0"/>
              <w:widowControl w:val="0"/>
              <w:kinsoku/>
              <w:wordWrap/>
              <w:overflowPunct/>
              <w:topLinePunct w:val="0"/>
              <w:autoSpaceDE/>
              <w:autoSpaceDN/>
              <w:bidi w:val="0"/>
              <w:adjustRightInd/>
              <w:snapToGrid/>
              <w:spacing w:line="280" w:lineRule="exact"/>
              <w:ind w:left="0" w:leftChars="0" w:right="0" w:firstLine="480" w:firstLineChars="200"/>
              <w:jc w:val="both"/>
              <w:textAlignment w:val="auto"/>
              <w:rPr>
                <w:rFonts w:hint="default" w:ascii="Times New Roman" w:hAnsi="Times New Roman" w:eastAsia="仿宋_GB2312" w:cs="Times New Roman"/>
                <w:b w:val="0"/>
                <w:bCs w:val="0"/>
                <w:color w:val="auto"/>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lang w:val="en-US" w:eastAsia="zh-CN" w:bidi="ar-SA"/>
              </w:rPr>
              <w:t>在每团体两端列（带门列）装配高性能防倾覆装置，防倾覆部件结构采用导向滑动牵引式方法，满足架体移动开启空间和防倾覆（倒）的需要，防倾覆（倒）部件运行向架体(团体）内侧延展、合并。</w:t>
            </w:r>
          </w:p>
          <w:p w14:paraId="055FB965">
            <w:pPr>
              <w:keepNext w:val="0"/>
              <w:keepLines w:val="0"/>
              <w:pageBreakBefore w:val="0"/>
              <w:widowControl w:val="0"/>
              <w:kinsoku/>
              <w:wordWrap/>
              <w:overflowPunct/>
              <w:topLinePunct w:val="0"/>
              <w:autoSpaceDE/>
              <w:autoSpaceDN/>
              <w:bidi w:val="0"/>
              <w:adjustRightInd/>
              <w:snapToGrid/>
              <w:spacing w:line="260" w:lineRule="exact"/>
              <w:ind w:right="0" w:firstLine="480" w:firstLineChars="200"/>
              <w:jc w:val="both"/>
              <w:textAlignment w:val="auto"/>
              <w:rPr>
                <w:rFonts w:hint="eastAsia" w:ascii="黑体" w:hAnsi="黑体" w:eastAsia="黑体" w:cs="黑体"/>
                <w:b w:val="0"/>
                <w:bCs w:val="0"/>
                <w:color w:val="auto"/>
                <w:sz w:val="24"/>
                <w:szCs w:val="24"/>
                <w:highlight w:val="none"/>
                <w:lang w:eastAsia="zh-CN" w:bidi="ar-SA"/>
              </w:rPr>
            </w:pPr>
            <w:r>
              <w:rPr>
                <w:rFonts w:hint="eastAsia" w:ascii="黑体" w:hAnsi="黑体" w:eastAsia="黑体" w:cs="黑体"/>
                <w:b w:val="0"/>
                <w:bCs w:val="0"/>
                <w:color w:val="auto"/>
                <w:sz w:val="24"/>
                <w:szCs w:val="24"/>
                <w:highlight w:val="none"/>
                <w:lang w:val="en-US" w:eastAsia="zh-CN" w:bidi="ar-SA"/>
              </w:rPr>
              <w:t>四、</w:t>
            </w:r>
            <w:r>
              <w:rPr>
                <w:rFonts w:hint="eastAsia" w:ascii="黑体" w:hAnsi="黑体" w:eastAsia="黑体" w:cs="黑体"/>
                <w:b w:val="0"/>
                <w:bCs w:val="0"/>
                <w:color w:val="auto"/>
                <w:sz w:val="24"/>
                <w:szCs w:val="24"/>
                <w:highlight w:val="none"/>
                <w:lang w:eastAsia="zh-CN" w:bidi="ar-SA"/>
              </w:rPr>
              <w:t>表面处理标准</w:t>
            </w:r>
          </w:p>
          <w:p w14:paraId="329BB2A4">
            <w:pPr>
              <w:keepNext w:val="0"/>
              <w:keepLines w:val="0"/>
              <w:pageBreakBefore w:val="0"/>
              <w:widowControl w:val="0"/>
              <w:kinsoku/>
              <w:wordWrap/>
              <w:overflowPunct/>
              <w:topLinePunct w:val="0"/>
              <w:autoSpaceDE/>
              <w:autoSpaceDN/>
              <w:bidi w:val="0"/>
              <w:adjustRightInd/>
              <w:snapToGrid/>
              <w:spacing w:line="260" w:lineRule="exact"/>
              <w:ind w:left="0" w:right="0" w:firstLine="480" w:firstLineChars="200"/>
              <w:jc w:val="both"/>
              <w:textAlignment w:val="auto"/>
              <w:outlineLvl w:val="2"/>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1</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sz w:val="24"/>
                <w:szCs w:val="24"/>
                <w:highlight w:val="none"/>
                <w:lang w:val="en-US" w:eastAsia="zh-CN" w:bidi="ar-SA"/>
              </w:rPr>
              <w:t>光泽测定：＞85</w:t>
            </w:r>
            <w:r>
              <w:rPr>
                <w:rFonts w:hint="default" w:ascii="Times New Roman" w:hAnsi="Times New Roman" w:eastAsia="仿宋_GB2312" w:cs="Times New Roman"/>
                <w:color w:val="auto"/>
                <w:sz w:val="24"/>
                <w:szCs w:val="24"/>
                <w:highlight w:val="none"/>
                <w:u w:val="none"/>
                <w:lang w:val="en-US" w:eastAsia="zh-CN" w:bidi="ar-SA"/>
              </w:rPr>
              <w:t>GU，</w:t>
            </w:r>
            <w:r>
              <w:rPr>
                <w:rFonts w:hint="default" w:ascii="Times New Roman" w:hAnsi="Times New Roman" w:eastAsia="仿宋_GB2312" w:cs="Times New Roman"/>
                <w:color w:val="auto"/>
                <w:sz w:val="24"/>
                <w:szCs w:val="24"/>
                <w:highlight w:val="none"/>
                <w:u w:val="none"/>
                <w:lang w:val="en-US" w:eastAsia="zh-CN" w:bidi="ar-SA"/>
              </w:rPr>
              <w:t>符合</w:t>
            </w:r>
            <w:r>
              <w:rPr>
                <w:rFonts w:hint="default" w:ascii="Times New Roman" w:hAnsi="Times New Roman" w:eastAsia="仿宋_GB2312" w:cs="Times New Roman"/>
                <w:color w:val="auto"/>
                <w:sz w:val="24"/>
                <w:szCs w:val="24"/>
              </w:rPr>
              <w:t>GB/T 9754-2025</w:t>
            </w:r>
            <w:r>
              <w:rPr>
                <w:rFonts w:hint="default" w:ascii="Times New Roman" w:hAnsi="Times New Roman" w:eastAsia="仿宋_GB2312" w:cs="Times New Roman"/>
                <w:color w:val="auto"/>
                <w:sz w:val="24"/>
                <w:szCs w:val="24"/>
                <w:highlight w:val="none"/>
                <w:lang w:val="en-US" w:eastAsia="zh-CN" w:bidi="ar-SA"/>
              </w:rPr>
              <w:t>（60°）</w:t>
            </w:r>
            <w:r>
              <w:rPr>
                <w:rFonts w:hint="default" w:ascii="Times New Roman" w:hAnsi="Times New Roman" w:eastAsia="仿宋_GB2312" w:cs="Times New Roman"/>
                <w:color w:val="auto"/>
                <w:sz w:val="24"/>
                <w:szCs w:val="24"/>
                <w:lang w:val="en-US" w:eastAsia="zh-CN"/>
              </w:rPr>
              <w:t>标准</w:t>
            </w:r>
            <w:r>
              <w:rPr>
                <w:rFonts w:hint="default" w:ascii="Times New Roman" w:hAnsi="Times New Roman" w:eastAsia="仿宋_GB2312" w:cs="Times New Roman"/>
                <w:color w:val="auto"/>
                <w:kern w:val="0"/>
                <w:sz w:val="24"/>
                <w:szCs w:val="24"/>
                <w:u w:val="none"/>
                <w:lang w:val="en" w:eastAsia="zh-CN" w:bidi="ar"/>
              </w:rPr>
              <w:t>；</w:t>
            </w:r>
          </w:p>
          <w:p w14:paraId="29C4DF81">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2</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涂膜硬度：≥0.4，符合GB1730标准；</w:t>
            </w:r>
          </w:p>
          <w:p w14:paraId="1CAE9AAC">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3</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耐冲击力：≥ 4N.M，符合GB/1732标准；</w:t>
            </w:r>
          </w:p>
          <w:p w14:paraId="4BB5DA26">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4</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涂膜厚度：60-70微米；</w:t>
            </w:r>
          </w:p>
          <w:p w14:paraId="26F4FE9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000000"/>
                <w:kern w:val="0"/>
                <w:sz w:val="24"/>
                <w:szCs w:val="24"/>
                <w:u w:val="none"/>
                <w:lang w:val="en" w:eastAsia="zh-CN" w:bidi="ar"/>
              </w:rPr>
              <w:t>5</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涂膜附着力：划格法试验，100%不剥落，不低于1级标准，塑层防锈能力在30年以上，在温度-40</w:t>
            </w:r>
            <w:bookmarkStart w:id="1" w:name="_GoBack"/>
            <w:r>
              <w:rPr>
                <w:rFonts w:hint="default" w:ascii="Times New Roman" w:hAnsi="Times New Roman" w:eastAsia="仿宋_GB2312" w:cs="Times New Roman"/>
                <w:color w:val="auto"/>
                <w:kern w:val="0"/>
                <w:sz w:val="24"/>
                <w:szCs w:val="24"/>
                <w:u w:val="none"/>
                <w:lang w:val="en" w:eastAsia="zh-CN" w:bidi="ar"/>
              </w:rPr>
              <w:t>℃-250℃，相对温度40%-90%，海拔高度不大于6000米，地震烈度不大于6级时，产品不生锈、不变形。附着力符合</w:t>
            </w:r>
            <w:r>
              <w:rPr>
                <w:rFonts w:hint="default" w:ascii="Times New Roman" w:hAnsi="Times New Roman" w:eastAsia="仿宋_GB2312" w:cs="Times New Roman"/>
                <w:color w:val="auto"/>
                <w:sz w:val="24"/>
                <w:szCs w:val="24"/>
              </w:rPr>
              <w:t>GB/T 9286-2021</w:t>
            </w:r>
            <w:r>
              <w:rPr>
                <w:rFonts w:hint="default" w:ascii="Times New Roman" w:hAnsi="Times New Roman" w:eastAsia="仿宋_GB2312" w:cs="Times New Roman"/>
                <w:color w:val="auto"/>
                <w:kern w:val="0"/>
                <w:sz w:val="24"/>
                <w:szCs w:val="24"/>
                <w:u w:val="none"/>
                <w:lang w:val="en" w:eastAsia="zh-CN" w:bidi="ar"/>
              </w:rPr>
              <w:t>标准。</w:t>
            </w:r>
          </w:p>
          <w:p w14:paraId="03767B18">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6</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耐水性：将涂层试片浸泡于90℃热水中，8小时无变化，符合GB/T 1733标准。</w:t>
            </w:r>
          </w:p>
          <w:p w14:paraId="64ADCC5B">
            <w:pPr>
              <w:keepNext w:val="0"/>
              <w:keepLines w:val="0"/>
              <w:pageBreakBefore w:val="0"/>
              <w:widowControl w:val="0"/>
              <w:kinsoku/>
              <w:wordWrap/>
              <w:overflowPunct/>
              <w:topLinePunct w:val="0"/>
              <w:autoSpaceDE/>
              <w:autoSpaceDN/>
              <w:bidi w:val="0"/>
              <w:adjustRightInd/>
              <w:snapToGrid/>
              <w:spacing w:line="260" w:lineRule="exact"/>
              <w:ind w:left="0" w:right="0" w:firstLine="480" w:firstLineChars="200"/>
              <w:jc w:val="both"/>
              <w:textAlignment w:val="auto"/>
              <w:outlineLvl w:val="2"/>
              <w:rPr>
                <w:rFonts w:hint="default" w:ascii="Times New Roman" w:hAnsi="Times New Roman" w:eastAsia="仿宋_GB2312" w:cs="Times New Roman"/>
                <w:color w:val="auto"/>
                <w:kern w:val="0"/>
                <w:sz w:val="24"/>
                <w:szCs w:val="24"/>
                <w:u w:val="none"/>
                <w:lang w:val="en" w:eastAsia="zh-CN" w:bidi="ar"/>
              </w:rPr>
            </w:pPr>
            <w:r>
              <w:rPr>
                <w:rFonts w:hint="default" w:ascii="Times New Roman" w:hAnsi="Times New Roman" w:eastAsia="仿宋_GB2312" w:cs="Times New Roman"/>
                <w:color w:val="auto"/>
                <w:kern w:val="0"/>
                <w:sz w:val="24"/>
                <w:szCs w:val="24"/>
                <w:u w:val="none"/>
                <w:lang w:val="en" w:eastAsia="zh-CN" w:bidi="ar"/>
              </w:rPr>
              <w:t>7</w:t>
            </w:r>
            <w:r>
              <w:rPr>
                <w:rFonts w:hint="default" w:ascii="Times New Roman" w:hAnsi="Times New Roman" w:eastAsia="仿宋_GB2312" w:cs="Times New Roman"/>
                <w:color w:val="auto"/>
                <w:kern w:val="0"/>
                <w:sz w:val="24"/>
                <w:szCs w:val="24"/>
                <w:u w:val="none"/>
                <w:lang w:val="en-US" w:eastAsia="zh-CN" w:bidi="ar"/>
              </w:rPr>
              <w:t>.</w:t>
            </w:r>
            <w:r>
              <w:rPr>
                <w:rFonts w:hint="default" w:ascii="Times New Roman" w:hAnsi="Times New Roman" w:eastAsia="仿宋_GB2312" w:cs="Times New Roman"/>
                <w:color w:val="auto"/>
                <w:kern w:val="0"/>
                <w:sz w:val="24"/>
                <w:szCs w:val="24"/>
                <w:u w:val="none"/>
                <w:lang w:val="en" w:eastAsia="zh-CN" w:bidi="ar"/>
              </w:rPr>
              <w:t>柔韧性：≤2mm，</w:t>
            </w:r>
            <w:r>
              <w:rPr>
                <w:rFonts w:hint="default" w:ascii="Times New Roman" w:hAnsi="Times New Roman" w:eastAsia="仿宋_GB2312" w:cs="Times New Roman"/>
                <w:color w:val="auto"/>
                <w:sz w:val="24"/>
                <w:szCs w:val="24"/>
                <w:highlight w:val="none"/>
                <w:lang w:val="en-US" w:eastAsia="zh-CN" w:bidi="ar-SA"/>
              </w:rPr>
              <w:t>符合</w:t>
            </w:r>
            <w:r>
              <w:rPr>
                <w:rFonts w:hint="default" w:ascii="Times New Roman" w:hAnsi="Times New Roman" w:eastAsia="仿宋_GB2312" w:cs="Times New Roman"/>
                <w:color w:val="auto"/>
                <w:sz w:val="24"/>
                <w:szCs w:val="24"/>
              </w:rPr>
              <w:t>GB/T 1731-2020</w:t>
            </w:r>
            <w:r>
              <w:rPr>
                <w:rFonts w:hint="default" w:ascii="Times New Roman" w:hAnsi="Times New Roman" w:eastAsia="仿宋_GB2312" w:cs="Times New Roman"/>
                <w:color w:val="auto"/>
                <w:sz w:val="24"/>
                <w:szCs w:val="24"/>
                <w:highlight w:val="none"/>
                <w:lang w:val="en-US" w:eastAsia="zh-CN" w:bidi="ar-SA"/>
              </w:rPr>
              <w:t>标准</w:t>
            </w:r>
            <w:r>
              <w:rPr>
                <w:rFonts w:hint="default" w:ascii="Times New Roman" w:hAnsi="Times New Roman" w:eastAsia="仿宋_GB2312" w:cs="Times New Roman"/>
                <w:color w:val="auto"/>
                <w:sz w:val="24"/>
                <w:szCs w:val="24"/>
                <w:lang w:val="en-US" w:eastAsia="zh-CN"/>
              </w:rPr>
              <w:t>；杯</w:t>
            </w:r>
            <w:r>
              <w:rPr>
                <w:rFonts w:hint="default" w:ascii="Times New Roman" w:hAnsi="Times New Roman" w:eastAsia="仿宋_GB2312" w:cs="Times New Roman"/>
                <w:color w:val="auto"/>
                <w:sz w:val="24"/>
                <w:szCs w:val="24"/>
                <w:highlight w:val="none"/>
                <w:lang w:val="en-US" w:eastAsia="zh-CN" w:bidi="ar-SA"/>
              </w:rPr>
              <w:t>突深度</w:t>
            </w:r>
            <w:r>
              <w:rPr>
                <w:rFonts w:hint="default" w:ascii="Times New Roman" w:hAnsi="Times New Roman" w:eastAsia="仿宋_GB2312" w:cs="Times New Roman"/>
                <w:color w:val="auto"/>
                <w:sz w:val="24"/>
                <w:szCs w:val="24"/>
              </w:rPr>
              <w:t>≥6mm</w:t>
            </w:r>
            <w:r>
              <w:rPr>
                <w:rFonts w:hint="default" w:ascii="Times New Roman" w:hAnsi="Times New Roman" w:eastAsia="仿宋_GB2312" w:cs="Times New Roman"/>
                <w:color w:val="auto"/>
                <w:sz w:val="24"/>
                <w:szCs w:val="24"/>
                <w:highlight w:val="none"/>
                <w:lang w:val="en-US" w:eastAsia="zh-CN" w:bidi="ar-SA"/>
              </w:rPr>
              <w:t>，符合</w:t>
            </w:r>
            <w:r>
              <w:rPr>
                <w:rFonts w:hint="default" w:ascii="Times New Roman" w:hAnsi="Times New Roman" w:eastAsia="仿宋_GB2312" w:cs="Times New Roman"/>
                <w:color w:val="auto"/>
                <w:sz w:val="24"/>
                <w:szCs w:val="24"/>
              </w:rPr>
              <w:t>GB/T 9753-2021</w:t>
            </w:r>
            <w:r>
              <w:rPr>
                <w:rFonts w:hint="default" w:ascii="Times New Roman" w:hAnsi="Times New Roman" w:eastAsia="仿宋_GB2312" w:cs="Times New Roman"/>
                <w:color w:val="auto"/>
                <w:sz w:val="24"/>
                <w:szCs w:val="24"/>
                <w:highlight w:val="none"/>
                <w:lang w:val="en-US" w:eastAsia="zh-CN" w:bidi="ar-SA"/>
              </w:rPr>
              <w:t>标准</w:t>
            </w:r>
            <w:r>
              <w:rPr>
                <w:rFonts w:hint="default" w:ascii="Times New Roman" w:hAnsi="Times New Roman" w:eastAsia="仿宋_GB2312" w:cs="Times New Roman"/>
                <w:color w:val="auto"/>
                <w:kern w:val="0"/>
                <w:sz w:val="24"/>
                <w:szCs w:val="24"/>
                <w:u w:val="none"/>
                <w:lang w:val="en" w:eastAsia="zh-CN" w:bidi="ar"/>
              </w:rPr>
              <w:t>。</w:t>
            </w:r>
          </w:p>
          <w:bookmarkEnd w:id="1"/>
          <w:p w14:paraId="1899A03D">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ind w:left="0" w:leftChars="0" w:firstLine="480" w:firstLineChars="200"/>
              <w:jc w:val="left"/>
              <w:textAlignment w:val="auto"/>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000000"/>
                <w:kern w:val="0"/>
                <w:sz w:val="24"/>
                <w:szCs w:val="24"/>
                <w:u w:val="none"/>
                <w:lang w:val="en" w:eastAsia="zh-CN" w:bidi="ar"/>
              </w:rPr>
              <w:t>8</w:t>
            </w:r>
            <w:r>
              <w:rPr>
                <w:rFonts w:hint="default" w:ascii="Times New Roman" w:hAnsi="Times New Roman" w:eastAsia="仿宋_GB2312" w:cs="Times New Roman"/>
                <w:color w:val="000000"/>
                <w:kern w:val="0"/>
                <w:sz w:val="24"/>
                <w:szCs w:val="24"/>
                <w:u w:val="none"/>
                <w:lang w:val="en-US" w:eastAsia="zh-CN" w:bidi="ar"/>
              </w:rPr>
              <w:t>.</w:t>
            </w:r>
            <w:r>
              <w:rPr>
                <w:rFonts w:hint="default" w:ascii="Times New Roman" w:hAnsi="Times New Roman" w:eastAsia="仿宋_GB2312" w:cs="Times New Roman"/>
                <w:color w:val="000000"/>
                <w:kern w:val="0"/>
                <w:sz w:val="24"/>
                <w:szCs w:val="24"/>
                <w:u w:val="none"/>
                <w:lang w:val="en" w:eastAsia="zh-CN" w:bidi="ar"/>
              </w:rPr>
              <w:t>稳定性：按GB/T10357.4标准进行。</w:t>
            </w:r>
          </w:p>
          <w:p w14:paraId="4B8675E2">
            <w:pPr>
              <w:keepNext w:val="0"/>
              <w:keepLines w:val="0"/>
              <w:pageBreakBefore w:val="0"/>
              <w:widowControl w:val="0"/>
              <w:kinsoku/>
              <w:wordWrap/>
              <w:overflowPunct/>
              <w:topLinePunct w:val="0"/>
              <w:autoSpaceDE/>
              <w:autoSpaceDN/>
              <w:bidi w:val="0"/>
              <w:adjustRightInd/>
              <w:snapToGrid/>
              <w:spacing w:line="280" w:lineRule="exact"/>
              <w:ind w:right="0" w:firstLine="480" w:firstLineChars="200"/>
              <w:textAlignment w:val="auto"/>
              <w:rPr>
                <w:rFonts w:hint="eastAsia" w:ascii="黑体" w:hAnsi="黑体" w:eastAsia="黑体" w:cs="黑体"/>
                <w:b w:val="0"/>
                <w:bCs w:val="0"/>
                <w:color w:val="auto"/>
                <w:sz w:val="24"/>
                <w:szCs w:val="24"/>
                <w:highlight w:val="none"/>
                <w:u w:val="none"/>
                <w:shd w:val="clear" w:color="auto" w:fill="auto"/>
                <w:lang w:bidi="ar-SA"/>
              </w:rPr>
            </w:pPr>
            <w:r>
              <w:rPr>
                <w:rFonts w:hint="eastAsia" w:ascii="黑体" w:hAnsi="黑体" w:eastAsia="黑体" w:cs="黑体"/>
                <w:b w:val="0"/>
                <w:bCs w:val="0"/>
                <w:color w:val="auto"/>
                <w:sz w:val="24"/>
                <w:szCs w:val="24"/>
                <w:highlight w:val="none"/>
                <w:u w:val="none"/>
                <w:shd w:val="clear" w:color="auto" w:fill="auto"/>
                <w:lang w:val="en-US" w:eastAsia="zh-CN" w:bidi="ar-SA"/>
              </w:rPr>
              <w:t>五</w:t>
            </w:r>
            <w:r>
              <w:rPr>
                <w:rFonts w:hint="eastAsia" w:ascii="黑体" w:hAnsi="黑体" w:eastAsia="黑体" w:cs="黑体"/>
                <w:b w:val="0"/>
                <w:bCs w:val="0"/>
                <w:color w:val="auto"/>
                <w:sz w:val="24"/>
                <w:szCs w:val="24"/>
                <w:highlight w:val="none"/>
                <w:u w:val="none"/>
                <w:shd w:val="clear" w:color="auto" w:fill="auto"/>
                <w:lang w:bidi="ar-SA"/>
              </w:rPr>
              <w:t>、制造要求</w:t>
            </w:r>
          </w:p>
          <w:p w14:paraId="3433DB10">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1</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凡需焊接的部位应焊接牢固，焊点均匀，焊痕高度≤1mm，焊点间距应控制在100mm以内，焊痕表面波纹平整，不得出现焊焦、焊穿等现象。</w:t>
            </w:r>
          </w:p>
          <w:p w14:paraId="38E058DE">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2</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冲压件必须平整无毛刺，不允许有裂痕，冲压尺寸的误差应控制在±2.0mm之内。</w:t>
            </w:r>
          </w:p>
          <w:p w14:paraId="75C3A44B">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3</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折弯必须到位，以确保工件折弯所需角度，其邻边垂直度、平行度控制在≤1.5mm内。</w:t>
            </w:r>
          </w:p>
          <w:p w14:paraId="42AEA8FB">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4</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涂层表面应平整光滑，色泽均匀一致，不允许有流挂、起粒、皱皮、露底、剥落、伤痕等外观缺陷。</w:t>
            </w:r>
          </w:p>
          <w:p w14:paraId="6FEEB81E">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5</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各零件、组合件表面应光滑平整，不得有尖角凸起；各零件、组合件之间能保持互换性。所有标准件及紧固件均需氧化或镀锌处理。</w:t>
            </w:r>
          </w:p>
          <w:p w14:paraId="316DEE87">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eastAsia" w:ascii="黑体" w:hAnsi="黑体" w:eastAsia="黑体" w:cs="黑体"/>
                <w:b w:val="0"/>
                <w:bCs w:val="0"/>
                <w:color w:val="auto"/>
                <w:sz w:val="24"/>
                <w:szCs w:val="24"/>
                <w:highlight w:val="none"/>
                <w:u w:val="none"/>
                <w:shd w:val="clear" w:color="auto" w:fill="auto"/>
                <w:lang w:bidi="ar-SA"/>
              </w:rPr>
            </w:pPr>
            <w:r>
              <w:rPr>
                <w:rFonts w:hint="eastAsia" w:ascii="黑体" w:hAnsi="黑体" w:eastAsia="黑体" w:cs="黑体"/>
                <w:b w:val="0"/>
                <w:bCs w:val="0"/>
                <w:color w:val="auto"/>
                <w:sz w:val="24"/>
                <w:szCs w:val="24"/>
                <w:highlight w:val="none"/>
                <w:u w:val="none"/>
                <w:shd w:val="clear" w:color="auto" w:fill="auto"/>
                <w:lang w:val="en-US" w:eastAsia="zh-CN" w:bidi="ar-SA"/>
              </w:rPr>
              <w:t>六</w:t>
            </w:r>
            <w:r>
              <w:rPr>
                <w:rFonts w:hint="eastAsia" w:ascii="黑体" w:hAnsi="黑体" w:eastAsia="黑体" w:cs="黑体"/>
                <w:b w:val="0"/>
                <w:bCs w:val="0"/>
                <w:color w:val="auto"/>
                <w:sz w:val="24"/>
                <w:szCs w:val="24"/>
                <w:highlight w:val="none"/>
                <w:u w:val="none"/>
                <w:shd w:val="clear" w:color="auto" w:fill="auto"/>
                <w:lang w:bidi="ar-SA"/>
              </w:rPr>
              <w:t>、载重性能要求</w:t>
            </w:r>
          </w:p>
          <w:p w14:paraId="166D5917">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1</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eastAsia="zh-CN" w:bidi="ar-SA"/>
              </w:rPr>
              <w:t>托板</w:t>
            </w:r>
            <w:r>
              <w:rPr>
                <w:rFonts w:hint="default" w:ascii="Times New Roman" w:hAnsi="Times New Roman" w:eastAsia="仿宋_GB2312" w:cs="Times New Roman"/>
                <w:color w:val="auto"/>
                <w:sz w:val="24"/>
                <w:szCs w:val="24"/>
                <w:highlight w:val="none"/>
                <w:u w:val="none"/>
                <w:shd w:val="clear" w:color="auto" w:fill="auto"/>
                <w:lang w:bidi="ar-SA"/>
              </w:rPr>
              <w:t>载重：</w:t>
            </w:r>
            <w:r>
              <w:rPr>
                <w:rFonts w:hint="default" w:ascii="Times New Roman" w:hAnsi="Times New Roman" w:eastAsia="仿宋_GB2312" w:cs="Times New Roman"/>
                <w:color w:val="auto"/>
                <w:sz w:val="24"/>
                <w:szCs w:val="24"/>
                <w:highlight w:val="none"/>
                <w:u w:val="none"/>
                <w:shd w:val="clear" w:color="auto" w:fill="auto"/>
                <w:lang w:eastAsia="zh-CN" w:bidi="ar-SA"/>
              </w:rPr>
              <w:t>托板</w:t>
            </w:r>
            <w:r>
              <w:rPr>
                <w:rFonts w:hint="default" w:ascii="Times New Roman" w:hAnsi="Times New Roman" w:eastAsia="仿宋_GB2312" w:cs="Times New Roman"/>
                <w:color w:val="auto"/>
                <w:sz w:val="24"/>
                <w:szCs w:val="24"/>
                <w:highlight w:val="none"/>
                <w:u w:val="none"/>
                <w:shd w:val="clear" w:color="auto" w:fill="auto"/>
                <w:lang w:bidi="ar-SA"/>
              </w:rPr>
              <w:t>上均布载重100kg，最大挠度为4mm，24h卸载后，不得裂纹。</w:t>
            </w:r>
          </w:p>
          <w:p w14:paraId="022BB372">
            <w:pPr>
              <w:keepNext w:val="0"/>
              <w:keepLines w:val="0"/>
              <w:pageBreakBefore w:val="0"/>
              <w:widowControl w:val="0"/>
              <w:kinsoku/>
              <w:wordWrap/>
              <w:overflowPunct/>
              <w:topLinePunct w:val="0"/>
              <w:autoSpaceDE/>
              <w:autoSpaceDN/>
              <w:bidi w:val="0"/>
              <w:adjustRightInd/>
              <w:snapToGrid/>
              <w:spacing w:line="280" w:lineRule="exact"/>
              <w:ind w:left="0" w:right="0"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2</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全负载载重：每标准节在全负载600 kg（每层</w:t>
            </w:r>
            <w:r>
              <w:rPr>
                <w:rFonts w:hint="default" w:ascii="Times New Roman" w:hAnsi="Times New Roman" w:eastAsia="仿宋_GB2312" w:cs="Times New Roman"/>
                <w:color w:val="auto"/>
                <w:sz w:val="24"/>
                <w:szCs w:val="24"/>
                <w:highlight w:val="none"/>
                <w:u w:val="none"/>
                <w:shd w:val="clear" w:color="auto" w:fill="auto"/>
                <w:lang w:eastAsia="zh-CN" w:bidi="ar-SA"/>
              </w:rPr>
              <w:t>托板</w:t>
            </w:r>
            <w:r>
              <w:rPr>
                <w:rFonts w:hint="default" w:ascii="Times New Roman" w:hAnsi="Times New Roman" w:eastAsia="仿宋_GB2312" w:cs="Times New Roman"/>
                <w:color w:val="auto"/>
                <w:sz w:val="24"/>
                <w:szCs w:val="24"/>
                <w:highlight w:val="none"/>
                <w:u w:val="none"/>
                <w:shd w:val="clear" w:color="auto" w:fill="auto"/>
                <w:lang w:bidi="ar-SA"/>
              </w:rPr>
              <w:t>均布载重100kg）的情况下，架体、立柱不应有明显变形，架体不应产生倾倒现象。</w:t>
            </w:r>
          </w:p>
          <w:p w14:paraId="1B02229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default" w:ascii="Times New Roman" w:hAnsi="Times New Roman" w:eastAsia="仿宋_GB2312" w:cs="Times New Roman"/>
                <w:color w:val="auto"/>
                <w:sz w:val="24"/>
                <w:szCs w:val="24"/>
                <w:highlight w:val="none"/>
                <w:u w:val="none"/>
                <w:shd w:val="clear" w:color="auto" w:fill="auto"/>
                <w:lang w:bidi="ar-SA"/>
              </w:rPr>
            </w:pPr>
            <w:r>
              <w:rPr>
                <w:rFonts w:hint="default" w:ascii="Times New Roman" w:hAnsi="Times New Roman" w:eastAsia="仿宋_GB2312" w:cs="Times New Roman"/>
                <w:color w:val="auto"/>
                <w:sz w:val="24"/>
                <w:szCs w:val="24"/>
                <w:highlight w:val="none"/>
                <w:u w:val="none"/>
                <w:shd w:val="clear" w:color="auto" w:fill="auto"/>
                <w:lang w:bidi="ar-SA"/>
              </w:rPr>
              <w:t>3</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载重运行：在全负载的情况下，各列</w:t>
            </w:r>
            <w:r>
              <w:rPr>
                <w:rFonts w:hint="default" w:ascii="Times New Roman" w:hAnsi="Times New Roman" w:eastAsia="仿宋_GB2312" w:cs="Times New Roman"/>
                <w:color w:val="auto"/>
                <w:sz w:val="24"/>
                <w:szCs w:val="24"/>
                <w:highlight w:val="none"/>
                <w:u w:val="none"/>
                <w:shd w:val="clear" w:color="auto" w:fill="auto"/>
                <w:lang w:eastAsia="zh-CN" w:bidi="ar-SA"/>
              </w:rPr>
              <w:t>智能密集架</w:t>
            </w:r>
            <w:r>
              <w:rPr>
                <w:rFonts w:hint="default" w:ascii="Times New Roman" w:hAnsi="Times New Roman" w:eastAsia="仿宋_GB2312" w:cs="Times New Roman"/>
                <w:color w:val="auto"/>
                <w:sz w:val="24"/>
                <w:szCs w:val="24"/>
                <w:highlight w:val="none"/>
                <w:u w:val="none"/>
                <w:shd w:val="clear" w:color="auto" w:fill="auto"/>
                <w:lang w:bidi="ar-SA"/>
              </w:rPr>
              <w:t>在手动操纵下，都应运行自如，不得有阻滞现象。</w:t>
            </w:r>
          </w:p>
          <w:p w14:paraId="068E4F40">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default" w:ascii="Times New Roman" w:hAnsi="Times New Roman" w:eastAsia="仿宋_GB2312" w:cs="Times New Roman"/>
                <w:color w:val="000000"/>
                <w:kern w:val="0"/>
                <w:sz w:val="24"/>
                <w:szCs w:val="24"/>
                <w:u w:val="none"/>
                <w:lang w:val="en" w:eastAsia="zh-CN" w:bidi="ar"/>
              </w:rPr>
            </w:pPr>
            <w:r>
              <w:rPr>
                <w:rFonts w:hint="default" w:ascii="Times New Roman" w:hAnsi="Times New Roman" w:eastAsia="仿宋_GB2312" w:cs="Times New Roman"/>
                <w:color w:val="auto"/>
                <w:sz w:val="24"/>
                <w:szCs w:val="24"/>
                <w:highlight w:val="none"/>
                <w:u w:val="none"/>
                <w:shd w:val="clear" w:color="auto" w:fill="auto"/>
                <w:lang w:bidi="ar-SA"/>
              </w:rPr>
              <w:t>4</w:t>
            </w:r>
            <w:r>
              <w:rPr>
                <w:rFonts w:hint="eastAsia" w:ascii="Times New Roman" w:hAnsi="Times New Roman" w:eastAsia="仿宋_GB2312" w:cs="Times New Roman"/>
                <w:color w:val="auto"/>
                <w:sz w:val="24"/>
                <w:szCs w:val="24"/>
                <w:highlight w:val="none"/>
                <w:u w:val="none"/>
                <w:shd w:val="clear" w:color="auto" w:fill="auto"/>
                <w:lang w:val="en-US" w:eastAsia="zh-CN" w:bidi="ar-SA"/>
              </w:rPr>
              <w:t>.</w:t>
            </w:r>
            <w:r>
              <w:rPr>
                <w:rFonts w:hint="default" w:ascii="Times New Roman" w:hAnsi="Times New Roman" w:eastAsia="仿宋_GB2312" w:cs="Times New Roman"/>
                <w:color w:val="auto"/>
                <w:sz w:val="24"/>
                <w:szCs w:val="24"/>
                <w:highlight w:val="none"/>
                <w:u w:val="none"/>
                <w:shd w:val="clear" w:color="auto" w:fill="auto"/>
                <w:lang w:bidi="ar-SA"/>
              </w:rPr>
              <w:t>载重稳定性：在受全部载荷二十分之一外力（沿X、Y轴两个方向的水平外力）的作用反复100次后，取消外力，架体所产生的倾斜不得大于总高的百分之一。支架、立柱不得有明显变形。</w:t>
            </w:r>
          </w:p>
        </w:tc>
        <w:tc>
          <w:tcPr>
            <w:tcW w:w="450" w:type="dxa"/>
            <w:vAlign w:val="center"/>
          </w:tcPr>
          <w:p w14:paraId="43C5F478">
            <w:pPr>
              <w:keepNext w:val="0"/>
              <w:keepLines w:val="0"/>
              <w:pageBreakBefore w:val="0"/>
              <w:widowControl/>
              <w:suppressLineNumbers w:val="0"/>
              <w:kinsoku/>
              <w:wordWrap/>
              <w:overflowPunct/>
              <w:topLinePunct w:val="0"/>
              <w:autoSpaceDE/>
              <w:autoSpaceDN/>
              <w:bidi w:val="0"/>
              <w:snapToGrid/>
              <w:spacing w:line="520" w:lineRule="exact"/>
              <w:jc w:val="center"/>
              <w:rPr>
                <w:rFonts w:hint="default" w:ascii="Times New Roman" w:hAnsi="Times New Roman" w:eastAsia="仿宋_GB2312" w:cs="Times New Roman"/>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u w:val="none"/>
                <w:lang w:val="en-US" w:eastAsia="zh-CN" w:bidi="ar"/>
              </w:rPr>
              <w:t>1项</w:t>
            </w:r>
          </w:p>
        </w:tc>
        <w:tc>
          <w:tcPr>
            <w:tcW w:w="990" w:type="dxa"/>
            <w:vAlign w:val="center"/>
          </w:tcPr>
          <w:p w14:paraId="233B02FE">
            <w:pPr>
              <w:keepNext w:val="0"/>
              <w:keepLines w:val="0"/>
              <w:pageBreakBefore w:val="0"/>
              <w:widowControl/>
              <w:suppressLineNumbers w:val="0"/>
              <w:kinsoku/>
              <w:wordWrap/>
              <w:overflowPunct/>
              <w:topLinePunct w:val="0"/>
              <w:autoSpaceDE/>
              <w:autoSpaceDN/>
              <w:bidi w:val="0"/>
              <w:snapToGrid/>
              <w:spacing w:line="520" w:lineRule="exact"/>
              <w:jc w:val="center"/>
              <w:rPr>
                <w:rFonts w:hint="default" w:ascii="Times New Roman" w:hAnsi="Times New Roman" w:eastAsia="仿宋_GB2312" w:cs="Times New Roman"/>
                <w:color w:val="000000"/>
                <w:kern w:val="0"/>
                <w:sz w:val="24"/>
                <w:szCs w:val="24"/>
                <w:u w:val="none"/>
                <w:lang w:val="en-US" w:eastAsia="zh-CN" w:bidi="ar"/>
              </w:rPr>
            </w:pPr>
            <w:r>
              <w:rPr>
                <w:rFonts w:hint="default" w:ascii="Times New Roman" w:hAnsi="Times New Roman" w:eastAsia="仿宋_GB2312" w:cs="Times New Roman"/>
                <w:color w:val="000000"/>
                <w:kern w:val="0"/>
                <w:sz w:val="24"/>
                <w:szCs w:val="24"/>
                <w:u w:val="none"/>
                <w:lang w:val="en-US" w:eastAsia="zh-CN" w:bidi="ar"/>
              </w:rPr>
              <w:t>46700</w:t>
            </w:r>
          </w:p>
        </w:tc>
        <w:tc>
          <w:tcPr>
            <w:tcW w:w="975" w:type="dxa"/>
            <w:vAlign w:val="center"/>
          </w:tcPr>
          <w:p w14:paraId="31486C6F">
            <w:pPr>
              <w:keepNext w:val="0"/>
              <w:keepLines w:val="0"/>
              <w:pageBreakBefore w:val="0"/>
              <w:widowControl/>
              <w:suppressLineNumbers w:val="0"/>
              <w:kinsoku/>
              <w:wordWrap/>
              <w:overflowPunct/>
              <w:topLinePunct w:val="0"/>
              <w:autoSpaceDE/>
              <w:autoSpaceDN/>
              <w:bidi w:val="0"/>
              <w:snapToGrid/>
              <w:spacing w:line="520" w:lineRule="exact"/>
              <w:jc w:val="center"/>
              <w:rPr>
                <w:rFonts w:hint="eastAsia" w:ascii="宋体" w:hAnsi="宋体" w:eastAsia="宋体" w:cs="宋体"/>
                <w:color w:val="000000"/>
                <w:kern w:val="0"/>
                <w:sz w:val="21"/>
                <w:szCs w:val="21"/>
                <w:u w:val="none"/>
                <w:lang w:val="en-US" w:eastAsia="zh-CN" w:bidi="ar"/>
              </w:rPr>
            </w:pPr>
          </w:p>
        </w:tc>
        <w:tc>
          <w:tcPr>
            <w:tcW w:w="760" w:type="dxa"/>
            <w:shd w:val="clear" w:color="auto" w:fill="auto"/>
            <w:vAlign w:val="center"/>
          </w:tcPr>
          <w:p w14:paraId="72F841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FF0000"/>
                <w:kern w:val="0"/>
                <w:sz w:val="21"/>
                <w:szCs w:val="21"/>
                <w:u w:val="none"/>
                <w:lang w:val="en-US" w:eastAsia="zh-CN" w:bidi="ar"/>
              </w:rPr>
            </w:pPr>
          </w:p>
        </w:tc>
      </w:tr>
      <w:tr w14:paraId="0561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0207" w:type="dxa"/>
            <w:gridSpan w:val="7"/>
            <w:vAlign w:val="center"/>
          </w:tcPr>
          <w:p w14:paraId="58EAEBF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FF0000"/>
                <w:kern w:val="0"/>
                <w:sz w:val="24"/>
                <w:szCs w:val="24"/>
                <w:u w:val="none"/>
                <w:lang w:val="en-US" w:eastAsia="zh-CN" w:bidi="ar"/>
              </w:rPr>
            </w:pPr>
            <w:r>
              <w:rPr>
                <w:rFonts w:hint="default" w:ascii="Times New Roman" w:hAnsi="Times New Roman" w:eastAsia="仿宋_GB2312" w:cs="Times New Roman"/>
                <w:color w:val="auto"/>
                <w:kern w:val="0"/>
                <w:sz w:val="24"/>
                <w:szCs w:val="24"/>
                <w:u w:val="none"/>
                <w:lang w:val="en-US" w:eastAsia="zh-CN" w:bidi="ar"/>
              </w:rPr>
              <w:t>报价合计：（大写）</w:t>
            </w:r>
            <w:r>
              <w:rPr>
                <w:rFonts w:hint="default" w:ascii="Times New Roman" w:hAnsi="Times New Roman" w:eastAsia="仿宋_GB2312" w:cs="Times New Roman"/>
                <w:color w:val="auto"/>
                <w:kern w:val="0"/>
                <w:sz w:val="24"/>
                <w:szCs w:val="24"/>
                <w:u w:val="single"/>
                <w:lang w:val="en-US" w:eastAsia="zh-CN" w:bidi="ar"/>
              </w:rPr>
              <w:t xml:space="preserve">人民币  </w:t>
            </w:r>
            <w:r>
              <w:rPr>
                <w:rFonts w:hint="eastAsia" w:ascii="Times New Roman" w:hAnsi="Times New Roman" w:eastAsia="仿宋_GB2312" w:cs="Times New Roman"/>
                <w:color w:val="auto"/>
                <w:kern w:val="0"/>
                <w:sz w:val="24"/>
                <w:szCs w:val="24"/>
                <w:u w:val="single"/>
                <w:lang w:val="en-US" w:eastAsia="zh-CN" w:bidi="ar"/>
              </w:rPr>
              <w:t xml:space="preserve">           </w:t>
            </w:r>
            <w:r>
              <w:rPr>
                <w:rFonts w:hint="default" w:ascii="Times New Roman" w:hAnsi="Times New Roman" w:eastAsia="仿宋_GB2312" w:cs="Times New Roman"/>
                <w:color w:val="auto"/>
                <w:kern w:val="0"/>
                <w:sz w:val="24"/>
                <w:szCs w:val="24"/>
                <w:u w:val="single"/>
                <w:lang w:val="en-US" w:eastAsia="zh-CN" w:bidi="ar"/>
              </w:rPr>
              <w:t xml:space="preserve">  </w:t>
            </w:r>
            <w:r>
              <w:rPr>
                <w:rFonts w:hint="eastAsia" w:ascii="Times New Roman" w:hAnsi="Times New Roman" w:eastAsia="仿宋_GB2312" w:cs="Times New Roman"/>
                <w:color w:val="auto"/>
                <w:kern w:val="0"/>
                <w:sz w:val="24"/>
                <w:szCs w:val="24"/>
                <w:u w:val="single"/>
                <w:lang w:val="en-US" w:eastAsia="zh-CN" w:bidi="ar"/>
              </w:rPr>
              <w:t xml:space="preserve">    </w:t>
            </w:r>
            <w:r>
              <w:rPr>
                <w:rFonts w:hint="default" w:ascii="Times New Roman" w:hAnsi="Times New Roman" w:eastAsia="仿宋_GB2312" w:cs="Times New Roman"/>
                <w:color w:val="auto"/>
                <w:kern w:val="0"/>
                <w:sz w:val="24"/>
                <w:szCs w:val="24"/>
                <w:u w:val="single"/>
                <w:lang w:val="en-US" w:eastAsia="zh-CN" w:bidi="ar"/>
              </w:rPr>
              <w:t xml:space="preserve">（¥   </w:t>
            </w:r>
            <w:r>
              <w:rPr>
                <w:rFonts w:hint="eastAsia" w:ascii="Times New Roman" w:hAnsi="Times New Roman" w:eastAsia="仿宋_GB2312" w:cs="Times New Roman"/>
                <w:color w:val="auto"/>
                <w:kern w:val="0"/>
                <w:sz w:val="24"/>
                <w:szCs w:val="24"/>
                <w:u w:val="single"/>
                <w:lang w:val="en-US" w:eastAsia="zh-CN" w:bidi="ar"/>
              </w:rPr>
              <w:t xml:space="preserve">   </w:t>
            </w:r>
            <w:r>
              <w:rPr>
                <w:rFonts w:hint="default" w:ascii="Times New Roman" w:hAnsi="Times New Roman" w:eastAsia="仿宋_GB2312" w:cs="Times New Roman"/>
                <w:color w:val="auto"/>
                <w:kern w:val="0"/>
                <w:sz w:val="24"/>
                <w:szCs w:val="24"/>
                <w:u w:val="single"/>
                <w:lang w:val="en-US" w:eastAsia="zh-CN" w:bidi="ar"/>
              </w:rPr>
              <w:t xml:space="preserve"> ）</w:t>
            </w:r>
          </w:p>
        </w:tc>
      </w:tr>
      <w:tr w14:paraId="2B8E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10207" w:type="dxa"/>
            <w:gridSpan w:val="7"/>
            <w:vAlign w:val="center"/>
          </w:tcPr>
          <w:p w14:paraId="7791710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color w:val="auto"/>
                <w:kern w:val="0"/>
                <w:sz w:val="24"/>
                <w:szCs w:val="24"/>
                <w:u w:val="none"/>
                <w:lang w:val="en-US" w:eastAsia="zh-CN" w:bidi="ar"/>
              </w:rPr>
            </w:pPr>
            <w:r>
              <w:rPr>
                <w:rFonts w:hint="default" w:ascii="Times New Roman" w:hAnsi="Times New Roman" w:eastAsia="仿宋_GB2312" w:cs="Times New Roman"/>
                <w:color w:val="auto"/>
                <w:kern w:val="0"/>
                <w:sz w:val="24"/>
                <w:szCs w:val="24"/>
                <w:u w:val="none"/>
                <w:lang w:val="en-US" w:eastAsia="zh-CN" w:bidi="ar"/>
              </w:rPr>
              <w:t>注：</w:t>
            </w:r>
            <w:r>
              <w:rPr>
                <w:rFonts w:hint="eastAsia" w:ascii="Times New Roman" w:hAnsi="Times New Roman" w:eastAsia="仿宋_GB2312" w:cs="Times New Roman"/>
                <w:color w:val="auto"/>
                <w:kern w:val="0"/>
                <w:sz w:val="24"/>
                <w:szCs w:val="24"/>
                <w:u w:val="none"/>
                <w:lang w:val="en-US" w:eastAsia="zh-CN" w:bidi="ar"/>
              </w:rPr>
              <w:t>1.每项</w:t>
            </w:r>
            <w:r>
              <w:rPr>
                <w:rFonts w:hint="default" w:ascii="Times New Roman" w:hAnsi="Times New Roman" w:eastAsia="仿宋_GB2312" w:cs="Times New Roman"/>
                <w:color w:val="auto"/>
                <w:kern w:val="0"/>
                <w:sz w:val="24"/>
                <w:szCs w:val="24"/>
                <w:u w:val="none"/>
                <w:lang w:val="en-US" w:eastAsia="zh-CN" w:bidi="ar"/>
              </w:rPr>
              <w:t>报价金额</w:t>
            </w:r>
            <w:r>
              <w:rPr>
                <w:rFonts w:hint="eastAsia" w:ascii="Times New Roman" w:hAnsi="Times New Roman" w:eastAsia="仿宋_GB2312" w:cs="Times New Roman"/>
                <w:color w:val="auto"/>
                <w:kern w:val="0"/>
                <w:sz w:val="24"/>
                <w:szCs w:val="24"/>
                <w:u w:val="none"/>
                <w:lang w:val="en-US" w:eastAsia="zh-CN" w:bidi="ar"/>
              </w:rPr>
              <w:t>均</w:t>
            </w:r>
            <w:r>
              <w:rPr>
                <w:rFonts w:hint="default" w:ascii="Times New Roman" w:hAnsi="Times New Roman" w:eastAsia="仿宋_GB2312" w:cs="Times New Roman"/>
                <w:color w:val="auto"/>
                <w:kern w:val="0"/>
                <w:sz w:val="24"/>
                <w:szCs w:val="24"/>
                <w:u w:val="none"/>
                <w:lang w:val="en-US" w:eastAsia="zh-CN" w:bidi="ar"/>
              </w:rPr>
              <w:t>不能超过</w:t>
            </w:r>
            <w:r>
              <w:rPr>
                <w:rFonts w:hint="eastAsia" w:ascii="Times New Roman" w:hAnsi="Times New Roman" w:eastAsia="仿宋_GB2312" w:cs="Times New Roman"/>
                <w:color w:val="auto"/>
                <w:kern w:val="0"/>
                <w:sz w:val="24"/>
                <w:szCs w:val="24"/>
                <w:u w:val="none"/>
                <w:lang w:val="en-US" w:eastAsia="zh-CN" w:bidi="ar"/>
              </w:rPr>
              <w:t>每项</w:t>
            </w:r>
            <w:r>
              <w:rPr>
                <w:rFonts w:hint="default" w:ascii="Times New Roman" w:hAnsi="Times New Roman" w:eastAsia="仿宋_GB2312" w:cs="Times New Roman"/>
                <w:color w:val="auto"/>
                <w:kern w:val="0"/>
                <w:sz w:val="24"/>
                <w:szCs w:val="24"/>
                <w:u w:val="none"/>
                <w:lang w:val="en-US" w:eastAsia="zh-CN" w:bidi="ar"/>
              </w:rPr>
              <w:t>预算金额</w:t>
            </w:r>
            <w:r>
              <w:rPr>
                <w:rFonts w:hint="eastAsia" w:ascii="Times New Roman" w:hAnsi="Times New Roman" w:eastAsia="仿宋_GB2312" w:cs="Times New Roman"/>
                <w:color w:val="auto"/>
                <w:kern w:val="0"/>
                <w:sz w:val="24"/>
                <w:szCs w:val="24"/>
                <w:u w:val="none"/>
                <w:lang w:val="en-US" w:eastAsia="zh-CN" w:bidi="ar"/>
              </w:rPr>
              <w:t>，报价合计金额不能超过预算总金额。</w:t>
            </w:r>
          </w:p>
          <w:p w14:paraId="60CDEB33">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仿宋_GB2312" w:cs="Times New Roman"/>
                <w:color w:val="FF0000"/>
                <w:kern w:val="0"/>
                <w:sz w:val="24"/>
                <w:szCs w:val="24"/>
                <w:u w:val="none"/>
                <w:lang w:val="en-US" w:eastAsia="zh-CN" w:bidi="ar"/>
              </w:rPr>
            </w:pPr>
            <w:r>
              <w:rPr>
                <w:rFonts w:hint="default" w:ascii="Times New Roman" w:hAnsi="Times New Roman" w:eastAsia="仿宋_GB2312" w:cs="Times New Roman"/>
                <w:color w:val="auto"/>
                <w:kern w:val="2"/>
                <w:sz w:val="24"/>
                <w:szCs w:val="24"/>
                <w:lang w:val="en-US" w:eastAsia="zh-CN" w:bidi="ar-SA"/>
              </w:rPr>
              <w:t>2.</w:t>
            </w:r>
            <w:r>
              <w:rPr>
                <w:rFonts w:hint="eastAsia" w:ascii="Times New Roman" w:hAnsi="Times New Roman" w:eastAsia="仿宋_GB2312" w:cs="Times New Roman"/>
                <w:color w:val="auto"/>
                <w:kern w:val="2"/>
                <w:sz w:val="24"/>
                <w:szCs w:val="24"/>
                <w:lang w:val="en-US" w:eastAsia="zh-CN" w:bidi="ar-SA"/>
              </w:rPr>
              <w:t>以上</w:t>
            </w:r>
            <w:r>
              <w:rPr>
                <w:rFonts w:hint="default" w:ascii="Times New Roman" w:hAnsi="Times New Roman" w:eastAsia="仿宋_GB2312" w:cs="Times New Roman"/>
                <w:color w:val="auto"/>
                <w:kern w:val="2"/>
                <w:sz w:val="24"/>
                <w:szCs w:val="24"/>
                <w:lang w:val="en-US" w:eastAsia="zh-CN" w:bidi="ar-SA"/>
              </w:rPr>
              <w:t>报价必须包含所有货物、随配附件、安装、调试、各种辅材、售后服务、培训、税金及其他所有可能发生的一切费用</w:t>
            </w:r>
          </w:p>
        </w:tc>
      </w:tr>
    </w:tbl>
    <w:p w14:paraId="26D38B1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黑体" w:hAnsi="黑体" w:eastAsia="黑体" w:cs="黑体"/>
          <w:b w:val="0"/>
          <w:bCs w:val="0"/>
          <w:color w:val="auto"/>
          <w:kern w:val="2"/>
          <w:sz w:val="32"/>
          <w:szCs w:val="32"/>
          <w:lang w:val="en-US" w:eastAsia="zh-CN" w:bidi="ar-SA"/>
        </w:rPr>
      </w:pPr>
    </w:p>
    <w:p w14:paraId="49FB19F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92" w:lineRule="exact"/>
        <w:textAlignment w:val="baseline"/>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kern w:val="2"/>
          <w:sz w:val="32"/>
          <w:szCs w:val="32"/>
          <w:lang w:val="en-US" w:eastAsia="zh-CN" w:bidi="ar-SA"/>
        </w:rPr>
        <w:t>四、</w:t>
      </w:r>
      <w:r>
        <w:rPr>
          <w:rFonts w:hint="eastAsia" w:ascii="黑体" w:hAnsi="黑体" w:eastAsia="黑体" w:cs="黑体"/>
          <w:b w:val="0"/>
          <w:bCs w:val="0"/>
          <w:color w:val="auto"/>
          <w:sz w:val="32"/>
          <w:szCs w:val="32"/>
          <w:highlight w:val="none"/>
        </w:rPr>
        <w:t>商务要求</w:t>
      </w:r>
    </w:p>
    <w:tbl>
      <w:tblPr>
        <w:tblStyle w:val="5"/>
        <w:tblW w:w="10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6540"/>
        <w:gridCol w:w="1830"/>
      </w:tblGrid>
      <w:tr w14:paraId="43B4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1846" w:type="dxa"/>
            <w:noWrap w:val="0"/>
            <w:vAlign w:val="center"/>
          </w:tcPr>
          <w:p w14:paraId="0C36C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highlight w:val="none"/>
                <w:lang w:val="en-US" w:eastAsia="zh-CN"/>
              </w:rPr>
              <w:t>要求名称</w:t>
            </w:r>
          </w:p>
        </w:tc>
        <w:tc>
          <w:tcPr>
            <w:tcW w:w="6540" w:type="dxa"/>
            <w:noWrap w:val="0"/>
            <w:vAlign w:val="center"/>
          </w:tcPr>
          <w:p w14:paraId="4D0CEB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要求内容</w:t>
            </w:r>
          </w:p>
        </w:tc>
        <w:tc>
          <w:tcPr>
            <w:tcW w:w="1830" w:type="dxa"/>
            <w:noWrap w:val="0"/>
            <w:vAlign w:val="center"/>
          </w:tcPr>
          <w:p w14:paraId="5D35538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是否响应</w:t>
            </w:r>
          </w:p>
        </w:tc>
      </w:tr>
      <w:tr w14:paraId="1BC5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846" w:type="dxa"/>
            <w:noWrap w:val="0"/>
            <w:vAlign w:val="center"/>
          </w:tcPr>
          <w:p w14:paraId="42A4CF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合同签订期</w:t>
            </w:r>
          </w:p>
        </w:tc>
        <w:tc>
          <w:tcPr>
            <w:tcW w:w="6540" w:type="dxa"/>
            <w:noWrap w:val="0"/>
            <w:vAlign w:val="center"/>
          </w:tcPr>
          <w:p w14:paraId="12DD3C4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自</w:t>
            </w:r>
            <w:r>
              <w:rPr>
                <w:rFonts w:hint="default" w:ascii="Times New Roman" w:hAnsi="Times New Roman" w:eastAsia="仿宋_GB2312" w:cs="Times New Roman"/>
                <w:color w:val="auto"/>
                <w:sz w:val="24"/>
                <w:szCs w:val="24"/>
                <w:highlight w:val="none"/>
                <w:lang w:eastAsia="zh-CN"/>
              </w:rPr>
              <w:t>成交公告（如有）</w:t>
            </w:r>
            <w:r>
              <w:rPr>
                <w:rFonts w:hint="default" w:ascii="Times New Roman" w:hAnsi="Times New Roman" w:eastAsia="仿宋_GB2312" w:cs="Times New Roman"/>
                <w:color w:val="auto"/>
                <w:sz w:val="24"/>
                <w:szCs w:val="24"/>
                <w:highlight w:val="none"/>
              </w:rPr>
              <w:t>发</w:t>
            </w:r>
            <w:r>
              <w:rPr>
                <w:rFonts w:hint="default" w:ascii="Times New Roman" w:hAnsi="Times New Roman" w:eastAsia="仿宋_GB2312" w:cs="Times New Roman"/>
                <w:color w:val="auto"/>
                <w:sz w:val="24"/>
                <w:szCs w:val="24"/>
                <w:highlight w:val="none"/>
                <w:lang w:eastAsia="zh-CN"/>
              </w:rPr>
              <w:t>布</w:t>
            </w:r>
            <w:r>
              <w:rPr>
                <w:rFonts w:hint="default" w:ascii="Times New Roman" w:hAnsi="Times New Roman" w:eastAsia="仿宋_GB2312" w:cs="Times New Roman"/>
                <w:color w:val="auto"/>
                <w:sz w:val="24"/>
                <w:szCs w:val="24"/>
                <w:highlight w:val="none"/>
              </w:rPr>
              <w:t>之日起25日内完成合同签订。</w:t>
            </w:r>
          </w:p>
        </w:tc>
        <w:tc>
          <w:tcPr>
            <w:tcW w:w="1830" w:type="dxa"/>
            <w:noWrap w:val="0"/>
            <w:vAlign w:val="center"/>
          </w:tcPr>
          <w:p w14:paraId="333227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否</w:t>
            </w:r>
          </w:p>
        </w:tc>
      </w:tr>
      <w:tr w14:paraId="4603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46" w:type="dxa"/>
            <w:noWrap w:val="0"/>
            <w:vAlign w:val="center"/>
          </w:tcPr>
          <w:p w14:paraId="2EE41E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w:t>
            </w:r>
            <w:r>
              <w:rPr>
                <w:rFonts w:hint="eastAsia" w:ascii="仿宋_GB2312" w:hAnsi="仿宋_GB2312" w:eastAsia="仿宋_GB2312" w:cs="仿宋_GB2312"/>
                <w:color w:val="auto"/>
                <w:sz w:val="24"/>
                <w:szCs w:val="24"/>
                <w:highlight w:val="none"/>
              </w:rPr>
              <w:t>供货</w:t>
            </w:r>
            <w:r>
              <w:rPr>
                <w:rFonts w:hint="eastAsia" w:ascii="仿宋_GB2312" w:hAnsi="仿宋_GB2312" w:eastAsia="仿宋_GB2312" w:cs="仿宋_GB2312"/>
                <w:color w:val="auto"/>
                <w:sz w:val="24"/>
                <w:szCs w:val="24"/>
                <w:highlight w:val="none"/>
                <w:lang w:eastAsia="zh-CN"/>
              </w:rPr>
              <w:t>）</w:t>
            </w:r>
          </w:p>
          <w:p w14:paraId="62D844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highlight w:val="none"/>
                <w:lang w:eastAsia="zh-CN"/>
              </w:rPr>
              <w:t>期限</w:t>
            </w:r>
          </w:p>
        </w:tc>
        <w:tc>
          <w:tcPr>
            <w:tcW w:w="6540" w:type="dxa"/>
            <w:noWrap w:val="0"/>
            <w:vAlign w:val="center"/>
          </w:tcPr>
          <w:p w14:paraId="48B2708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vertAlign w:val="baseline"/>
                <w:lang w:val="en-US" w:eastAsia="zh-CN"/>
              </w:rPr>
            </w:pPr>
            <w:r>
              <w:rPr>
                <w:rFonts w:hint="default" w:ascii="Times New Roman" w:hAnsi="Times New Roman" w:eastAsia="仿宋_GB2312" w:cs="Times New Roman"/>
                <w:color w:val="auto"/>
                <w:sz w:val="24"/>
                <w:szCs w:val="24"/>
                <w:highlight w:val="none"/>
                <w:lang w:val="en-US" w:eastAsia="zh-CN"/>
              </w:rPr>
              <w:t>自合同签订之日起40日内全部到货并安装调试合格。</w:t>
            </w:r>
          </w:p>
        </w:tc>
        <w:tc>
          <w:tcPr>
            <w:tcW w:w="1830" w:type="dxa"/>
            <w:noWrap w:val="0"/>
            <w:vAlign w:val="center"/>
          </w:tcPr>
          <w:p w14:paraId="304955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1191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846" w:type="dxa"/>
            <w:noWrap w:val="0"/>
            <w:vAlign w:val="center"/>
          </w:tcPr>
          <w:p w14:paraId="5C353A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highlight w:val="none"/>
              </w:rPr>
              <w:t>交货地点</w:t>
            </w:r>
          </w:p>
        </w:tc>
        <w:tc>
          <w:tcPr>
            <w:tcW w:w="6540" w:type="dxa"/>
            <w:noWrap w:val="0"/>
            <w:vAlign w:val="center"/>
          </w:tcPr>
          <w:p w14:paraId="4AA6CF1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vertAlign w:val="baseline"/>
                <w:lang w:val="en-US" w:eastAsia="zh-CN"/>
              </w:rPr>
            </w:pPr>
            <w:r>
              <w:rPr>
                <w:rFonts w:hint="default" w:ascii="Times New Roman" w:hAnsi="Times New Roman" w:eastAsia="仿宋_GB2312" w:cs="Times New Roman"/>
                <w:color w:val="auto"/>
                <w:sz w:val="24"/>
                <w:szCs w:val="24"/>
                <w:highlight w:val="none"/>
                <w:lang w:eastAsia="zh-CN"/>
              </w:rPr>
              <w:t>采购人指定地点</w:t>
            </w:r>
          </w:p>
        </w:tc>
        <w:tc>
          <w:tcPr>
            <w:tcW w:w="1830" w:type="dxa"/>
            <w:noWrap w:val="0"/>
            <w:vAlign w:val="center"/>
          </w:tcPr>
          <w:p w14:paraId="468F0B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450B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1846" w:type="dxa"/>
            <w:noWrap w:val="0"/>
            <w:vAlign w:val="center"/>
          </w:tcPr>
          <w:p w14:paraId="62F292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highlight w:val="none"/>
                <w:lang w:eastAsia="zh-CN"/>
              </w:rPr>
              <w:t>付款方式</w:t>
            </w:r>
          </w:p>
        </w:tc>
        <w:tc>
          <w:tcPr>
            <w:tcW w:w="6540" w:type="dxa"/>
            <w:noWrap w:val="0"/>
            <w:vAlign w:val="center"/>
          </w:tcPr>
          <w:p w14:paraId="635607D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vertAlign w:val="baseline"/>
                <w:lang w:val="en-US" w:eastAsia="zh-CN"/>
              </w:rPr>
            </w:pPr>
            <w:r>
              <w:rPr>
                <w:rFonts w:hint="default" w:ascii="Times New Roman" w:hAnsi="Times New Roman" w:eastAsia="仿宋_GB2312" w:cs="Times New Roman"/>
                <w:color w:val="auto"/>
                <w:sz w:val="24"/>
                <w:szCs w:val="24"/>
                <w:highlight w:val="none"/>
                <w:lang w:val="en-US" w:eastAsia="zh-CN"/>
              </w:rPr>
              <w:t>成交供应商根据采购人需求供货并完成安装调试，经验收合格后10个工作日内，成交供应商向采购人开具合法的增值税发票及付款材料，采购人根据核对无误的发票和付款材料， 15个工作日内支付该批货款。</w:t>
            </w:r>
          </w:p>
        </w:tc>
        <w:tc>
          <w:tcPr>
            <w:tcW w:w="1830" w:type="dxa"/>
            <w:noWrap w:val="0"/>
            <w:vAlign w:val="center"/>
          </w:tcPr>
          <w:p w14:paraId="280D4C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1920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jc w:val="center"/>
        </w:trPr>
        <w:tc>
          <w:tcPr>
            <w:tcW w:w="1846" w:type="dxa"/>
            <w:noWrap w:val="0"/>
            <w:vAlign w:val="center"/>
          </w:tcPr>
          <w:p w14:paraId="4A537E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供货（服务）</w:t>
            </w:r>
          </w:p>
          <w:p w14:paraId="33AE0A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要求</w:t>
            </w:r>
          </w:p>
        </w:tc>
        <w:tc>
          <w:tcPr>
            <w:tcW w:w="6540" w:type="dxa"/>
            <w:noWrap w:val="0"/>
            <w:vAlign w:val="center"/>
          </w:tcPr>
          <w:p w14:paraId="15372D0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（1）所提供的产品、技术规格、技术参数等必须与采购需求相一致。</w:t>
            </w:r>
          </w:p>
          <w:p w14:paraId="5D2840B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（2）所供产品必须为原厂正品，按国家规定实行“三包”，免费送货上门、免费安装调试及人员培训，培训后采购人可熟悉基本操作。</w:t>
            </w:r>
          </w:p>
          <w:p w14:paraId="48F15AD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u w:val="none"/>
                <w:lang w:val="en-US" w:eastAsia="zh-CN"/>
              </w:rPr>
              <w:t>（3）采购人对成交供应商提供的货物进行验收，如发现货物与需求不符的，或者与合同约定的技术规范要求和验收标准不符的，有权退货或要求供货方更换、补齐。</w:t>
            </w:r>
          </w:p>
        </w:tc>
        <w:tc>
          <w:tcPr>
            <w:tcW w:w="1830" w:type="dxa"/>
            <w:noWrap w:val="0"/>
            <w:vAlign w:val="center"/>
          </w:tcPr>
          <w:p w14:paraId="6B8976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04DC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2" w:hRule="atLeast"/>
          <w:jc w:val="center"/>
        </w:trPr>
        <w:tc>
          <w:tcPr>
            <w:tcW w:w="1846" w:type="dxa"/>
            <w:noWrap w:val="0"/>
            <w:vAlign w:val="center"/>
          </w:tcPr>
          <w:p w14:paraId="7052EF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质保及售后</w:t>
            </w:r>
            <w:r>
              <w:rPr>
                <w:rFonts w:hint="eastAsia" w:ascii="仿宋_GB2312" w:hAnsi="仿宋_GB2312" w:eastAsia="仿宋_GB2312" w:cs="仿宋_GB2312"/>
                <w:color w:val="auto"/>
                <w:sz w:val="24"/>
                <w:szCs w:val="24"/>
                <w:highlight w:val="none"/>
                <w:lang w:eastAsia="zh-CN"/>
              </w:rPr>
              <w:t>服务要求</w:t>
            </w:r>
          </w:p>
        </w:tc>
        <w:tc>
          <w:tcPr>
            <w:tcW w:w="6540" w:type="dxa"/>
            <w:noWrap w:val="0"/>
            <w:vAlign w:val="center"/>
          </w:tcPr>
          <w:p w14:paraId="045C67E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（1）质保期</w:t>
            </w:r>
            <w:r>
              <w:rPr>
                <w:rFonts w:hint="default" w:ascii="Times New Roman" w:hAnsi="Times New Roman" w:eastAsia="仿宋_GB2312" w:cs="Times New Roman"/>
                <w:color w:val="auto"/>
                <w:sz w:val="24"/>
                <w:szCs w:val="24"/>
                <w:highlight w:val="none"/>
                <w:lang w:val="en" w:eastAsia="zh-CN"/>
              </w:rPr>
              <w:t>1</w:t>
            </w:r>
            <w:r>
              <w:rPr>
                <w:rFonts w:hint="default" w:ascii="Times New Roman" w:hAnsi="Times New Roman" w:eastAsia="仿宋_GB2312" w:cs="Times New Roman"/>
                <w:color w:val="auto"/>
                <w:sz w:val="24"/>
                <w:szCs w:val="24"/>
                <w:highlight w:val="none"/>
                <w:lang w:val="en-US" w:eastAsia="zh-CN"/>
              </w:rPr>
              <w:t>年，自验收合格签字之日起计算。质保期内出现故障导致设备停用的时间，从质保期中扣除。</w:t>
            </w:r>
          </w:p>
          <w:p w14:paraId="45B3645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（2）质保期内7*24小时电话和远程支持服务，成交供应商接到采购人报障电话1小时内响应，若电话和远程无法解决，1天内派技术人员到达现场解决故障。</w:t>
            </w:r>
          </w:p>
          <w:p w14:paraId="28B46A8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质保期内免费定期上门检查、免费上门维修服务（免收维修费和系统维护费）、免费提供需更换配件。维护中如需要更换软件系统或配件的，要求更换的品牌、类型相一致或者是同类同档次的替代品，后者需提供相应证明文件并征得采购方同意。</w:t>
            </w:r>
          </w:p>
          <w:p w14:paraId="662DB4F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（4）质保期届满后，成交供应商对所供货物提供终身维修服务，且维修时只收取所需维修配件的成本费，服务内容与质保期内的要求相一致。</w:t>
            </w:r>
          </w:p>
        </w:tc>
        <w:tc>
          <w:tcPr>
            <w:tcW w:w="1830" w:type="dxa"/>
            <w:noWrap w:val="0"/>
            <w:vAlign w:val="center"/>
          </w:tcPr>
          <w:p w14:paraId="75FC6F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3EF6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3" w:hRule="atLeast"/>
          <w:jc w:val="center"/>
        </w:trPr>
        <w:tc>
          <w:tcPr>
            <w:tcW w:w="1846" w:type="dxa"/>
            <w:noWrap w:val="0"/>
            <w:vAlign w:val="center"/>
          </w:tcPr>
          <w:p w14:paraId="4DB3C8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履约保证金</w:t>
            </w:r>
          </w:p>
        </w:tc>
        <w:tc>
          <w:tcPr>
            <w:tcW w:w="6540" w:type="dxa"/>
            <w:noWrap w:val="0"/>
            <w:vAlign w:val="center"/>
          </w:tcPr>
          <w:p w14:paraId="1B2E5A19">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rPr>
              <w:t>）成交供应商</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lang w:val="en-US" w:eastAsia="zh-CN"/>
              </w:rPr>
              <w:t>签订合同后5个工作日内，向采购人指定账户转入合同总价2%的履约保证金。成交供应商未按约定交纳履约保证金的，采购方有权解除合同</w:t>
            </w:r>
            <w:r>
              <w:rPr>
                <w:rFonts w:hint="default" w:ascii="Times New Roman" w:hAnsi="Times New Roman" w:eastAsia="仿宋_GB2312" w:cs="Times New Roman"/>
                <w:color w:val="auto"/>
                <w:sz w:val="24"/>
                <w:szCs w:val="24"/>
                <w:highlight w:val="none"/>
              </w:rPr>
              <w:t>，质保期满，且全部供货产品无质量问题的，成交供应商向采购人书面申请退还履约保证金，采购人按规定退还成交</w:t>
            </w:r>
            <w:r>
              <w:rPr>
                <w:rFonts w:hint="default" w:ascii="Times New Roman" w:hAnsi="Times New Roman" w:eastAsia="仿宋_GB2312" w:cs="Times New Roman"/>
                <w:color w:val="auto"/>
                <w:sz w:val="24"/>
                <w:szCs w:val="24"/>
                <w:highlight w:val="none"/>
                <w:lang w:eastAsia="zh-CN"/>
              </w:rPr>
              <w:t>供应商</w:t>
            </w:r>
            <w:r>
              <w:rPr>
                <w:rFonts w:hint="default" w:ascii="Times New Roman" w:hAnsi="Times New Roman" w:eastAsia="仿宋_GB2312" w:cs="Times New Roman"/>
                <w:color w:val="auto"/>
                <w:sz w:val="24"/>
                <w:szCs w:val="24"/>
                <w:highlight w:val="none"/>
              </w:rPr>
              <w:t>履约保证金（无息）。</w:t>
            </w:r>
          </w:p>
          <w:p w14:paraId="39EEA42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rPr>
              <w:t>）缴纳履约保证金的指定账户</w:t>
            </w:r>
          </w:p>
          <w:p w14:paraId="1926DB5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开户名称</w:t>
            </w:r>
            <w:r>
              <w:rPr>
                <w:rFonts w:hint="default" w:ascii="Times New Roman" w:hAnsi="Times New Roman" w:eastAsia="仿宋_GB2312" w:cs="Times New Roman"/>
                <w:color w:val="auto"/>
                <w:sz w:val="24"/>
                <w:szCs w:val="24"/>
                <w:highlight w:val="none"/>
                <w:lang w:eastAsia="zh-CN"/>
              </w:rPr>
              <w:t>：广西</w:t>
            </w:r>
            <w:r>
              <w:rPr>
                <w:rFonts w:hint="default" w:ascii="Times New Roman" w:hAnsi="Times New Roman" w:eastAsia="仿宋_GB2312" w:cs="Times New Roman"/>
                <w:color w:val="auto"/>
                <w:sz w:val="24"/>
                <w:szCs w:val="24"/>
                <w:highlight w:val="none"/>
              </w:rPr>
              <w:t>百色干部学院</w:t>
            </w:r>
          </w:p>
          <w:p w14:paraId="63949F6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开户银行</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农行百色市右江支行</w:t>
            </w:r>
          </w:p>
          <w:p w14:paraId="77F3AB9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rPr>
              <w:t>银行账号</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20607001040017290</w:t>
            </w:r>
          </w:p>
        </w:tc>
        <w:tc>
          <w:tcPr>
            <w:tcW w:w="1830" w:type="dxa"/>
            <w:noWrap w:val="0"/>
            <w:vAlign w:val="center"/>
          </w:tcPr>
          <w:p w14:paraId="678AC2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75F0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jc w:val="center"/>
        </w:trPr>
        <w:tc>
          <w:tcPr>
            <w:tcW w:w="1846" w:type="dxa"/>
            <w:noWrap w:val="0"/>
            <w:vAlign w:val="center"/>
          </w:tcPr>
          <w:p w14:paraId="3C2E55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报价要求</w:t>
            </w:r>
          </w:p>
        </w:tc>
        <w:tc>
          <w:tcPr>
            <w:tcW w:w="6540" w:type="dxa"/>
            <w:noWrap w:val="0"/>
            <w:vAlign w:val="center"/>
          </w:tcPr>
          <w:p w14:paraId="1F48C41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kern w:val="2"/>
                <w:sz w:val="24"/>
                <w:szCs w:val="24"/>
                <w:lang w:val="en-US" w:eastAsia="zh-CN" w:bidi="ar-SA"/>
              </w:rPr>
              <w:t>（1）</w:t>
            </w:r>
            <w:r>
              <w:rPr>
                <w:rFonts w:hint="default" w:ascii="Times New Roman" w:hAnsi="Times New Roman" w:eastAsia="仿宋_GB2312" w:cs="Times New Roman"/>
                <w:color w:val="auto"/>
                <w:sz w:val="24"/>
                <w:szCs w:val="24"/>
                <w:highlight w:val="none"/>
                <w:lang w:val="en-US" w:eastAsia="zh-CN"/>
              </w:rPr>
              <w:t>供应商所投产品必须能实质性响应采购要求（所投产品应完全满足或优于采购参数要求），避免假冒伪劣产品。</w:t>
            </w:r>
          </w:p>
          <w:p w14:paraId="0D8F26B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kern w:val="2"/>
                <w:sz w:val="24"/>
                <w:szCs w:val="24"/>
                <w:vertAlign w:val="baseline"/>
                <w:lang w:val="en-US" w:eastAsia="zh-CN" w:bidi="ar-SA"/>
              </w:rPr>
              <w:t>（2）</w:t>
            </w:r>
            <w:r>
              <w:rPr>
                <w:rFonts w:hint="default" w:ascii="Times New Roman" w:hAnsi="Times New Roman" w:eastAsia="仿宋_GB2312" w:cs="Times New Roman"/>
                <w:color w:val="auto"/>
                <w:sz w:val="24"/>
                <w:szCs w:val="24"/>
                <w:highlight w:val="none"/>
                <w:lang w:val="en-US" w:eastAsia="zh-CN"/>
              </w:rPr>
              <w:t>参与本项目的供应商需要提供《广西百色干部学院2026年密集架报价表》</w:t>
            </w:r>
            <w:r>
              <w:rPr>
                <w:rFonts w:hint="eastAsia" w:ascii="Times New Roman" w:hAnsi="Times New Roman" w:eastAsia="仿宋_GB2312" w:cs="Times New Roman"/>
                <w:color w:val="auto"/>
                <w:sz w:val="24"/>
                <w:szCs w:val="24"/>
                <w:highlight w:val="none"/>
                <w:lang w:val="en-US" w:eastAsia="zh-CN"/>
              </w:rPr>
              <w:t>（按照采购人模板填写）、《</w:t>
            </w:r>
            <w:r>
              <w:rPr>
                <w:rFonts w:hint="default" w:ascii="Times New Roman" w:hAnsi="Times New Roman" w:eastAsia="仿宋_GB2312" w:cs="Times New Roman"/>
                <w:color w:val="auto"/>
                <w:sz w:val="24"/>
                <w:szCs w:val="24"/>
                <w:highlight w:val="none"/>
                <w:lang w:val="en-US" w:eastAsia="zh-CN"/>
              </w:rPr>
              <w:t>中小企业声明函（货物）</w:t>
            </w:r>
            <w:r>
              <w:rPr>
                <w:rFonts w:hint="eastAsia" w:ascii="Times New Roman" w:hAnsi="Times New Roman" w:eastAsia="仿宋_GB2312" w:cs="Times New Roman"/>
                <w:color w:val="auto"/>
                <w:sz w:val="24"/>
                <w:szCs w:val="24"/>
                <w:highlight w:val="none"/>
                <w:lang w:val="en-US" w:eastAsia="zh-CN"/>
              </w:rPr>
              <w:t>》（可参照采购人模板）、</w:t>
            </w:r>
            <w:r>
              <w:rPr>
                <w:rFonts w:hint="default" w:ascii="Times New Roman" w:hAnsi="Times New Roman" w:eastAsia="仿宋_GB2312" w:cs="Times New Roman"/>
                <w:color w:val="auto"/>
                <w:sz w:val="24"/>
                <w:szCs w:val="24"/>
                <w:highlight w:val="none"/>
                <w:lang w:val="en-US" w:eastAsia="zh-CN"/>
              </w:rPr>
              <w:t>售后服务承诺书（</w:t>
            </w:r>
            <w:r>
              <w:rPr>
                <w:rFonts w:hint="eastAsia" w:ascii="Times New Roman" w:hAnsi="Times New Roman" w:eastAsia="仿宋_GB2312" w:cs="Times New Roman"/>
                <w:color w:val="auto"/>
                <w:sz w:val="24"/>
                <w:szCs w:val="24"/>
                <w:highlight w:val="none"/>
                <w:lang w:val="en-US" w:eastAsia="zh-CN"/>
              </w:rPr>
              <w:t>加盖</w:t>
            </w:r>
            <w:r>
              <w:rPr>
                <w:rFonts w:hint="default" w:ascii="Times New Roman" w:hAnsi="Times New Roman" w:eastAsia="仿宋_GB2312" w:cs="Times New Roman"/>
                <w:color w:val="auto"/>
                <w:sz w:val="24"/>
                <w:szCs w:val="24"/>
                <w:highlight w:val="none"/>
                <w:lang w:val="en-US" w:eastAsia="zh-CN"/>
              </w:rPr>
              <w:t>供应商公章</w:t>
            </w:r>
            <w:r>
              <w:rPr>
                <w:rFonts w:hint="eastAsia" w:ascii="Times New Roman" w:hAnsi="Times New Roman" w:eastAsia="仿宋_GB2312" w:cs="Times New Roman"/>
                <w:color w:val="auto"/>
                <w:sz w:val="24"/>
                <w:szCs w:val="24"/>
                <w:highlight w:val="none"/>
                <w:lang w:val="en-US" w:eastAsia="zh-CN"/>
              </w:rPr>
              <w:t>，格式自拟</w:t>
            </w:r>
            <w:r>
              <w:rPr>
                <w:rFonts w:hint="default" w:ascii="Times New Roman" w:hAnsi="Times New Roman" w:eastAsia="仿宋_GB2312" w:cs="Times New Roman"/>
                <w:color w:val="auto"/>
                <w:sz w:val="24"/>
                <w:szCs w:val="24"/>
                <w:highlight w:val="none"/>
                <w:lang w:val="en-US" w:eastAsia="zh-CN"/>
              </w:rPr>
              <w:t>）、营业执照复印件，在报价时以附件形式进行上传，未上传或内容有误则视为无效报价。</w:t>
            </w:r>
          </w:p>
          <w:p w14:paraId="5EA9D2A6">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（3）</w:t>
            </w:r>
            <w:r>
              <w:rPr>
                <w:rFonts w:hint="default" w:ascii="Times New Roman" w:hAnsi="Times New Roman" w:eastAsia="仿宋_GB2312" w:cs="Times New Roman"/>
                <w:color w:val="auto"/>
                <w:kern w:val="0"/>
                <w:sz w:val="24"/>
                <w:szCs w:val="24"/>
                <w:u w:val="none"/>
                <w:lang w:val="en-US" w:eastAsia="zh-CN" w:bidi="ar"/>
              </w:rPr>
              <w:t>每项报价金额均超过每项预算金额，或报价金额合计超过预算总金额的，均视为无效报价。</w:t>
            </w:r>
          </w:p>
        </w:tc>
        <w:tc>
          <w:tcPr>
            <w:tcW w:w="1830" w:type="dxa"/>
            <w:noWrap w:val="0"/>
            <w:vAlign w:val="center"/>
          </w:tcPr>
          <w:p w14:paraId="6B1EAA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000000"/>
                <w:sz w:val="24"/>
                <w:szCs w:val="24"/>
                <w:lang w:val="en-US" w:eastAsia="zh-CN"/>
              </w:rPr>
              <w:sym w:font="Wingdings 2" w:char="00A3"/>
            </w:r>
            <w:r>
              <w:rPr>
                <w:rFonts w:hint="default" w:ascii="Times New Roman" w:hAnsi="Times New Roman" w:eastAsia="仿宋_GB2312" w:cs="Times New Roman"/>
                <w:color w:val="000000"/>
                <w:sz w:val="24"/>
                <w:szCs w:val="24"/>
                <w:lang w:val="en-US" w:eastAsia="zh-CN"/>
              </w:rPr>
              <w:t>是</w:t>
            </w:r>
            <w:r>
              <w:rPr>
                <w:rFonts w:hint="default" w:ascii="Times New Roman" w:hAnsi="Times New Roman" w:eastAsia="仿宋_GB2312" w:cs="Times New Roman"/>
                <w:color w:val="000000"/>
                <w:sz w:val="24"/>
                <w:szCs w:val="24"/>
                <w:lang w:val="en-US" w:eastAsia="zh-CN"/>
              </w:rPr>
              <w:sym w:font="Wingdings 2" w:char="F0A3"/>
            </w:r>
            <w:r>
              <w:rPr>
                <w:rFonts w:hint="default" w:ascii="Times New Roman" w:hAnsi="Times New Roman" w:eastAsia="仿宋_GB2312" w:cs="Times New Roman"/>
                <w:color w:val="000000"/>
                <w:sz w:val="24"/>
                <w:szCs w:val="24"/>
                <w:lang w:val="en-US" w:eastAsia="zh-CN"/>
              </w:rPr>
              <w:t>否</w:t>
            </w:r>
          </w:p>
        </w:tc>
      </w:tr>
      <w:tr w14:paraId="7256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1846" w:type="dxa"/>
            <w:noWrap w:val="0"/>
            <w:vAlign w:val="center"/>
          </w:tcPr>
          <w:p w14:paraId="70B1BB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4"/>
                <w:szCs w:val="24"/>
                <w:highlight w:val="none"/>
                <w:lang w:val="en" w:eastAsia="zh-CN"/>
              </w:rPr>
            </w:pPr>
            <w:r>
              <w:rPr>
                <w:rFonts w:hint="eastAsia" w:ascii="仿宋_GB2312" w:hAnsi="仿宋_GB2312" w:eastAsia="仿宋_GB2312" w:cs="仿宋_GB2312"/>
                <w:color w:val="auto"/>
                <w:sz w:val="24"/>
                <w:szCs w:val="24"/>
                <w:highlight w:val="none"/>
                <w:lang w:val="en" w:eastAsia="zh-CN"/>
              </w:rPr>
              <w:t>其他</w:t>
            </w:r>
          </w:p>
        </w:tc>
        <w:tc>
          <w:tcPr>
            <w:tcW w:w="8370" w:type="dxa"/>
            <w:gridSpan w:val="2"/>
            <w:noWrap w:val="0"/>
            <w:vAlign w:val="center"/>
          </w:tcPr>
          <w:p w14:paraId="6D236C8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i w:val="0"/>
                <w:iCs w:val="0"/>
                <w:caps w:val="0"/>
                <w:color w:val="333333"/>
                <w:spacing w:val="0"/>
                <w:sz w:val="24"/>
                <w:szCs w:val="24"/>
                <w:highlight w:val="none"/>
                <w:shd w:val="clear" w:fill="FFFFFF"/>
              </w:rPr>
              <w:t>联系人及联系电话：</w:t>
            </w:r>
            <w:r>
              <w:rPr>
                <w:rFonts w:hint="default" w:ascii="Times New Roman" w:hAnsi="Times New Roman" w:eastAsia="仿宋_GB2312" w:cs="Times New Roman"/>
                <w:i w:val="0"/>
                <w:iCs w:val="0"/>
                <w:caps w:val="0"/>
                <w:color w:val="333333"/>
                <w:spacing w:val="0"/>
                <w:sz w:val="24"/>
                <w:szCs w:val="24"/>
                <w:highlight w:val="none"/>
                <w:shd w:val="clear" w:fill="FFFFFF"/>
                <w:lang w:eastAsia="zh-CN"/>
              </w:rPr>
              <w:t>符</w:t>
            </w:r>
            <w:r>
              <w:rPr>
                <w:rFonts w:hint="eastAsia" w:ascii="Times New Roman" w:hAnsi="Times New Roman" w:eastAsia="仿宋_GB2312" w:cs="Times New Roman"/>
                <w:i w:val="0"/>
                <w:iCs w:val="0"/>
                <w:caps w:val="0"/>
                <w:color w:val="333333"/>
                <w:spacing w:val="0"/>
                <w:sz w:val="24"/>
                <w:szCs w:val="24"/>
                <w:highlight w:val="none"/>
                <w:shd w:val="clear" w:fill="FFFFFF"/>
                <w:lang w:eastAsia="zh-CN"/>
              </w:rPr>
              <w:t>老师，</w:t>
            </w:r>
            <w:r>
              <w:rPr>
                <w:rFonts w:hint="default" w:ascii="Times New Roman" w:hAnsi="Times New Roman" w:eastAsia="仿宋_GB2312" w:cs="Times New Roman"/>
                <w:color w:val="auto"/>
                <w:sz w:val="24"/>
                <w:szCs w:val="24"/>
                <w:highlight w:val="none"/>
                <w:lang w:val="en-US" w:eastAsia="zh-CN"/>
              </w:rPr>
              <w:t>0776-3883137</w:t>
            </w:r>
            <w:r>
              <w:rPr>
                <w:rFonts w:hint="eastAsia" w:ascii="Times New Roman" w:hAnsi="Times New Roman" w:eastAsia="仿宋_GB2312" w:cs="Times New Roman"/>
                <w:color w:val="auto"/>
                <w:sz w:val="24"/>
                <w:szCs w:val="24"/>
                <w:highlight w:val="none"/>
                <w:lang w:val="en-US" w:eastAsia="zh-CN"/>
              </w:rPr>
              <w:t>。</w:t>
            </w:r>
          </w:p>
          <w:p w14:paraId="371810F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kern w:val="2"/>
                <w:sz w:val="24"/>
                <w:szCs w:val="24"/>
                <w:lang w:val="en-US" w:eastAsia="zh-CN" w:bidi="ar-SA"/>
              </w:rPr>
              <w:t>（</w:t>
            </w:r>
            <w:r>
              <w:rPr>
                <w:rFonts w:hint="eastAsia" w:ascii="Times New Roman" w:hAnsi="Times New Roman" w:eastAsia="仿宋_GB2312" w:cs="Times New Roman"/>
                <w:color w:val="auto"/>
                <w:kern w:val="2"/>
                <w:sz w:val="24"/>
                <w:szCs w:val="24"/>
                <w:lang w:val="en-US" w:eastAsia="zh-CN" w:bidi="ar-SA"/>
              </w:rPr>
              <w:t>2</w:t>
            </w:r>
            <w:r>
              <w:rPr>
                <w:rFonts w:hint="default" w:ascii="Times New Roman" w:hAnsi="Times New Roman" w:eastAsia="仿宋_GB2312" w:cs="Times New Roman"/>
                <w:color w:val="auto"/>
                <w:kern w:val="2"/>
                <w:sz w:val="24"/>
                <w:szCs w:val="24"/>
                <w:lang w:val="en-US" w:eastAsia="zh-CN" w:bidi="ar-SA"/>
              </w:rPr>
              <w:t>）</w:t>
            </w:r>
            <w:r>
              <w:rPr>
                <w:rFonts w:hint="default" w:ascii="Times New Roman" w:hAnsi="Times New Roman" w:eastAsia="仿宋_GB2312" w:cs="Times New Roman"/>
                <w:color w:val="000000"/>
                <w:kern w:val="0"/>
                <w:sz w:val="24"/>
                <w:szCs w:val="24"/>
                <w:highlight w:val="none"/>
                <w:u w:val="none"/>
                <w:lang w:val="en-US" w:eastAsia="zh-CN" w:bidi="ar"/>
              </w:rPr>
              <w:t>智能密集架</w:t>
            </w:r>
            <w:r>
              <w:rPr>
                <w:rFonts w:hint="default" w:ascii="Times New Roman" w:hAnsi="Times New Roman" w:eastAsia="仿宋_GB2312" w:cs="Times New Roman"/>
                <w:color w:val="auto"/>
                <w:sz w:val="24"/>
                <w:szCs w:val="24"/>
                <w:highlight w:val="none"/>
                <w:lang w:val="en-US" w:eastAsia="zh-CN"/>
              </w:rPr>
              <w:t>产品规格、参数及服务要求答疑联系人：陈老师，0776-3881169。</w:t>
            </w:r>
          </w:p>
          <w:p w14:paraId="7B9B014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kern w:val="2"/>
                <w:sz w:val="24"/>
                <w:szCs w:val="24"/>
                <w:lang w:val="en-US" w:eastAsia="zh-CN" w:bidi="ar-SA"/>
              </w:rPr>
              <w:t>（</w:t>
            </w:r>
            <w:r>
              <w:rPr>
                <w:rFonts w:hint="eastAsia" w:ascii="Times New Roman" w:hAnsi="Times New Roman" w:eastAsia="仿宋_GB2312" w:cs="Times New Roman"/>
                <w:color w:val="auto"/>
                <w:kern w:val="2"/>
                <w:sz w:val="24"/>
                <w:szCs w:val="24"/>
                <w:lang w:val="en-US" w:eastAsia="zh-CN" w:bidi="ar-SA"/>
              </w:rPr>
              <w:t>3）</w:t>
            </w:r>
            <w:r>
              <w:rPr>
                <w:rFonts w:hint="default" w:ascii="Times New Roman" w:hAnsi="Times New Roman" w:eastAsia="仿宋_GB2312" w:cs="Times New Roman"/>
                <w:color w:val="auto"/>
                <w:sz w:val="24"/>
                <w:szCs w:val="24"/>
                <w:highlight w:val="none"/>
                <w:lang w:val="en-US" w:eastAsia="zh-CN"/>
              </w:rPr>
              <w:t>图书馆密集架产品规格、参数及服务要求答疑联系人：鄂老师，0776-3889383</w:t>
            </w:r>
            <w:r>
              <w:rPr>
                <w:rFonts w:hint="eastAsia" w:ascii="Times New Roman" w:hAnsi="Times New Roman" w:eastAsia="仿宋_GB2312" w:cs="Times New Roman"/>
                <w:color w:val="auto"/>
                <w:sz w:val="24"/>
                <w:szCs w:val="24"/>
                <w:highlight w:val="none"/>
                <w:lang w:val="en-US" w:eastAsia="zh-CN"/>
              </w:rPr>
              <w:t>。</w:t>
            </w:r>
          </w:p>
        </w:tc>
      </w:tr>
    </w:tbl>
    <w:p w14:paraId="701C662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b w:val="0"/>
          <w:bCs w:val="0"/>
          <w:color w:val="000000"/>
          <w:sz w:val="32"/>
          <w:szCs w:val="32"/>
          <w:lang w:val="en-US" w:eastAsia="zh-CN"/>
        </w:rPr>
      </w:pPr>
    </w:p>
    <w:p w14:paraId="3106146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报价单位（公章）：</w:t>
      </w:r>
    </w:p>
    <w:p w14:paraId="49B96AE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法定代表人或委托代理人签字：</w:t>
      </w:r>
    </w:p>
    <w:p w14:paraId="4BE1E03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公司地址：</w:t>
      </w:r>
    </w:p>
    <w:p w14:paraId="4361FDF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联系人及联系方式：</w:t>
      </w:r>
    </w:p>
    <w:p w14:paraId="0820A69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rPr>
          <w:rFonts w:hint="eastAsia" w:ascii="宋体" w:hAnsi="宋体" w:eastAsia="宋体" w:cs="宋体"/>
          <w:sz w:val="28"/>
          <w:szCs w:val="28"/>
        </w:rPr>
      </w:pPr>
      <w:r>
        <w:rPr>
          <w:rFonts w:hint="eastAsia" w:ascii="仿宋_GB2312" w:hAnsi="仿宋_GB2312" w:eastAsia="仿宋_GB2312" w:cs="仿宋_GB2312"/>
          <w:b w:val="0"/>
          <w:bCs w:val="0"/>
          <w:color w:val="000000"/>
          <w:sz w:val="32"/>
          <w:szCs w:val="32"/>
          <w:lang w:val="en-US" w:eastAsia="zh-CN"/>
        </w:rPr>
        <w:t>日  期</w:t>
      </w:r>
      <w:r>
        <w:rPr>
          <w:rFonts w:hint="eastAsia" w:ascii="仿宋_GB2312" w:hAnsi="仿宋_GB2312" w:eastAsia="仿宋_GB2312" w:cs="仿宋_GB2312"/>
          <w:b w:val="0"/>
          <w:bCs w:val="0"/>
          <w:color w:val="000000"/>
          <w:sz w:val="32"/>
          <w:szCs w:val="32"/>
          <w:lang w:val="en" w:eastAsia="zh-CN"/>
        </w:rPr>
        <w:t>：</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 w:eastAsia="zh-CN"/>
        </w:rPr>
        <w:t>年</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 w:eastAsia="zh-CN"/>
        </w:rPr>
        <w:t>月</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lang w:val="en" w:eastAsia="zh-CN"/>
        </w:rPr>
        <w:t>日</w:t>
      </w:r>
    </w:p>
    <w:sectPr>
      <w:footerReference r:id="rId3" w:type="default"/>
      <w:pgSz w:w="11906" w:h="16838"/>
      <w:pgMar w:top="1928" w:right="1531" w:bottom="1701" w:left="1531" w:header="850" w:footer="96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F04D5A-32C3-4172-9F4C-E4AE3DE5EF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755DF1E-8849-4193-9C7F-5A6CE6E96D6A}"/>
  </w:font>
  <w:font w:name="方正小标宋简体">
    <w:panose1 w:val="03000509000000000000"/>
    <w:charset w:val="86"/>
    <w:family w:val="auto"/>
    <w:pitch w:val="default"/>
    <w:sig w:usb0="00000001" w:usb1="080E0000" w:usb2="00000000" w:usb3="00000000" w:csb0="00040000" w:csb1="00000000"/>
    <w:embedRegular r:id="rId3" w:fontKey="{5E87DE2C-AE2A-49BB-8425-FD0B9A552608}"/>
  </w:font>
  <w:font w:name="仿宋_GB2312">
    <w:panose1 w:val="02010609030101010101"/>
    <w:charset w:val="86"/>
    <w:family w:val="auto"/>
    <w:pitch w:val="default"/>
    <w:sig w:usb0="00000001" w:usb1="080E0000" w:usb2="00000000" w:usb3="00000000" w:csb0="00040000" w:csb1="00000000"/>
    <w:embedRegular r:id="rId4" w:fontKey="{6A11412B-C806-4E4D-9412-6778C5EC0B11}"/>
  </w:font>
  <w:font w:name="Wingdings 2">
    <w:panose1 w:val="05020102010507070707"/>
    <w:charset w:val="02"/>
    <w:family w:val="auto"/>
    <w:pitch w:val="default"/>
    <w:sig w:usb0="00000000" w:usb1="00000000" w:usb2="00000000" w:usb3="00000000" w:csb0="80000000" w:csb1="00000000"/>
    <w:embedRegular r:id="rId5" w:fontKey="{A67D2599-2267-4CDF-B17C-8A388628DD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556B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1094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61094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B05AC8"/>
    <w:rsid w:val="00B71F65"/>
    <w:rsid w:val="01690CCE"/>
    <w:rsid w:val="03B83EAC"/>
    <w:rsid w:val="05617024"/>
    <w:rsid w:val="068D1E80"/>
    <w:rsid w:val="068F128E"/>
    <w:rsid w:val="07463C14"/>
    <w:rsid w:val="0DC827EF"/>
    <w:rsid w:val="0E2F75DE"/>
    <w:rsid w:val="0EA15BC2"/>
    <w:rsid w:val="0F2E0AAD"/>
    <w:rsid w:val="109B0E02"/>
    <w:rsid w:val="138C102F"/>
    <w:rsid w:val="139B74C4"/>
    <w:rsid w:val="13E24EB5"/>
    <w:rsid w:val="19BB4151"/>
    <w:rsid w:val="1CB05AC8"/>
    <w:rsid w:val="2ACE130E"/>
    <w:rsid w:val="3371744F"/>
    <w:rsid w:val="343E6FAE"/>
    <w:rsid w:val="368021C0"/>
    <w:rsid w:val="36DF7C37"/>
    <w:rsid w:val="377B3C87"/>
    <w:rsid w:val="37F03617"/>
    <w:rsid w:val="3BD464B7"/>
    <w:rsid w:val="3D316309"/>
    <w:rsid w:val="3D5A258B"/>
    <w:rsid w:val="3F897EE7"/>
    <w:rsid w:val="410D755C"/>
    <w:rsid w:val="42844669"/>
    <w:rsid w:val="47C14269"/>
    <w:rsid w:val="4832372A"/>
    <w:rsid w:val="48827809"/>
    <w:rsid w:val="4909356E"/>
    <w:rsid w:val="491830F6"/>
    <w:rsid w:val="49D03A26"/>
    <w:rsid w:val="4BAB76DC"/>
    <w:rsid w:val="515C3066"/>
    <w:rsid w:val="522C569E"/>
    <w:rsid w:val="57307089"/>
    <w:rsid w:val="59D80152"/>
    <w:rsid w:val="5E6152EE"/>
    <w:rsid w:val="60BC1620"/>
    <w:rsid w:val="620D6DAC"/>
    <w:rsid w:val="66BC4EDE"/>
    <w:rsid w:val="67391EA0"/>
    <w:rsid w:val="676217A2"/>
    <w:rsid w:val="67C21B45"/>
    <w:rsid w:val="68907DEF"/>
    <w:rsid w:val="6D8345CF"/>
    <w:rsid w:val="6E596043"/>
    <w:rsid w:val="70CE4EA1"/>
    <w:rsid w:val="71602412"/>
    <w:rsid w:val="71B00A1D"/>
    <w:rsid w:val="75A0231E"/>
    <w:rsid w:val="79A43BFB"/>
    <w:rsid w:val="7A4D1621"/>
    <w:rsid w:val="7B762E74"/>
    <w:rsid w:val="7D0A6F28"/>
    <w:rsid w:val="7D3E2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4953</Words>
  <Characters>5813</Characters>
  <Lines>0</Lines>
  <Paragraphs>0</Paragraphs>
  <TotalTime>0</TotalTime>
  <ScaleCrop>false</ScaleCrop>
  <LinksUpToDate>false</LinksUpToDate>
  <CharactersWithSpaces>5873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2026-07-02T01:25:00Z</dcterms:created>
  <dc:creator>小黄</dc:creator>
  <cp:lastModifiedBy>小黄</cp:lastModifiedBy>
  <dcterms:modified xsi:type="dcterms:W3CDTF">2026-07-20T00:08:22Z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C56617172B0D4A26B2352B6131FBF400_13</vt:lpwstr>
  </property>
  <property fmtid="{D5CDD505-2E9C-101B-9397-08002B2CF9AE}" pid="4" name="KSOTemplateDocerSaveRecord">
    <vt:lpwstr>eyJoZGlkIjoiMjU1MTQ4NDFiODE5MDg0YjkxNDZmNTdhZDhhMjkxZGQiLCJ1c2VySWQiOiIxMDgzNTQwNTk4In0=</vt:lpwstr>
  </property>
</Properties>
</file>