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387B8" w14:textId="262DCF09" w:rsidR="00207EF1" w:rsidRDefault="004B5A65">
      <w:pPr>
        <w:jc w:val="center"/>
        <w:rPr>
          <w:sz w:val="36"/>
          <w:szCs w:val="36"/>
        </w:rPr>
      </w:pPr>
      <w:r>
        <w:rPr>
          <w:rFonts w:hint="eastAsia"/>
          <w:sz w:val="36"/>
          <w:szCs w:val="36"/>
        </w:rPr>
        <w:t>具体采购技术参数及商务要求</w:t>
      </w:r>
    </w:p>
    <w:tbl>
      <w:tblPr>
        <w:tblpPr w:leftFromText="180" w:rightFromText="180" w:vertAnchor="text" w:horzAnchor="page" w:tblpX="1066" w:tblpY="300"/>
        <w:tblOverlap w:val="never"/>
        <w:tblW w:w="10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818"/>
        <w:gridCol w:w="1070"/>
        <w:gridCol w:w="7303"/>
        <w:gridCol w:w="693"/>
      </w:tblGrid>
      <w:tr w:rsidR="00207EF1" w14:paraId="7EF2330B" w14:textId="77777777">
        <w:trPr>
          <w:trHeight w:val="590"/>
        </w:trPr>
        <w:tc>
          <w:tcPr>
            <w:tcW w:w="523" w:type="dxa"/>
            <w:tcBorders>
              <w:top w:val="single" w:sz="4" w:space="0" w:color="auto"/>
              <w:left w:val="single" w:sz="4" w:space="0" w:color="auto"/>
              <w:bottom w:val="single" w:sz="4" w:space="0" w:color="auto"/>
              <w:right w:val="single" w:sz="4" w:space="0" w:color="auto"/>
            </w:tcBorders>
            <w:vAlign w:val="center"/>
          </w:tcPr>
          <w:p w14:paraId="4198E797" w14:textId="77777777" w:rsidR="00207EF1" w:rsidRDefault="004B5A65">
            <w:pPr>
              <w:jc w:val="center"/>
              <w:rPr>
                <w:rFonts w:ascii="宋体" w:hAnsi="宋体"/>
                <w:szCs w:val="21"/>
              </w:rPr>
            </w:pPr>
            <w:r>
              <w:rPr>
                <w:rFonts w:ascii="宋体" w:hAnsi="宋体" w:hint="eastAsia"/>
                <w:szCs w:val="21"/>
              </w:rPr>
              <w:t>序号</w:t>
            </w:r>
          </w:p>
        </w:tc>
        <w:tc>
          <w:tcPr>
            <w:tcW w:w="818" w:type="dxa"/>
            <w:tcBorders>
              <w:top w:val="single" w:sz="4" w:space="0" w:color="auto"/>
              <w:left w:val="single" w:sz="4" w:space="0" w:color="auto"/>
              <w:bottom w:val="single" w:sz="4" w:space="0" w:color="auto"/>
              <w:right w:val="single" w:sz="4" w:space="0" w:color="auto"/>
            </w:tcBorders>
            <w:vAlign w:val="center"/>
          </w:tcPr>
          <w:p w14:paraId="617D903C" w14:textId="77777777" w:rsidR="00207EF1" w:rsidRDefault="004B5A65">
            <w:pPr>
              <w:jc w:val="center"/>
              <w:rPr>
                <w:rFonts w:ascii="宋体" w:hAnsi="宋体"/>
                <w:szCs w:val="21"/>
              </w:rPr>
            </w:pPr>
            <w:r>
              <w:rPr>
                <w:rFonts w:ascii="宋体" w:hAnsi="宋体" w:hint="eastAsia"/>
                <w:szCs w:val="21"/>
              </w:rPr>
              <w:t>设备名称</w:t>
            </w:r>
          </w:p>
        </w:tc>
        <w:tc>
          <w:tcPr>
            <w:tcW w:w="1070" w:type="dxa"/>
            <w:tcBorders>
              <w:top w:val="single" w:sz="4" w:space="0" w:color="auto"/>
              <w:left w:val="single" w:sz="4" w:space="0" w:color="auto"/>
              <w:bottom w:val="single" w:sz="4" w:space="0" w:color="auto"/>
              <w:right w:val="single" w:sz="4" w:space="0" w:color="auto"/>
            </w:tcBorders>
            <w:vAlign w:val="center"/>
          </w:tcPr>
          <w:p w14:paraId="52FE3877" w14:textId="77777777" w:rsidR="00207EF1" w:rsidRDefault="004B5A65">
            <w:pPr>
              <w:jc w:val="center"/>
              <w:rPr>
                <w:rFonts w:ascii="宋体" w:hAnsi="宋体"/>
                <w:szCs w:val="21"/>
              </w:rPr>
            </w:pPr>
            <w:r>
              <w:rPr>
                <w:rFonts w:ascii="宋体" w:eastAsia="宋体" w:hAnsi="宋体" w:cs="宋体" w:hint="eastAsia"/>
                <w:color w:val="000000"/>
                <w:kern w:val="0"/>
                <w:sz w:val="22"/>
              </w:rPr>
              <w:t>品牌型号</w:t>
            </w:r>
          </w:p>
        </w:tc>
        <w:tc>
          <w:tcPr>
            <w:tcW w:w="7303" w:type="dxa"/>
            <w:tcBorders>
              <w:top w:val="single" w:sz="4" w:space="0" w:color="auto"/>
              <w:left w:val="single" w:sz="4" w:space="0" w:color="auto"/>
              <w:bottom w:val="single" w:sz="4" w:space="0" w:color="auto"/>
              <w:right w:val="single" w:sz="4" w:space="0" w:color="auto"/>
            </w:tcBorders>
            <w:vAlign w:val="center"/>
          </w:tcPr>
          <w:p w14:paraId="31FDF2DC" w14:textId="77777777" w:rsidR="00207EF1" w:rsidRDefault="004B5A65">
            <w:pPr>
              <w:ind w:left="180"/>
              <w:jc w:val="center"/>
              <w:rPr>
                <w:rFonts w:ascii="宋体" w:hAnsi="宋体"/>
                <w:szCs w:val="21"/>
              </w:rPr>
            </w:pPr>
            <w:r>
              <w:rPr>
                <w:rFonts w:ascii="宋体" w:hAnsi="宋体" w:hint="eastAsia"/>
                <w:szCs w:val="21"/>
              </w:rPr>
              <w:t>配置或技术参数</w:t>
            </w:r>
          </w:p>
        </w:tc>
        <w:tc>
          <w:tcPr>
            <w:tcW w:w="693" w:type="dxa"/>
            <w:tcBorders>
              <w:top w:val="single" w:sz="4" w:space="0" w:color="auto"/>
              <w:left w:val="single" w:sz="4" w:space="0" w:color="auto"/>
              <w:bottom w:val="single" w:sz="4" w:space="0" w:color="auto"/>
              <w:right w:val="single" w:sz="4" w:space="0" w:color="auto"/>
            </w:tcBorders>
            <w:vAlign w:val="center"/>
          </w:tcPr>
          <w:p w14:paraId="5C540671" w14:textId="77777777" w:rsidR="00207EF1" w:rsidRDefault="004B5A65">
            <w:pPr>
              <w:rPr>
                <w:rFonts w:ascii="宋体" w:hAnsi="宋体"/>
                <w:szCs w:val="21"/>
              </w:rPr>
            </w:pPr>
            <w:r>
              <w:rPr>
                <w:rFonts w:ascii="宋体" w:hAnsi="宋体" w:hint="eastAsia"/>
                <w:szCs w:val="21"/>
              </w:rPr>
              <w:t>数量</w:t>
            </w:r>
          </w:p>
        </w:tc>
      </w:tr>
      <w:tr w:rsidR="00207EF1" w14:paraId="62CF94F3" w14:textId="77777777">
        <w:trPr>
          <w:trHeight w:val="590"/>
        </w:trPr>
        <w:tc>
          <w:tcPr>
            <w:tcW w:w="523" w:type="dxa"/>
            <w:tcBorders>
              <w:top w:val="single" w:sz="4" w:space="0" w:color="auto"/>
              <w:left w:val="single" w:sz="4" w:space="0" w:color="auto"/>
              <w:bottom w:val="single" w:sz="4" w:space="0" w:color="auto"/>
              <w:right w:val="single" w:sz="4" w:space="0" w:color="auto"/>
            </w:tcBorders>
            <w:vAlign w:val="center"/>
          </w:tcPr>
          <w:p w14:paraId="3E76A4FA" w14:textId="77777777" w:rsidR="00207EF1" w:rsidRDefault="004B5A65">
            <w:pPr>
              <w:autoSpaceDN w:val="0"/>
              <w:jc w:val="center"/>
              <w:textAlignment w:val="center"/>
              <w:rPr>
                <w:rFonts w:ascii="宋体" w:hAnsi="宋体"/>
                <w:color w:val="000000"/>
                <w:szCs w:val="21"/>
              </w:rPr>
            </w:pPr>
            <w:r>
              <w:rPr>
                <w:rFonts w:ascii="宋体" w:hAnsi="宋体" w:hint="eastAsia"/>
                <w:color w:val="000000"/>
                <w:szCs w:val="21"/>
              </w:rPr>
              <w:t>1</w:t>
            </w:r>
          </w:p>
        </w:tc>
        <w:tc>
          <w:tcPr>
            <w:tcW w:w="818" w:type="dxa"/>
            <w:tcBorders>
              <w:top w:val="single" w:sz="4" w:space="0" w:color="auto"/>
              <w:left w:val="single" w:sz="4" w:space="0" w:color="auto"/>
              <w:bottom w:val="single" w:sz="4" w:space="0" w:color="auto"/>
              <w:right w:val="single" w:sz="4" w:space="0" w:color="auto"/>
            </w:tcBorders>
            <w:vAlign w:val="center"/>
          </w:tcPr>
          <w:p w14:paraId="1C2BE861" w14:textId="77777777" w:rsidR="00207EF1" w:rsidRDefault="004B5A65">
            <w:pPr>
              <w:widowControl/>
              <w:jc w:val="left"/>
              <w:rPr>
                <w:rFonts w:ascii="宋体" w:hAnsi="宋体"/>
                <w:color w:val="000000"/>
                <w:szCs w:val="21"/>
              </w:rPr>
            </w:pPr>
            <w:r>
              <w:rPr>
                <w:rFonts w:ascii="宋体" w:eastAsia="宋体" w:hAnsi="宋体" w:cs="宋体" w:hint="eastAsia"/>
                <w:kern w:val="0"/>
                <w:sz w:val="24"/>
              </w:rPr>
              <w:t>教师</w:t>
            </w:r>
            <w:r>
              <w:rPr>
                <w:rFonts w:ascii="宋体" w:hAnsi="宋体" w:hint="eastAsia"/>
                <w:color w:val="000000"/>
                <w:sz w:val="24"/>
              </w:rPr>
              <w:t>计算机</w:t>
            </w:r>
          </w:p>
        </w:tc>
        <w:tc>
          <w:tcPr>
            <w:tcW w:w="1070" w:type="dxa"/>
            <w:tcBorders>
              <w:top w:val="single" w:sz="4" w:space="0" w:color="auto"/>
              <w:left w:val="single" w:sz="4" w:space="0" w:color="auto"/>
              <w:bottom w:val="single" w:sz="4" w:space="0" w:color="auto"/>
              <w:right w:val="single" w:sz="4" w:space="0" w:color="auto"/>
            </w:tcBorders>
            <w:vAlign w:val="center"/>
          </w:tcPr>
          <w:p w14:paraId="29F57565" w14:textId="77777777" w:rsidR="00207EF1" w:rsidRDefault="004B5A65">
            <w:pPr>
              <w:autoSpaceDN w:val="0"/>
              <w:ind w:left="210" w:hangingChars="100" w:hanging="210"/>
              <w:textAlignment w:val="center"/>
              <w:rPr>
                <w:rFonts w:ascii="宋体" w:hAnsi="宋体"/>
                <w:color w:val="000000"/>
                <w:szCs w:val="21"/>
              </w:rPr>
            </w:pPr>
            <w:proofErr w:type="gramStart"/>
            <w:r>
              <w:rPr>
                <w:rFonts w:ascii="宋体" w:hAnsi="宋体" w:hint="eastAsia"/>
                <w:color w:val="000000"/>
                <w:szCs w:val="21"/>
              </w:rPr>
              <w:t>智微华</w:t>
            </w:r>
            <w:proofErr w:type="gramEnd"/>
            <w:r>
              <w:rPr>
                <w:rFonts w:ascii="宋体" w:hAnsi="宋体" w:hint="eastAsia"/>
                <w:color w:val="000000"/>
                <w:szCs w:val="21"/>
              </w:rPr>
              <w:t>光E700</w:t>
            </w:r>
          </w:p>
        </w:tc>
        <w:tc>
          <w:tcPr>
            <w:tcW w:w="7303" w:type="dxa"/>
            <w:tcBorders>
              <w:top w:val="single" w:sz="4" w:space="0" w:color="auto"/>
              <w:left w:val="single" w:sz="4" w:space="0" w:color="auto"/>
              <w:bottom w:val="single" w:sz="4" w:space="0" w:color="auto"/>
              <w:right w:val="single" w:sz="4" w:space="0" w:color="auto"/>
            </w:tcBorders>
            <w:vAlign w:val="center"/>
          </w:tcPr>
          <w:p w14:paraId="75A62010"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一、参数要求：</w:t>
            </w:r>
          </w:p>
          <w:p w14:paraId="671C8323"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1、★处理器：采用英特尔第十三代处理器i5-13400（核心≥10核,主频≥2.5GHz）；</w:t>
            </w:r>
          </w:p>
          <w:p w14:paraId="6429DAF6"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2、内存：配置≥32GB DDR4内存，内存读写速率≥3200MT/s，不少于2根内存插槽，内存插槽满配时提供的最高内存容量≥64GB；</w:t>
            </w:r>
          </w:p>
          <w:p w14:paraId="0BCE73C5"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3、硬盘：≥1TB M.2接口SSD固态硬盘，支持混合硬盘，有硬盘减震功能；</w:t>
            </w:r>
          </w:p>
          <w:p w14:paraId="3A929E70"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4、显卡：GTX1650 4G独立显卡；</w:t>
            </w:r>
          </w:p>
          <w:p w14:paraId="614F57EB"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5、★主板：</w:t>
            </w:r>
            <w:proofErr w:type="spellStart"/>
            <w:r>
              <w:rPr>
                <w:rFonts w:ascii="宋体" w:hAnsi="宋体" w:hint="eastAsia"/>
                <w:szCs w:val="21"/>
              </w:rPr>
              <w:t>IntelH</w:t>
            </w:r>
            <w:proofErr w:type="spellEnd"/>
            <w:r>
              <w:rPr>
                <w:rFonts w:ascii="宋体" w:hAnsi="宋体" w:hint="eastAsia"/>
                <w:szCs w:val="21"/>
              </w:rPr>
              <w:t>系列及以上芯片组,与主机同品牌；视频接口不少于2个，至少具备1个数字接口，所有接口非转接；M.2插槽≥2个；≥1个PCI-E*16、≥1个PCI-E*1；主板原生支持至少1个PS/2；主板集成10/100M/1000M 自适应以太网卡，原厂可配置同品牌网络防雷器，有网络端口防雷功能，</w:t>
            </w:r>
            <w:r>
              <w:rPr>
                <w:rFonts w:ascii="宋体" w:hAnsi="宋体" w:cs="宋体" w:hint="eastAsia"/>
                <w:color w:val="000000"/>
                <w:kern w:val="0"/>
                <w:sz w:val="22"/>
                <w:szCs w:val="22"/>
                <w:lang w:bidi="ar"/>
              </w:rPr>
              <w:t>提供第三方权威检测机构出具的具备 CNAS标识的同品牌防雷器检测报告复印件并加盖投标人公章</w:t>
            </w:r>
            <w:r>
              <w:rPr>
                <w:rFonts w:ascii="宋体" w:hAnsi="宋体" w:hint="eastAsia"/>
                <w:szCs w:val="21"/>
              </w:rPr>
              <w:t xml:space="preserve">；  </w:t>
            </w:r>
          </w:p>
          <w:p w14:paraId="07063539"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6、显示器：同品牌，显示屏尺寸≥27英寸，</w:t>
            </w:r>
            <w:proofErr w:type="gramStart"/>
            <w:r>
              <w:rPr>
                <w:rFonts w:ascii="宋体" w:hAnsi="宋体" w:hint="eastAsia"/>
                <w:szCs w:val="21"/>
              </w:rPr>
              <w:t>显示屏屏占比</w:t>
            </w:r>
            <w:proofErr w:type="gramEnd"/>
            <w:r>
              <w:rPr>
                <w:rFonts w:ascii="宋体" w:hAnsi="宋体" w:hint="eastAsia"/>
                <w:szCs w:val="21"/>
              </w:rPr>
              <w:t>≥80%，显示屏像素密度≥90像素/英寸，显示屏可视角度水平≥178°，显示屏防蓝光支持防蓝光模式，蓝光加权辐射亮度比应≤0.0012W/(·cd·</w:t>
            </w:r>
            <w:proofErr w:type="spellStart"/>
            <w:r>
              <w:rPr>
                <w:rFonts w:ascii="宋体" w:hAnsi="宋体" w:hint="eastAsia"/>
                <w:szCs w:val="21"/>
              </w:rPr>
              <w:t>sr</w:t>
            </w:r>
            <w:proofErr w:type="spellEnd"/>
            <w:r>
              <w:rPr>
                <w:rFonts w:ascii="宋体" w:hAnsi="宋体" w:hint="eastAsia"/>
                <w:szCs w:val="21"/>
              </w:rPr>
              <w:t>)（</w:t>
            </w:r>
            <w:proofErr w:type="gramStart"/>
            <w:r>
              <w:rPr>
                <w:rFonts w:ascii="宋体" w:hAnsi="宋体" w:hint="eastAsia"/>
                <w:szCs w:val="21"/>
              </w:rPr>
              <w:t>瓦每坎特拉每球面</w:t>
            </w:r>
            <w:proofErr w:type="gramEnd"/>
            <w:r>
              <w:rPr>
                <w:rFonts w:ascii="宋体" w:hAnsi="宋体" w:hint="eastAsia"/>
                <w:szCs w:val="21"/>
              </w:rPr>
              <w:t>度），显示屏低频</w:t>
            </w:r>
            <w:proofErr w:type="gramStart"/>
            <w:r>
              <w:rPr>
                <w:rFonts w:ascii="宋体" w:hAnsi="宋体" w:hint="eastAsia"/>
                <w:szCs w:val="21"/>
              </w:rPr>
              <w:t>闪</w:t>
            </w:r>
            <w:proofErr w:type="gramEnd"/>
            <w:r>
              <w:rPr>
                <w:rFonts w:ascii="宋体" w:hAnsi="宋体" w:hint="eastAsia"/>
                <w:szCs w:val="21"/>
              </w:rPr>
              <w:t>显示屏应支持低频闪≤-35dB，显示屏防炫目显示屏镜面反射率≤10%，显示屏刷新率≥75Hz，显示屏位深≥8 位，</w:t>
            </w:r>
            <w:proofErr w:type="gramStart"/>
            <w:r>
              <w:rPr>
                <w:rFonts w:ascii="宋体" w:hAnsi="宋体" w:hint="eastAsia"/>
                <w:szCs w:val="21"/>
              </w:rPr>
              <w:t>显示屏色域</w:t>
            </w:r>
            <w:proofErr w:type="gramEnd"/>
            <w:r>
              <w:rPr>
                <w:rFonts w:ascii="宋体" w:hAnsi="宋体" w:hint="eastAsia"/>
                <w:szCs w:val="21"/>
              </w:rPr>
              <w:t>≥99%  sRGB，</w:t>
            </w:r>
            <w:proofErr w:type="gramStart"/>
            <w:r>
              <w:rPr>
                <w:rFonts w:ascii="宋体" w:hAnsi="宋体" w:hint="eastAsia"/>
                <w:szCs w:val="21"/>
              </w:rPr>
              <w:t>显示屏色准</w:t>
            </w:r>
            <w:proofErr w:type="gramEnd"/>
            <w:r>
              <w:rPr>
                <w:rFonts w:ascii="宋体" w:hAnsi="宋体" w:hint="eastAsia"/>
                <w:szCs w:val="21"/>
              </w:rPr>
              <w:t>△E≤4，显示屏响应时间≤8ms，显示屏亮度≥250 尼特，显示屏亮度一致性≥75%，显示屏对比度≥1000：1；</w:t>
            </w:r>
          </w:p>
          <w:p w14:paraId="67D598AE"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7、键鼠：同品牌USB光电鼠标、键盘，键盘防水且</w:t>
            </w:r>
            <w:proofErr w:type="gramStart"/>
            <w:r>
              <w:rPr>
                <w:rFonts w:ascii="宋体" w:hAnsi="宋体" w:hint="eastAsia"/>
                <w:szCs w:val="21"/>
              </w:rPr>
              <w:t>自带导水孔</w:t>
            </w:r>
            <w:proofErr w:type="gramEnd"/>
            <w:r>
              <w:rPr>
                <w:rFonts w:ascii="宋体" w:hAnsi="宋体" w:hint="eastAsia"/>
                <w:szCs w:val="21"/>
              </w:rPr>
              <w:t>；</w:t>
            </w:r>
          </w:p>
          <w:p w14:paraId="2D1BFEBE"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8、外观安全设计：机箱前置面板设计网络通讯指示灯，顶置电源开关，机箱侧板、硬盘、光驱、预留机箱挂锁，硬件安全有保障；PCIE 挡板指示标识设计，扩展卡</w:t>
            </w:r>
            <w:proofErr w:type="gramStart"/>
            <w:r>
              <w:rPr>
                <w:rFonts w:ascii="宋体" w:hAnsi="宋体" w:hint="eastAsia"/>
                <w:szCs w:val="21"/>
              </w:rPr>
              <w:t>免工具</w:t>
            </w:r>
            <w:proofErr w:type="gramEnd"/>
            <w:r>
              <w:rPr>
                <w:rFonts w:ascii="宋体" w:hAnsi="宋体" w:hint="eastAsia"/>
                <w:szCs w:val="21"/>
              </w:rPr>
              <w:t>拆卸；</w:t>
            </w:r>
          </w:p>
          <w:p w14:paraId="4BAAA544"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9、机箱：机型体积不小于8L，需具备前置至少1个网络故障指示灯，便于快速诊断网络连接状态；USB接口总数≥8个(至少4个USB3.2接口)；整机防尘等级不低于国际标准IP5X级；</w:t>
            </w:r>
          </w:p>
          <w:p w14:paraId="5A0355EE"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10、电源：≥300W节能电源；</w:t>
            </w:r>
          </w:p>
          <w:p w14:paraId="0D906D3E" w14:textId="77777777" w:rsidR="00207EF1" w:rsidRDefault="004B5A65">
            <w:r>
              <w:rPr>
                <w:rFonts w:ascii="宋体" w:hAnsi="宋体" w:hint="eastAsia"/>
                <w:szCs w:val="21"/>
              </w:rPr>
              <w:t>二、配套正版浏览器，要求：</w:t>
            </w:r>
            <w:r>
              <w:rPr>
                <w:rFonts w:ascii="宋体" w:hAnsi="宋体" w:hint="eastAsia"/>
                <w:szCs w:val="21"/>
              </w:rPr>
              <w:br/>
            </w:r>
            <w:r>
              <w:rPr>
                <w:rFonts w:hint="eastAsia"/>
              </w:rPr>
              <w:t>1</w:t>
            </w:r>
            <w:r>
              <w:rPr>
                <w:rFonts w:hint="eastAsia"/>
              </w:rPr>
              <w:t>、浏览器支持主流国产操作系统，包括</w:t>
            </w:r>
            <w:r>
              <w:t>UOS</w:t>
            </w:r>
            <w:r>
              <w:t>、麒麟、中科方德等</w:t>
            </w:r>
            <w:r>
              <w:rPr>
                <w:rFonts w:hint="eastAsia"/>
              </w:rPr>
              <w:t>，</w:t>
            </w:r>
            <w:r>
              <w:t>支持主流国产</w:t>
            </w:r>
            <w:r>
              <w:t>CPU</w:t>
            </w:r>
            <w:r>
              <w:t>，包括兆芯、海光、鲲鹏、飞腾、龙芯、申威</w:t>
            </w:r>
            <w:r>
              <w:rPr>
                <w:rFonts w:hint="eastAsia"/>
              </w:rPr>
              <w:t>，支持</w:t>
            </w:r>
            <w:r>
              <w:t>Windows XP</w:t>
            </w:r>
            <w:r>
              <w:t>、</w:t>
            </w:r>
            <w:r>
              <w:t>Windows 7</w:t>
            </w:r>
            <w:r>
              <w:t>、</w:t>
            </w:r>
            <w:r>
              <w:t>Windows 10,Windows11</w:t>
            </w:r>
            <w:r>
              <w:t>等操作系统</w:t>
            </w:r>
            <w:r>
              <w:rPr>
                <w:rFonts w:hint="eastAsia"/>
              </w:rPr>
              <w:t>的部署环境</w:t>
            </w:r>
            <w:r>
              <w:t>。</w:t>
            </w:r>
          </w:p>
          <w:p w14:paraId="566428A1" w14:textId="77777777" w:rsidR="00207EF1" w:rsidRDefault="004B5A65">
            <w:r>
              <w:rPr>
                <w:rFonts w:hint="eastAsia"/>
              </w:rPr>
              <w:t>2</w:t>
            </w:r>
            <w:r>
              <w:rPr>
                <w:rFonts w:hint="eastAsia"/>
              </w:rPr>
              <w:t>、要求厂商拥有自有根证书库，同时支持</w:t>
            </w:r>
            <w:r>
              <w:t>RSA</w:t>
            </w:r>
            <w:r>
              <w:t>和</w:t>
            </w:r>
            <w:r>
              <w:t>SM2</w:t>
            </w:r>
            <w:r>
              <w:t>证书的入库</w:t>
            </w:r>
            <w:r>
              <w:rPr>
                <w:rFonts w:hint="eastAsia"/>
              </w:rPr>
              <w:t>。</w:t>
            </w:r>
          </w:p>
          <w:p w14:paraId="3671921F" w14:textId="77777777" w:rsidR="00207EF1" w:rsidRDefault="004B5A65">
            <w:r>
              <w:rPr>
                <w:rFonts w:hint="eastAsia"/>
              </w:rPr>
              <w:t>3</w:t>
            </w:r>
            <w:r>
              <w:rPr>
                <w:rFonts w:hint="eastAsia"/>
              </w:rPr>
              <w:t>、产品在《安可替代工程适配产品清单</w:t>
            </w:r>
            <w:r>
              <w:t>-</w:t>
            </w:r>
            <w:r>
              <w:t>密码产品</w:t>
            </w:r>
            <w:r>
              <w:t>-1-2022</w:t>
            </w:r>
            <w:r>
              <w:t>》</w:t>
            </w:r>
            <w:r>
              <w:t xml:space="preserve"> </w:t>
            </w:r>
            <w:r>
              <w:t>内操作系统已适配浏览器产品清单中。</w:t>
            </w:r>
          </w:p>
          <w:p w14:paraId="704AB583" w14:textId="77777777" w:rsidR="00207EF1" w:rsidRDefault="004B5A65">
            <w:r>
              <w:rPr>
                <w:rFonts w:hint="eastAsia"/>
              </w:rPr>
              <w:t>4</w:t>
            </w:r>
            <w:r>
              <w:rPr>
                <w:rFonts w:hint="eastAsia"/>
              </w:rPr>
              <w:t>、★支持用户收藏夹、选项页配置等数据同步管理，可实现切换设备后数据云端同步，支持由用户个性化设置与管理平台同步的数据类型。（提供产品功能截图证明）</w:t>
            </w:r>
          </w:p>
          <w:p w14:paraId="7FB7DFCB" w14:textId="77777777" w:rsidR="00207EF1" w:rsidRDefault="004B5A65">
            <w:r>
              <w:rPr>
                <w:rFonts w:hint="eastAsia"/>
              </w:rPr>
              <w:t>5</w:t>
            </w:r>
            <w:r>
              <w:rPr>
                <w:rFonts w:hint="eastAsia"/>
              </w:rPr>
              <w:t>、支持扩展加载，具备扩展商店，可通过扩展商店使用第三方扩展程序。</w:t>
            </w:r>
          </w:p>
          <w:p w14:paraId="3B3ACB73" w14:textId="77777777" w:rsidR="00207EF1" w:rsidRDefault="004B5A65">
            <w:r>
              <w:rPr>
                <w:rFonts w:hint="eastAsia"/>
              </w:rPr>
              <w:t>6</w:t>
            </w:r>
            <w:r>
              <w:rPr>
                <w:rFonts w:hint="eastAsia"/>
              </w:rPr>
              <w:t>、内置浏览器兼容性问题检测和修复工具，可通过工具化、自动化的手段针对目标</w:t>
            </w:r>
            <w:r>
              <w:t xml:space="preserve"> web </w:t>
            </w:r>
            <w:r>
              <w:t>页面基于</w:t>
            </w:r>
            <w:r>
              <w:t xml:space="preserve"> Chrome </w:t>
            </w:r>
            <w:r>
              <w:t>内核的兼容性指标进行</w:t>
            </w:r>
            <w:proofErr w:type="gramStart"/>
            <w:r>
              <w:t>多维度全量</w:t>
            </w:r>
            <w:proofErr w:type="gramEnd"/>
            <w:r>
              <w:t>检测、自动评估与报告输出，包括问题的原因解析、修复处理等方面。</w:t>
            </w:r>
          </w:p>
          <w:p w14:paraId="754D9501" w14:textId="77777777" w:rsidR="00207EF1" w:rsidRDefault="004B5A65">
            <w:r>
              <w:lastRenderedPageBreak/>
              <w:t>7</w:t>
            </w:r>
            <w:r>
              <w:rPr>
                <w:rFonts w:hint="eastAsia"/>
              </w:rPr>
              <w:t>、★支持跨平台推送消息和接入第三方消息通知，通过第三</w:t>
            </w:r>
            <w:proofErr w:type="gramStart"/>
            <w:r>
              <w:rPr>
                <w:rFonts w:hint="eastAsia"/>
              </w:rPr>
              <w:t>方应用</w:t>
            </w:r>
            <w:proofErr w:type="gramEnd"/>
            <w:r>
              <w:rPr>
                <w:rFonts w:hint="eastAsia"/>
              </w:rPr>
              <w:t>系统调用浏览器实现各</w:t>
            </w:r>
            <w:proofErr w:type="gramStart"/>
            <w:r>
              <w:rPr>
                <w:rFonts w:hint="eastAsia"/>
              </w:rPr>
              <w:t>类通知</w:t>
            </w:r>
            <w:proofErr w:type="gramEnd"/>
            <w:r>
              <w:rPr>
                <w:rFonts w:hint="eastAsia"/>
              </w:rPr>
              <w:t>的便捷管理与发送。（提供产品功能截图证明）</w:t>
            </w:r>
          </w:p>
          <w:p w14:paraId="36CAE9B8" w14:textId="77777777" w:rsidR="00207EF1" w:rsidRDefault="004B5A65">
            <w:r>
              <w:rPr>
                <w:rFonts w:hint="eastAsia"/>
              </w:rPr>
              <w:t>8</w:t>
            </w:r>
            <w:r>
              <w:rPr>
                <w:rFonts w:hint="eastAsia"/>
              </w:rPr>
              <w:t>、支持多级管理员角色添加，可由超级管理员创建下级管理员，并赋予该角色管理员功能范围、管理范围的权限；下级管理员可基于授予的功能范围和管理范围做</w:t>
            </w:r>
            <w:proofErr w:type="gramStart"/>
            <w:r>
              <w:rPr>
                <w:rFonts w:hint="eastAsia"/>
              </w:rPr>
              <w:t>子组织</w:t>
            </w:r>
            <w:proofErr w:type="gramEnd"/>
            <w:r>
              <w:rPr>
                <w:rFonts w:hint="eastAsia"/>
              </w:rPr>
              <w:t>的应用、设备及兼容和安全策略等管理，满足运</w:t>
            </w:r>
            <w:proofErr w:type="gramStart"/>
            <w:r>
              <w:rPr>
                <w:rFonts w:hint="eastAsia"/>
              </w:rPr>
              <w:t>维管理</w:t>
            </w:r>
            <w:proofErr w:type="gramEnd"/>
            <w:r>
              <w:rPr>
                <w:rFonts w:hint="eastAsia"/>
              </w:rPr>
              <w:t>权限下放需求。</w:t>
            </w:r>
          </w:p>
          <w:p w14:paraId="3A6B289C" w14:textId="77777777" w:rsidR="00207EF1" w:rsidRDefault="004B5A65">
            <w:r>
              <w:rPr>
                <w:rFonts w:hint="eastAsia"/>
              </w:rPr>
              <w:t>9</w:t>
            </w:r>
            <w:r>
              <w:rPr>
                <w:rFonts w:hint="eastAsia"/>
              </w:rPr>
              <w:t>、针对组织选择访问控制达到管</w:t>
            </w:r>
            <w:proofErr w:type="gramStart"/>
            <w:r>
              <w:rPr>
                <w:rFonts w:hint="eastAsia"/>
              </w:rPr>
              <w:t>控用户</w:t>
            </w:r>
            <w:proofErr w:type="gramEnd"/>
            <w:r>
              <w:rPr>
                <w:rFonts w:hint="eastAsia"/>
              </w:rPr>
              <w:t>使用浏览器时的访问控制设定，包括错</w:t>
            </w:r>
          </w:p>
          <w:p w14:paraId="4F6FA58D" w14:textId="77777777" w:rsidR="00207EF1" w:rsidRDefault="004B5A65">
            <w:proofErr w:type="gramStart"/>
            <w:r>
              <w:rPr>
                <w:rFonts w:hint="eastAsia"/>
              </w:rPr>
              <w:t>误页提示</w:t>
            </w:r>
            <w:proofErr w:type="gramEnd"/>
            <w:r>
              <w:rPr>
                <w:rFonts w:hint="eastAsia"/>
              </w:rPr>
              <w:t>、访问白名单、特定文件自动打开、搜索引擎统一管理、自定义首页、自定义</w:t>
            </w:r>
            <w:r>
              <w:t xml:space="preserve"> UA</w:t>
            </w:r>
            <w:r>
              <w:t>、代理服务器设置等。</w:t>
            </w:r>
          </w:p>
          <w:p w14:paraId="158D7697" w14:textId="77777777" w:rsidR="00207EF1" w:rsidRDefault="004B5A65">
            <w:r>
              <w:rPr>
                <w:rFonts w:hint="eastAsia"/>
              </w:rPr>
              <w:t>1</w:t>
            </w:r>
            <w:r>
              <w:t>0</w:t>
            </w:r>
            <w:r>
              <w:rPr>
                <w:rFonts w:hint="eastAsia"/>
              </w:rPr>
              <w:t>、支持</w:t>
            </w:r>
            <w:r>
              <w:t>chromium</w:t>
            </w:r>
            <w:r>
              <w:t>内核扩展的内网私有商店管理，可统一上传、管理、分发。支持基于全局或制定组织分发扩展，实现基于不同组织需求差异性管理。</w:t>
            </w:r>
          </w:p>
          <w:p w14:paraId="2020DDAB" w14:textId="77777777" w:rsidR="00207EF1" w:rsidRDefault="004B5A65">
            <w:r>
              <w:rPr>
                <w:rFonts w:hint="eastAsia"/>
              </w:rPr>
              <w:t>1</w:t>
            </w:r>
            <w:r>
              <w:t>1</w:t>
            </w:r>
            <w:r>
              <w:rPr>
                <w:rFonts w:hint="eastAsia"/>
              </w:rPr>
              <w:t>、设定</w:t>
            </w:r>
            <w:r>
              <w:t>JS</w:t>
            </w:r>
            <w:r>
              <w:t>访问</w:t>
            </w:r>
            <w:r>
              <w:t>cookie</w:t>
            </w:r>
            <w:r>
              <w:t>的接口的使用方式和使用范围，授权的网址应用可读取浏览器的</w:t>
            </w:r>
            <w:r>
              <w:t>cookie</w:t>
            </w:r>
            <w:r>
              <w:t>信息</w:t>
            </w:r>
            <w:r>
              <w:rPr>
                <w:rFonts w:hint="eastAsia"/>
              </w:rPr>
              <w:t>。</w:t>
            </w:r>
          </w:p>
          <w:p w14:paraId="5BD9A484" w14:textId="77777777" w:rsidR="00207EF1" w:rsidRDefault="004B5A65">
            <w:r>
              <w:rPr>
                <w:rFonts w:hint="eastAsia"/>
              </w:rPr>
              <w:t>1</w:t>
            </w:r>
            <w:r>
              <w:t>2</w:t>
            </w:r>
            <w:r>
              <w:rPr>
                <w:rFonts w:hint="eastAsia"/>
              </w:rPr>
              <w:t>、★支持富文本、</w:t>
            </w:r>
            <w:r>
              <w:t>HTML</w:t>
            </w:r>
            <w:r>
              <w:t>等方式创建个性化消息模板。</w:t>
            </w:r>
            <w:r>
              <w:rPr>
                <w:rFonts w:hint="eastAsia"/>
              </w:rPr>
              <w:t>（提供产品功能截图证明）</w:t>
            </w:r>
          </w:p>
          <w:p w14:paraId="3D1D5678" w14:textId="77777777" w:rsidR="00207EF1" w:rsidRDefault="004B5A65">
            <w:r>
              <w:t>13</w:t>
            </w:r>
            <w:r>
              <w:rPr>
                <w:rFonts w:hint="eastAsia"/>
              </w:rPr>
              <w:t>、具备组织管理功能，支持针对单个设备进行管理，包括设备的启用和禁用管理，设备与账号进行绑定，设备生效策略查看和修改，设备登录日志等查看。</w:t>
            </w:r>
          </w:p>
          <w:p w14:paraId="30E2A568" w14:textId="77777777" w:rsidR="00207EF1" w:rsidRDefault="004B5A65">
            <w:r>
              <w:rPr>
                <w:rFonts w:hint="eastAsia"/>
              </w:rPr>
              <w:t>1</w:t>
            </w:r>
            <w:r>
              <w:t>4</w:t>
            </w:r>
            <w:r>
              <w:rPr>
                <w:rFonts w:hint="eastAsia"/>
              </w:rPr>
              <w:t>、★具备崩溃管理功能，支持客户端崩溃信息自动上传到管理平台，管理平台可针对自动上传的崩溃信息进行管理，并支持崩溃信息、</w:t>
            </w:r>
            <w:r>
              <w:t>dump</w:t>
            </w:r>
            <w:r>
              <w:t>包的下载和导出</w:t>
            </w:r>
            <w:r>
              <w:rPr>
                <w:rFonts w:hint="eastAsia"/>
              </w:rPr>
              <w:t>。（提供产品功能截图证明）</w:t>
            </w:r>
          </w:p>
          <w:p w14:paraId="36CDEBB6" w14:textId="77777777" w:rsidR="00207EF1" w:rsidRDefault="004B5A65">
            <w:r>
              <w:rPr>
                <w:rFonts w:hint="eastAsia"/>
              </w:rPr>
              <w:t>1</w:t>
            </w:r>
            <w:r>
              <w:t>5</w:t>
            </w:r>
            <w:r>
              <w:rPr>
                <w:rFonts w:hint="eastAsia"/>
              </w:rPr>
              <w:t>、浏览器双内核同时支持</w:t>
            </w:r>
            <w:r>
              <w:t>SM2/SM3/SM4</w:t>
            </w:r>
            <w:proofErr w:type="gramStart"/>
            <w:r>
              <w:t>国密算法</w:t>
            </w:r>
            <w:proofErr w:type="gramEnd"/>
            <w:r>
              <w:t>和</w:t>
            </w:r>
            <w:r>
              <w:t>RSA</w:t>
            </w:r>
            <w:r>
              <w:t>等通过国际算法，以及</w:t>
            </w:r>
            <w:r>
              <w:t>SSL</w:t>
            </w:r>
            <w:r>
              <w:t>单双向安全协议，与</w:t>
            </w:r>
            <w:r>
              <w:t>Web</w:t>
            </w:r>
            <w:r>
              <w:t>服务器之间建立安全通道，保证</w:t>
            </w:r>
            <w:r>
              <w:t>Web</w:t>
            </w:r>
            <w:r>
              <w:t>网页访问的安全性。</w:t>
            </w:r>
          </w:p>
          <w:p w14:paraId="36BAC4FE" w14:textId="77777777" w:rsidR="00207EF1" w:rsidRDefault="004B5A65">
            <w:r>
              <w:rPr>
                <w:rFonts w:hint="eastAsia"/>
              </w:rPr>
              <w:t>支持</w:t>
            </w:r>
            <w:proofErr w:type="gramStart"/>
            <w:r>
              <w:rPr>
                <w:rFonts w:hint="eastAsia"/>
              </w:rPr>
              <w:t>基于国密</w:t>
            </w:r>
            <w:proofErr w:type="gramEnd"/>
            <w:r>
              <w:t>https</w:t>
            </w:r>
            <w:r>
              <w:t>站点和国际算法</w:t>
            </w:r>
            <w:r>
              <w:t>https</w:t>
            </w:r>
            <w:r>
              <w:t>站点的智能探测，自动切换通信协议。</w:t>
            </w:r>
          </w:p>
          <w:p w14:paraId="3E12B701" w14:textId="77777777" w:rsidR="00207EF1" w:rsidRDefault="004B5A65">
            <w:r>
              <w:rPr>
                <w:rFonts w:hint="eastAsia"/>
              </w:rPr>
              <w:t>1</w:t>
            </w:r>
            <w:r>
              <w:t>6</w:t>
            </w:r>
            <w:r>
              <w:rPr>
                <w:rFonts w:hint="eastAsia"/>
              </w:rPr>
              <w:t>、支持配置</w:t>
            </w:r>
            <w:proofErr w:type="gramStart"/>
            <w:r>
              <w:rPr>
                <w:rFonts w:hint="eastAsia"/>
              </w:rPr>
              <w:t>开启国密</w:t>
            </w:r>
            <w:proofErr w:type="gramEnd"/>
            <w:r>
              <w:rPr>
                <w:rFonts w:hint="eastAsia"/>
              </w:rPr>
              <w:t>通信功能，并可指定</w:t>
            </w:r>
            <w:proofErr w:type="gramStart"/>
            <w:r>
              <w:rPr>
                <w:rFonts w:hint="eastAsia"/>
              </w:rPr>
              <w:t>开启国密访问</w:t>
            </w:r>
            <w:proofErr w:type="gramEnd"/>
            <w:r>
              <w:rPr>
                <w:rFonts w:hint="eastAsia"/>
              </w:rPr>
              <w:t>的应用范围，支持</w:t>
            </w:r>
            <w:proofErr w:type="spellStart"/>
            <w:r>
              <w:t>rsa</w:t>
            </w:r>
            <w:proofErr w:type="spellEnd"/>
            <w:r>
              <w:t>证书和</w:t>
            </w:r>
            <w:r>
              <w:t>sm2</w:t>
            </w:r>
            <w:r>
              <w:t>证书的管理，可由管理员统一下发根证书或服务器证书。</w:t>
            </w:r>
          </w:p>
          <w:p w14:paraId="089F4C87" w14:textId="77777777" w:rsidR="00207EF1" w:rsidRDefault="004B5A65">
            <w:pPr>
              <w:rPr>
                <w:szCs w:val="21"/>
              </w:rPr>
            </w:pPr>
            <w:r>
              <w:rPr>
                <w:rFonts w:hint="eastAsia"/>
                <w:szCs w:val="21"/>
              </w:rPr>
              <w:t>1</w:t>
            </w:r>
            <w:r>
              <w:rPr>
                <w:szCs w:val="21"/>
              </w:rPr>
              <w:t>7</w:t>
            </w:r>
            <w:r>
              <w:rPr>
                <w:rFonts w:hint="eastAsia"/>
                <w:szCs w:val="21"/>
              </w:rPr>
              <w:t>、</w:t>
            </w:r>
            <w:r>
              <w:rPr>
                <w:rFonts w:cs="Times New Roman" w:hint="eastAsia"/>
                <w:szCs w:val="21"/>
              </w:rPr>
              <w:t>产品具备国家密码管理局颁发的商用密码产品型号证书或商用密码产品认证证书。</w:t>
            </w:r>
          </w:p>
          <w:p w14:paraId="20556CF2" w14:textId="77777777" w:rsidR="00207EF1" w:rsidRDefault="004B5A65">
            <w:r>
              <w:rPr>
                <w:rFonts w:hint="eastAsia"/>
              </w:rPr>
              <w:t>1</w:t>
            </w:r>
            <w:r>
              <w:t>8</w:t>
            </w:r>
            <w:r>
              <w:rPr>
                <w:rFonts w:hint="eastAsia"/>
              </w:rPr>
              <w:t>、浏览器授权，</w:t>
            </w:r>
            <w:proofErr w:type="gramStart"/>
            <w:r>
              <w:rPr>
                <w:rFonts w:hint="eastAsia"/>
              </w:rPr>
              <w:t>国密认证</w:t>
            </w:r>
            <w:proofErr w:type="gramEnd"/>
            <w:r>
              <w:rPr>
                <w:rFonts w:hint="eastAsia"/>
              </w:rPr>
              <w:t>证书授权，包含</w:t>
            </w:r>
            <w:proofErr w:type="gramStart"/>
            <w:r>
              <w:rPr>
                <w:rFonts w:hint="eastAsia"/>
              </w:rPr>
              <w:t>1</w:t>
            </w:r>
            <w:r>
              <w:rPr>
                <w:rFonts w:hint="eastAsia"/>
              </w:rPr>
              <w:t>年维保升级</w:t>
            </w:r>
            <w:proofErr w:type="gramEnd"/>
            <w:r>
              <w:rPr>
                <w:rFonts w:hint="eastAsia"/>
              </w:rPr>
              <w:t>服务。</w:t>
            </w:r>
          </w:p>
          <w:p w14:paraId="74863C3E" w14:textId="77777777" w:rsidR="00207EF1" w:rsidRDefault="004B5A65">
            <w:r>
              <w:rPr>
                <w:rFonts w:hint="eastAsia"/>
              </w:rPr>
              <w:t>三、考虑到机器的安全及保密性，机器要求带软件功能</w:t>
            </w:r>
            <w:r>
              <w:rPr>
                <w:rFonts w:hint="eastAsia"/>
              </w:rPr>
              <w:t>:</w:t>
            </w:r>
          </w:p>
          <w:p w14:paraId="426AC875" w14:textId="77777777" w:rsidR="00207EF1" w:rsidRDefault="004B5A65">
            <w:r>
              <w:rPr>
                <w:rFonts w:hint="eastAsia"/>
              </w:rPr>
              <w:t>1</w:t>
            </w:r>
            <w:r>
              <w:rPr>
                <w:rFonts w:hint="eastAsia"/>
              </w:rPr>
              <w:t>、服务</w:t>
            </w:r>
            <w:proofErr w:type="gramStart"/>
            <w:r>
              <w:rPr>
                <w:rFonts w:hint="eastAsia"/>
              </w:rPr>
              <w:t>端支持</w:t>
            </w:r>
            <w:proofErr w:type="gramEnd"/>
            <w:r>
              <w:rPr>
                <w:rFonts w:hint="eastAsia"/>
              </w:rPr>
              <w:t>CentOS 7.6/ RedHat7</w:t>
            </w:r>
            <w:r>
              <w:rPr>
                <w:rFonts w:hint="eastAsia"/>
              </w:rPr>
              <w:t>或以上版本操作系统。客户端支持多类型操作系统，包括但不限于</w:t>
            </w:r>
            <w:r>
              <w:rPr>
                <w:rFonts w:hint="eastAsia"/>
              </w:rPr>
              <w:t xml:space="preserve"> Windows XP_SP3/Windows Vista ultimate/Windows 7/Windows 8/Windows 10</w:t>
            </w:r>
            <w:r>
              <w:rPr>
                <w:rFonts w:hint="eastAsia"/>
              </w:rPr>
              <w:t>操作系统、</w:t>
            </w:r>
            <w:r>
              <w:rPr>
                <w:rFonts w:hint="eastAsia"/>
              </w:rPr>
              <w:t>Windows Server 2003_R2/2008_R2/2012/2016/2019</w:t>
            </w:r>
            <w:r>
              <w:rPr>
                <w:rFonts w:hint="eastAsia"/>
              </w:rPr>
              <w:t>操作系统、</w:t>
            </w:r>
            <w:r>
              <w:rPr>
                <w:rFonts w:hint="eastAsia"/>
              </w:rPr>
              <w:t>Red Hat Linux 5.4/5.6/6.8  /CentOS 7.6</w:t>
            </w:r>
            <w:r>
              <w:rPr>
                <w:rFonts w:hint="eastAsia"/>
              </w:rPr>
              <w:t>操作系统。</w:t>
            </w:r>
          </w:p>
          <w:p w14:paraId="4CDA7EEB" w14:textId="77777777" w:rsidR="00207EF1" w:rsidRDefault="004B5A65">
            <w:r>
              <w:rPr>
                <w:rFonts w:hint="eastAsia"/>
              </w:rPr>
              <w:t>★</w:t>
            </w:r>
            <w:r>
              <w:rPr>
                <w:rFonts w:hint="eastAsia"/>
              </w:rPr>
              <w:t>2</w:t>
            </w:r>
            <w:r>
              <w:rPr>
                <w:rFonts w:hint="eastAsia"/>
              </w:rPr>
              <w:t>、</w:t>
            </w:r>
            <w:r>
              <w:t>支持终端用户查看客户端系统当前</w:t>
            </w:r>
            <w:r>
              <w:t>CPU</w:t>
            </w:r>
            <w:r>
              <w:t>和内存的实时性能，同时可查看客户端程序的</w:t>
            </w:r>
            <w:r>
              <w:t>CPU</w:t>
            </w:r>
            <w:r>
              <w:t>和内存占用率。（</w:t>
            </w:r>
            <w:r>
              <w:rPr>
                <w:rFonts w:hint="eastAsia"/>
              </w:rPr>
              <w:t>投标时提供产品界面截图</w:t>
            </w:r>
            <w:r>
              <w:t>）</w:t>
            </w:r>
          </w:p>
          <w:p w14:paraId="45C56CF5" w14:textId="77777777" w:rsidR="00207EF1" w:rsidRDefault="004B5A65">
            <w:r>
              <w:rPr>
                <w:rFonts w:hint="eastAsia"/>
              </w:rPr>
              <w:t>★</w:t>
            </w:r>
            <w:r>
              <w:rPr>
                <w:rFonts w:hint="eastAsia"/>
              </w:rPr>
              <w:t>3</w:t>
            </w:r>
            <w:r>
              <w:rPr>
                <w:rFonts w:hint="eastAsia"/>
              </w:rPr>
              <w:t>、提供多引擎查杀矩阵，</w:t>
            </w:r>
            <w:proofErr w:type="gramStart"/>
            <w:r>
              <w:rPr>
                <w:rFonts w:hint="eastAsia"/>
              </w:rPr>
              <w:t>包括云查杀</w:t>
            </w:r>
            <w:proofErr w:type="gramEnd"/>
            <w:r>
              <w:rPr>
                <w:rFonts w:hint="eastAsia"/>
              </w:rPr>
              <w:t>引擎、大数据特征引擎、自学习智能引擎以及脚本引擎，客户端支持以图形化方式展示各个引擎的信息。（投标时提供产品界面截图）</w:t>
            </w:r>
          </w:p>
          <w:p w14:paraId="3D52E902" w14:textId="77777777" w:rsidR="00207EF1" w:rsidRDefault="004B5A65">
            <w:r>
              <w:rPr>
                <w:rFonts w:hint="eastAsia"/>
              </w:rPr>
              <w:t>4</w:t>
            </w:r>
            <w:r>
              <w:rPr>
                <w:rFonts w:hint="eastAsia"/>
              </w:rPr>
              <w:t>、提供多维度防护体系，包含浏览器防护、系统防护、入口防护和上网防护</w:t>
            </w:r>
            <w:r>
              <w:rPr>
                <w:rFonts w:hint="eastAsia"/>
              </w:rPr>
              <w:t>4</w:t>
            </w:r>
            <w:r>
              <w:rPr>
                <w:rFonts w:hint="eastAsia"/>
              </w:rPr>
              <w:t>大类。其中浏览器防护包含网页安全防护、</w:t>
            </w:r>
            <w:proofErr w:type="gramStart"/>
            <w:r>
              <w:rPr>
                <w:rFonts w:hint="eastAsia"/>
              </w:rPr>
              <w:t>网购安全</w:t>
            </w:r>
            <w:proofErr w:type="gramEnd"/>
            <w:r>
              <w:rPr>
                <w:rFonts w:hint="eastAsia"/>
              </w:rPr>
              <w:t>防护、搜索安全防护、邮件安全防护、锁定浏览器（如</w:t>
            </w:r>
            <w:r>
              <w:rPr>
                <w:rFonts w:hint="eastAsia"/>
              </w:rPr>
              <w:t>IE</w:t>
            </w:r>
            <w:r>
              <w:rPr>
                <w:rFonts w:hint="eastAsia"/>
              </w:rPr>
              <w:t>、</w:t>
            </w:r>
            <w:r>
              <w:rPr>
                <w:rFonts w:hint="eastAsia"/>
              </w:rPr>
              <w:t>Edge</w:t>
            </w:r>
            <w:r>
              <w:rPr>
                <w:rFonts w:hint="eastAsia"/>
              </w:rPr>
              <w:t>、</w:t>
            </w:r>
            <w:r>
              <w:rPr>
                <w:rFonts w:hint="eastAsia"/>
              </w:rPr>
              <w:t>360</w:t>
            </w:r>
            <w:r>
              <w:rPr>
                <w:rFonts w:hint="eastAsia"/>
              </w:rPr>
              <w:t>浏览器）；系统防护包含网络安全防护、摄像头防护、文件系统防护、驱动防护、进程防护、注册表防护、系统安全防护、</w:t>
            </w:r>
            <w:proofErr w:type="gramStart"/>
            <w:r>
              <w:rPr>
                <w:rFonts w:hint="eastAsia"/>
              </w:rPr>
              <w:t>核晶防护</w:t>
            </w:r>
            <w:proofErr w:type="gramEnd"/>
            <w:r>
              <w:rPr>
                <w:rFonts w:hint="eastAsia"/>
              </w:rPr>
              <w:t>、键盘记录防护，</w:t>
            </w:r>
            <w:proofErr w:type="gramStart"/>
            <w:r>
              <w:rPr>
                <w:rFonts w:hint="eastAsia"/>
              </w:rPr>
              <w:t>其中核晶防护</w:t>
            </w:r>
            <w:proofErr w:type="gramEnd"/>
            <w:r>
              <w:rPr>
                <w:rFonts w:hint="eastAsia"/>
              </w:rPr>
              <w:t>可利用</w:t>
            </w:r>
            <w:r>
              <w:rPr>
                <w:rFonts w:hint="eastAsia"/>
              </w:rPr>
              <w:t>CPU</w:t>
            </w:r>
            <w:r>
              <w:rPr>
                <w:rFonts w:hint="eastAsia"/>
              </w:rPr>
              <w:t>的硬件虚拟化机制，增强</w:t>
            </w:r>
            <w:r>
              <w:rPr>
                <w:rFonts w:hint="eastAsia"/>
              </w:rPr>
              <w:t>64</w:t>
            </w:r>
            <w:r>
              <w:rPr>
                <w:rFonts w:hint="eastAsia"/>
              </w:rPr>
              <w:t>位系统的安全防护；入口防护包含聊天安全防护、下载安全防</w:t>
            </w:r>
            <w:r>
              <w:rPr>
                <w:rFonts w:hint="eastAsia"/>
              </w:rPr>
              <w:lastRenderedPageBreak/>
              <w:t>护、</w:t>
            </w:r>
            <w:r>
              <w:rPr>
                <w:rFonts w:hint="eastAsia"/>
              </w:rPr>
              <w:t>U</w:t>
            </w:r>
            <w:proofErr w:type="gramStart"/>
            <w:r>
              <w:rPr>
                <w:rFonts w:hint="eastAsia"/>
              </w:rPr>
              <w:t>盘安全</w:t>
            </w:r>
            <w:proofErr w:type="gramEnd"/>
            <w:r>
              <w:rPr>
                <w:rFonts w:hint="eastAsia"/>
              </w:rPr>
              <w:t>防护、黑客入侵防护、局域网防护，其中黑客入侵防护能自动</w:t>
            </w:r>
            <w:proofErr w:type="gramStart"/>
            <w:r>
              <w:rPr>
                <w:rFonts w:hint="eastAsia"/>
              </w:rPr>
              <w:t>阻止高</w:t>
            </w:r>
            <w:proofErr w:type="gramEnd"/>
            <w:r>
              <w:rPr>
                <w:rFonts w:hint="eastAsia"/>
              </w:rPr>
              <w:t>风险的远程登录行为；上网防护包含反勒索防护。</w:t>
            </w:r>
          </w:p>
          <w:p w14:paraId="6CED2463" w14:textId="77777777" w:rsidR="00207EF1" w:rsidRDefault="004B5A65">
            <w:r>
              <w:rPr>
                <w:rFonts w:hint="eastAsia"/>
              </w:rPr>
              <w:t>★</w:t>
            </w:r>
            <w:r>
              <w:rPr>
                <w:rFonts w:hint="eastAsia"/>
              </w:rPr>
              <w:t>5</w:t>
            </w:r>
            <w:r>
              <w:rPr>
                <w:rFonts w:hint="eastAsia"/>
              </w:rPr>
              <w:t>、服务端不联网的情况下，可通过离线工具把漏洞库（补丁库）、补丁文件上传到服务端。</w:t>
            </w:r>
            <w:r>
              <w:t>（</w:t>
            </w:r>
            <w:r>
              <w:rPr>
                <w:rFonts w:hint="eastAsia"/>
              </w:rPr>
              <w:t>投标时提供产品界面截图</w:t>
            </w:r>
            <w:r>
              <w:t>）</w:t>
            </w:r>
          </w:p>
          <w:p w14:paraId="489E2809" w14:textId="77777777" w:rsidR="00207EF1" w:rsidRDefault="004B5A65">
            <w:r>
              <w:rPr>
                <w:rFonts w:hint="eastAsia"/>
              </w:rPr>
              <w:t>★</w:t>
            </w:r>
            <w:r>
              <w:rPr>
                <w:rFonts w:hint="eastAsia"/>
              </w:rPr>
              <w:t>6</w:t>
            </w:r>
            <w:r>
              <w:rPr>
                <w:rFonts w:hint="eastAsia"/>
              </w:rPr>
              <w:t>、管理员可以查看服务端已存在的补丁文件及总大小。</w:t>
            </w:r>
            <w:r>
              <w:t>（</w:t>
            </w:r>
            <w:r>
              <w:rPr>
                <w:rFonts w:hint="eastAsia"/>
              </w:rPr>
              <w:t>投标时提供产品界面截图</w:t>
            </w:r>
            <w:r>
              <w:t>）</w:t>
            </w:r>
          </w:p>
          <w:p w14:paraId="0C1F6F87" w14:textId="77777777" w:rsidR="00207EF1" w:rsidRDefault="004B5A65">
            <w:r>
              <w:rPr>
                <w:rFonts w:hint="eastAsia"/>
              </w:rPr>
              <w:t>7</w:t>
            </w:r>
            <w:r>
              <w:rPr>
                <w:rFonts w:hint="eastAsia"/>
              </w:rPr>
              <w:t>、服务</w:t>
            </w:r>
            <w:proofErr w:type="gramStart"/>
            <w:r>
              <w:rPr>
                <w:rFonts w:hint="eastAsia"/>
              </w:rPr>
              <w:t>端支持</w:t>
            </w:r>
            <w:proofErr w:type="gramEnd"/>
            <w:r>
              <w:rPr>
                <w:rFonts w:hint="eastAsia"/>
              </w:rPr>
              <w:t>查看病毒扫描的触发方式，通过触发方式可以确定扫描行为是管理员触发、终端本地用户触发、定时扫描触发或者是实时监控触发。</w:t>
            </w:r>
          </w:p>
          <w:p w14:paraId="50668774" w14:textId="77777777" w:rsidR="00207EF1" w:rsidRDefault="004B5A65">
            <w:r>
              <w:rPr>
                <w:rFonts w:hint="eastAsia"/>
              </w:rPr>
              <w:t>8</w:t>
            </w:r>
            <w:r>
              <w:rPr>
                <w:rFonts w:hint="eastAsia"/>
              </w:rPr>
              <w:t>、客户端支持漏洞扫描，对扫描出的操作系统漏洞、</w:t>
            </w:r>
            <w:r>
              <w:rPr>
                <w:rFonts w:hint="eastAsia"/>
              </w:rPr>
              <w:t>Microsoft Office</w:t>
            </w:r>
            <w:r>
              <w:rPr>
                <w:rFonts w:hint="eastAsia"/>
              </w:rPr>
              <w:t>软件漏洞能执行一键修复，可以忽略指定补丁。客户端可查看已安装的补丁、已忽略的补丁，可按照</w:t>
            </w:r>
            <w:r>
              <w:rPr>
                <w:rFonts w:hint="eastAsia"/>
              </w:rPr>
              <w:t>KB</w:t>
            </w:r>
            <w:r>
              <w:rPr>
                <w:rFonts w:hint="eastAsia"/>
              </w:rPr>
              <w:t>号卸载指定补丁。终端用户可清理补丁安装包，减少对磁盘空间的占用。</w:t>
            </w:r>
          </w:p>
          <w:p w14:paraId="54BB364F" w14:textId="77777777" w:rsidR="00207EF1" w:rsidRDefault="004B5A65">
            <w:r>
              <w:rPr>
                <w:rFonts w:hint="eastAsia"/>
              </w:rPr>
              <w:t>★</w:t>
            </w:r>
            <w:r>
              <w:rPr>
                <w:rFonts w:hint="eastAsia"/>
              </w:rPr>
              <w:t>9</w:t>
            </w:r>
            <w:r>
              <w:rPr>
                <w:rFonts w:hint="eastAsia"/>
              </w:rPr>
              <w:t>、客户端提供宏病毒专项扫描功能，终端用户可对客户端执行宏病毒扫描，发现是否存在宏病毒。</w:t>
            </w:r>
            <w:r>
              <w:t>（</w:t>
            </w:r>
            <w:r>
              <w:rPr>
                <w:rFonts w:hint="eastAsia"/>
              </w:rPr>
              <w:t>投标时提供产品界面截图</w:t>
            </w:r>
            <w:r>
              <w:t>）</w:t>
            </w:r>
          </w:p>
          <w:p w14:paraId="4EA63CF7" w14:textId="77777777" w:rsidR="00207EF1" w:rsidRDefault="004B5A65">
            <w:r>
              <w:rPr>
                <w:rFonts w:hint="eastAsia"/>
              </w:rPr>
              <w:t>10</w:t>
            </w:r>
            <w:r>
              <w:rPr>
                <w:rFonts w:hint="eastAsia"/>
              </w:rPr>
              <w:t>、记录终端硬件信息，包括</w:t>
            </w:r>
            <w:r>
              <w:rPr>
                <w:rFonts w:hint="eastAsia"/>
              </w:rPr>
              <w:t>CPU</w:t>
            </w:r>
            <w:r>
              <w:rPr>
                <w:rFonts w:hint="eastAsia"/>
              </w:rPr>
              <w:t>型号、内存大小、硬盘、主板、显卡、网卡、声卡、显示器信息以及</w:t>
            </w:r>
            <w:r>
              <w:rPr>
                <w:rFonts w:hint="eastAsia"/>
              </w:rPr>
              <w:t>SN</w:t>
            </w:r>
            <w:r>
              <w:rPr>
                <w:rFonts w:hint="eastAsia"/>
              </w:rPr>
              <w:t>码，支持导出硬件信息；可显示终端上次关机时间、本次开机时间。可记录客户端的硬件变更信息，包括变更类型、变更项目、原配置、新配置以及变更时间，可导出终端硬件变更日志。</w:t>
            </w:r>
          </w:p>
          <w:p w14:paraId="6BEC7352" w14:textId="77777777" w:rsidR="00207EF1" w:rsidRDefault="004B5A65">
            <w:r>
              <w:rPr>
                <w:rFonts w:hint="eastAsia"/>
              </w:rPr>
              <w:t>★</w:t>
            </w:r>
            <w:r>
              <w:rPr>
                <w:rFonts w:hint="eastAsia"/>
              </w:rPr>
              <w:t>11</w:t>
            </w:r>
            <w:r>
              <w:rPr>
                <w:rFonts w:hint="eastAsia"/>
              </w:rPr>
              <w:t>、终端用户可根据终端硬件配置情况以及查</w:t>
            </w:r>
            <w:proofErr w:type="gramStart"/>
            <w:r>
              <w:rPr>
                <w:rFonts w:hint="eastAsia"/>
              </w:rPr>
              <w:t>杀需求</w:t>
            </w:r>
            <w:proofErr w:type="gramEnd"/>
            <w:r>
              <w:rPr>
                <w:rFonts w:hint="eastAsia"/>
              </w:rPr>
              <w:t>搭配不同的引擎组合；在</w:t>
            </w:r>
            <w:proofErr w:type="gramStart"/>
            <w:r>
              <w:rPr>
                <w:rFonts w:hint="eastAsia"/>
              </w:rPr>
              <w:t>保持云查杀</w:t>
            </w:r>
            <w:proofErr w:type="gramEnd"/>
            <w:r>
              <w:rPr>
                <w:rFonts w:hint="eastAsia"/>
              </w:rPr>
              <w:t>引擎强制开启不可修改的同时，终端用户可单独启用或关闭其他引擎的病毒</w:t>
            </w:r>
            <w:proofErr w:type="gramStart"/>
            <w:r>
              <w:rPr>
                <w:rFonts w:hint="eastAsia"/>
              </w:rPr>
              <w:t>查杀及实时</w:t>
            </w:r>
            <w:proofErr w:type="gramEnd"/>
            <w:r>
              <w:rPr>
                <w:rFonts w:hint="eastAsia"/>
              </w:rPr>
              <w:t>防护功能，通过引擎图标的显示状态直观展示引擎是否被启用，以此实现灵活的多引擎组合查杀效果。</w:t>
            </w:r>
            <w:r>
              <w:t>（</w:t>
            </w:r>
            <w:r>
              <w:rPr>
                <w:rFonts w:hint="eastAsia"/>
              </w:rPr>
              <w:t>投标时提供产品界面截图</w:t>
            </w:r>
            <w:r>
              <w:t>）</w:t>
            </w:r>
          </w:p>
          <w:p w14:paraId="40AF7AF4" w14:textId="77777777" w:rsidR="00207EF1" w:rsidRDefault="004B5A65">
            <w:r>
              <w:rPr>
                <w:rFonts w:hint="eastAsia"/>
              </w:rPr>
              <w:t>12</w:t>
            </w:r>
            <w:r>
              <w:rPr>
                <w:rFonts w:hint="eastAsia"/>
              </w:rPr>
              <w:t>、对勒索病毒提供多重防御能力，包括禁用客户端远程服务、拦截</w:t>
            </w:r>
            <w:r>
              <w:rPr>
                <w:rFonts w:hint="eastAsia"/>
              </w:rPr>
              <w:t>RDP</w:t>
            </w:r>
            <w:r>
              <w:rPr>
                <w:rFonts w:hint="eastAsia"/>
              </w:rPr>
              <w:t>攻击、拦截数据库攻击、锁定</w:t>
            </w:r>
            <w:r>
              <w:rPr>
                <w:rFonts w:hint="eastAsia"/>
              </w:rPr>
              <w:t>RDP</w:t>
            </w:r>
            <w:r>
              <w:rPr>
                <w:rFonts w:hint="eastAsia"/>
              </w:rPr>
              <w:t>攻击</w:t>
            </w:r>
            <w:r>
              <w:rPr>
                <w:rFonts w:hint="eastAsia"/>
              </w:rPr>
              <w:t>IP</w:t>
            </w:r>
            <w:r>
              <w:rPr>
                <w:rFonts w:hint="eastAsia"/>
              </w:rPr>
              <w:t>地址、客户端账户弱密码检测、弱密码软件检测（如</w:t>
            </w:r>
            <w:r>
              <w:rPr>
                <w:rFonts w:hint="eastAsia"/>
              </w:rPr>
              <w:t>SQL Server</w:t>
            </w:r>
            <w:r>
              <w:rPr>
                <w:rFonts w:hint="eastAsia"/>
              </w:rPr>
              <w:t>和</w:t>
            </w:r>
            <w:r>
              <w:rPr>
                <w:rFonts w:hint="eastAsia"/>
              </w:rPr>
              <w:t>MySQL</w:t>
            </w:r>
            <w:r>
              <w:rPr>
                <w:rFonts w:hint="eastAsia"/>
              </w:rPr>
              <w:t>数据库软件）。</w:t>
            </w:r>
          </w:p>
          <w:p w14:paraId="12529E37" w14:textId="77777777" w:rsidR="00207EF1" w:rsidRDefault="004B5A65">
            <w:r>
              <w:rPr>
                <w:rFonts w:hint="eastAsia"/>
              </w:rPr>
              <w:t>13</w:t>
            </w:r>
            <w:r>
              <w:rPr>
                <w:rFonts w:hint="eastAsia"/>
              </w:rPr>
              <w:t>、支持客户端开启自我保护功能，阻止病毒、木马关闭客户端防护进程。</w:t>
            </w:r>
          </w:p>
          <w:p w14:paraId="5B69E82F" w14:textId="77777777" w:rsidR="00207EF1" w:rsidRDefault="004B5A65">
            <w:r>
              <w:rPr>
                <w:rFonts w:hint="eastAsia"/>
              </w:rPr>
              <w:t>14</w:t>
            </w:r>
            <w:r>
              <w:rPr>
                <w:rFonts w:hint="eastAsia"/>
              </w:rPr>
              <w:t>、支持基于脚本类型判断的病毒检测技术，通过预设数量的脚本作为样本，计算特征向量建立分类模型，由此建立的分类模型可以对待测脚本的类型进行判定，根据判定结果把脚本提供给对应的脚本引擎进行处理。</w:t>
            </w:r>
          </w:p>
          <w:p w14:paraId="5EA5F7EA" w14:textId="77777777" w:rsidR="00207EF1" w:rsidRDefault="004B5A65">
            <w:r>
              <w:rPr>
                <w:rFonts w:hint="eastAsia"/>
              </w:rPr>
              <w:t>15</w:t>
            </w:r>
            <w:r>
              <w:rPr>
                <w:rFonts w:hint="eastAsia"/>
              </w:rPr>
              <w:t>、包含</w:t>
            </w:r>
            <w:proofErr w:type="gramStart"/>
            <w:r>
              <w:rPr>
                <w:rFonts w:hint="eastAsia"/>
              </w:rPr>
              <w:t>1</w:t>
            </w:r>
            <w:r>
              <w:rPr>
                <w:rFonts w:hint="eastAsia"/>
              </w:rPr>
              <w:t>年维保升级</w:t>
            </w:r>
            <w:proofErr w:type="gramEnd"/>
            <w:r>
              <w:rPr>
                <w:rFonts w:hint="eastAsia"/>
              </w:rPr>
              <w:t>服务。</w:t>
            </w:r>
          </w:p>
          <w:p w14:paraId="74E2A822" w14:textId="77777777" w:rsidR="00207EF1" w:rsidRDefault="004B5A65">
            <w:r>
              <w:rPr>
                <w:rFonts w:hint="eastAsia"/>
              </w:rPr>
              <w:t>四、★资质证明：投标产品具有</w:t>
            </w:r>
            <w:r>
              <w:rPr>
                <w:rFonts w:hint="eastAsia"/>
              </w:rPr>
              <w:t>3C</w:t>
            </w:r>
            <w:r>
              <w:rPr>
                <w:rFonts w:hint="eastAsia"/>
              </w:rPr>
              <w:t>及节能认证；</w:t>
            </w:r>
          </w:p>
          <w:p w14:paraId="39EC3B4C" w14:textId="77777777" w:rsidR="00207EF1" w:rsidRDefault="004B5A65">
            <w:pPr>
              <w:rPr>
                <w:rFonts w:ascii="宋体" w:hAnsi="宋体"/>
                <w:szCs w:val="21"/>
              </w:rPr>
            </w:pPr>
            <w:r>
              <w:rPr>
                <w:rFonts w:hint="eastAsia"/>
              </w:rPr>
              <w:t>三、★售后服务：原厂不低于</w:t>
            </w:r>
            <w:r>
              <w:rPr>
                <w:rFonts w:hint="eastAsia"/>
              </w:rPr>
              <w:t>3</w:t>
            </w:r>
            <w:r>
              <w:rPr>
                <w:rFonts w:hint="eastAsia"/>
              </w:rPr>
              <w:t>年免费保修及上门服务</w:t>
            </w:r>
            <w:r>
              <w:rPr>
                <w:rFonts w:hint="eastAsia"/>
              </w:rPr>
              <w:t>,</w:t>
            </w:r>
            <w:r>
              <w:rPr>
                <w:rFonts w:hint="eastAsia"/>
              </w:rPr>
              <w:t>下</w:t>
            </w:r>
            <w:r>
              <w:rPr>
                <w:rFonts w:hint="eastAsia"/>
              </w:rPr>
              <w:t>1</w:t>
            </w:r>
            <w:r>
              <w:rPr>
                <w:rFonts w:hint="eastAsia"/>
              </w:rPr>
              <w:t>自然日上门修复（</w:t>
            </w:r>
            <w:r>
              <w:rPr>
                <w:rFonts w:hint="eastAsia"/>
              </w:rPr>
              <w:t>400</w:t>
            </w:r>
            <w:r>
              <w:rPr>
                <w:rFonts w:hint="eastAsia"/>
              </w:rPr>
              <w:t>报修电话节假日不休），免人力＋部件费用</w:t>
            </w:r>
            <w:r>
              <w:rPr>
                <w:rFonts w:hint="eastAsia"/>
              </w:rPr>
              <w:t>,</w:t>
            </w:r>
            <w:r>
              <w:rPr>
                <w:rFonts w:hint="eastAsia"/>
              </w:rPr>
              <w:t>所有部件均为电脑原厂部件；投标产品制造厂商具备售后服务完善度十二星级认证，提供认证证书并加盖投标人公章。</w:t>
            </w:r>
            <w:r>
              <w:rPr>
                <w:rFonts w:hint="eastAsia"/>
              </w:rPr>
              <w:t xml:space="preserve">  </w:t>
            </w:r>
          </w:p>
        </w:tc>
        <w:tc>
          <w:tcPr>
            <w:tcW w:w="693" w:type="dxa"/>
            <w:tcBorders>
              <w:top w:val="single" w:sz="4" w:space="0" w:color="auto"/>
              <w:left w:val="single" w:sz="4" w:space="0" w:color="auto"/>
              <w:bottom w:val="single" w:sz="4" w:space="0" w:color="auto"/>
              <w:right w:val="single" w:sz="4" w:space="0" w:color="auto"/>
            </w:tcBorders>
            <w:vAlign w:val="center"/>
          </w:tcPr>
          <w:p w14:paraId="033079DF" w14:textId="77777777" w:rsidR="00207EF1" w:rsidRDefault="004B5A65">
            <w:pPr>
              <w:widowControl/>
              <w:adjustRightInd w:val="0"/>
              <w:snapToGrid w:val="0"/>
              <w:spacing w:line="320" w:lineRule="exact"/>
              <w:ind w:left="265" w:hangingChars="126" w:hanging="265"/>
              <w:jc w:val="center"/>
              <w:textAlignment w:val="center"/>
              <w:rPr>
                <w:rFonts w:ascii="宋体" w:hAnsi="宋体"/>
                <w:szCs w:val="21"/>
              </w:rPr>
            </w:pPr>
            <w:r>
              <w:rPr>
                <w:rFonts w:ascii="宋体" w:hAnsi="宋体" w:hint="eastAsia"/>
                <w:szCs w:val="21"/>
              </w:rPr>
              <w:lastRenderedPageBreak/>
              <w:t>1台</w:t>
            </w:r>
          </w:p>
        </w:tc>
      </w:tr>
      <w:tr w:rsidR="00207EF1" w14:paraId="699BCEA4" w14:textId="77777777">
        <w:trPr>
          <w:trHeight w:val="590"/>
        </w:trPr>
        <w:tc>
          <w:tcPr>
            <w:tcW w:w="523" w:type="dxa"/>
            <w:tcBorders>
              <w:top w:val="single" w:sz="4" w:space="0" w:color="auto"/>
              <w:left w:val="single" w:sz="4" w:space="0" w:color="auto"/>
              <w:bottom w:val="single" w:sz="4" w:space="0" w:color="auto"/>
              <w:right w:val="single" w:sz="4" w:space="0" w:color="auto"/>
            </w:tcBorders>
            <w:vAlign w:val="center"/>
          </w:tcPr>
          <w:p w14:paraId="6B865D31" w14:textId="77777777" w:rsidR="00207EF1" w:rsidRDefault="004B5A65">
            <w:pPr>
              <w:autoSpaceDN w:val="0"/>
              <w:jc w:val="center"/>
              <w:textAlignment w:val="center"/>
              <w:rPr>
                <w:rFonts w:ascii="宋体" w:hAnsi="宋体"/>
                <w:color w:val="000000"/>
                <w:szCs w:val="21"/>
              </w:rPr>
            </w:pPr>
            <w:r>
              <w:rPr>
                <w:rFonts w:ascii="宋体" w:hAnsi="宋体" w:hint="eastAsia"/>
                <w:color w:val="000000"/>
                <w:szCs w:val="21"/>
              </w:rPr>
              <w:lastRenderedPageBreak/>
              <w:t>2</w:t>
            </w:r>
          </w:p>
        </w:tc>
        <w:tc>
          <w:tcPr>
            <w:tcW w:w="818" w:type="dxa"/>
            <w:tcBorders>
              <w:top w:val="single" w:sz="4" w:space="0" w:color="auto"/>
              <w:left w:val="single" w:sz="4" w:space="0" w:color="auto"/>
              <w:bottom w:val="single" w:sz="4" w:space="0" w:color="auto"/>
              <w:right w:val="single" w:sz="4" w:space="0" w:color="auto"/>
            </w:tcBorders>
            <w:vAlign w:val="center"/>
          </w:tcPr>
          <w:p w14:paraId="2031853D" w14:textId="77777777" w:rsidR="00207EF1" w:rsidRDefault="004B5A65">
            <w:pPr>
              <w:widowControl/>
              <w:jc w:val="left"/>
              <w:rPr>
                <w:rFonts w:ascii="宋体" w:hAnsi="宋体"/>
                <w:color w:val="000000"/>
                <w:szCs w:val="21"/>
              </w:rPr>
            </w:pPr>
            <w:r>
              <w:rPr>
                <w:rFonts w:ascii="宋体" w:eastAsia="宋体" w:hAnsi="宋体" w:cs="宋体" w:hint="eastAsia"/>
                <w:kern w:val="0"/>
                <w:sz w:val="24"/>
              </w:rPr>
              <w:t>学生计算机</w:t>
            </w:r>
          </w:p>
        </w:tc>
        <w:tc>
          <w:tcPr>
            <w:tcW w:w="1070" w:type="dxa"/>
            <w:tcBorders>
              <w:top w:val="single" w:sz="4" w:space="0" w:color="auto"/>
              <w:left w:val="single" w:sz="4" w:space="0" w:color="auto"/>
              <w:bottom w:val="single" w:sz="4" w:space="0" w:color="auto"/>
              <w:right w:val="single" w:sz="4" w:space="0" w:color="auto"/>
            </w:tcBorders>
            <w:vAlign w:val="center"/>
          </w:tcPr>
          <w:p w14:paraId="036FFDA7" w14:textId="77777777" w:rsidR="00207EF1" w:rsidRDefault="004B5A65">
            <w:pPr>
              <w:autoSpaceDN w:val="0"/>
              <w:ind w:left="210" w:hangingChars="100" w:hanging="210"/>
              <w:textAlignment w:val="center"/>
              <w:rPr>
                <w:rFonts w:ascii="宋体" w:hAnsi="宋体"/>
                <w:color w:val="000000"/>
                <w:szCs w:val="21"/>
              </w:rPr>
            </w:pPr>
            <w:proofErr w:type="gramStart"/>
            <w:r>
              <w:rPr>
                <w:rFonts w:ascii="宋体" w:hAnsi="宋体" w:hint="eastAsia"/>
                <w:color w:val="000000"/>
                <w:szCs w:val="21"/>
              </w:rPr>
              <w:t>智微华</w:t>
            </w:r>
            <w:proofErr w:type="gramEnd"/>
            <w:r>
              <w:rPr>
                <w:rFonts w:ascii="宋体" w:hAnsi="宋体" w:hint="eastAsia"/>
                <w:color w:val="000000"/>
                <w:szCs w:val="21"/>
              </w:rPr>
              <w:t>光E700-ED</w:t>
            </w:r>
          </w:p>
        </w:tc>
        <w:tc>
          <w:tcPr>
            <w:tcW w:w="7303" w:type="dxa"/>
            <w:tcBorders>
              <w:top w:val="single" w:sz="4" w:space="0" w:color="auto"/>
              <w:left w:val="single" w:sz="4" w:space="0" w:color="auto"/>
              <w:bottom w:val="single" w:sz="4" w:space="0" w:color="auto"/>
              <w:right w:val="single" w:sz="4" w:space="0" w:color="auto"/>
            </w:tcBorders>
            <w:vAlign w:val="center"/>
          </w:tcPr>
          <w:p w14:paraId="317C8494"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一、参数要求：</w:t>
            </w:r>
          </w:p>
          <w:p w14:paraId="5AF2BFBE"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1、★处理器：采用英特尔第十三代处理器i5-13400（核心≥10核,主频≥2.5GHz）；</w:t>
            </w:r>
          </w:p>
          <w:p w14:paraId="1ABE8B9B"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2、内存：配置≥16GB DDR4内存，内存读写速率≥3200MT/s，不少于2根内存插槽，内存插槽满配时提供的最高内存容量≥64GB；</w:t>
            </w:r>
          </w:p>
          <w:p w14:paraId="6CAFD466"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3、硬盘：≥512GB M.2接口SSD固态硬盘，支持混合硬盘，有硬盘减震功能；</w:t>
            </w:r>
          </w:p>
          <w:p w14:paraId="13C9039B"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4、显卡：集成高性能显卡；</w:t>
            </w:r>
          </w:p>
          <w:p w14:paraId="00171E27"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 xml:space="preserve">5、★主板：Intel B系列及以上芯片组,与主机同品牌；视频接口不少于2个，至少具备1个数字接口，所有接口非转接；M.2插槽≥2个；≥1个PCI-E*16、≥1个PCI-E*1；主板原生支持至少1个PS/2；主板集成10/100M/1000M 自适应以太网卡，原厂可配置同品牌网络防雷器，有网络端口防雷功能；  </w:t>
            </w:r>
          </w:p>
          <w:p w14:paraId="30F28B3A"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lastRenderedPageBreak/>
              <w:t>6、显示器：同品牌，显示屏尺寸≥23.8英寸，</w:t>
            </w:r>
            <w:proofErr w:type="gramStart"/>
            <w:r>
              <w:rPr>
                <w:rFonts w:ascii="宋体" w:hAnsi="宋体" w:hint="eastAsia"/>
                <w:szCs w:val="21"/>
              </w:rPr>
              <w:t>显示屏屏占比</w:t>
            </w:r>
            <w:proofErr w:type="gramEnd"/>
            <w:r>
              <w:rPr>
                <w:rFonts w:ascii="宋体" w:hAnsi="宋体" w:hint="eastAsia"/>
                <w:szCs w:val="21"/>
              </w:rPr>
              <w:t>≥80%，显示屏像素密度≥90像素/英寸，显示屏可视角度水平≥178°，显示屏防蓝光支持防蓝光模式，蓝光加权辐射亮度比应≤0.0012W/(·cd·</w:t>
            </w:r>
            <w:proofErr w:type="spellStart"/>
            <w:r>
              <w:rPr>
                <w:rFonts w:ascii="宋体" w:hAnsi="宋体" w:hint="eastAsia"/>
                <w:szCs w:val="21"/>
              </w:rPr>
              <w:t>sr</w:t>
            </w:r>
            <w:proofErr w:type="spellEnd"/>
            <w:r>
              <w:rPr>
                <w:rFonts w:ascii="宋体" w:hAnsi="宋体" w:hint="eastAsia"/>
                <w:szCs w:val="21"/>
              </w:rPr>
              <w:t>)（</w:t>
            </w:r>
            <w:proofErr w:type="gramStart"/>
            <w:r>
              <w:rPr>
                <w:rFonts w:ascii="宋体" w:hAnsi="宋体" w:hint="eastAsia"/>
                <w:szCs w:val="21"/>
              </w:rPr>
              <w:t>瓦每坎特拉每球面</w:t>
            </w:r>
            <w:proofErr w:type="gramEnd"/>
            <w:r>
              <w:rPr>
                <w:rFonts w:ascii="宋体" w:hAnsi="宋体" w:hint="eastAsia"/>
                <w:szCs w:val="21"/>
              </w:rPr>
              <w:t>度），显示屏低频</w:t>
            </w:r>
            <w:proofErr w:type="gramStart"/>
            <w:r>
              <w:rPr>
                <w:rFonts w:ascii="宋体" w:hAnsi="宋体" w:hint="eastAsia"/>
                <w:szCs w:val="21"/>
              </w:rPr>
              <w:t>闪</w:t>
            </w:r>
            <w:proofErr w:type="gramEnd"/>
            <w:r>
              <w:rPr>
                <w:rFonts w:ascii="宋体" w:hAnsi="宋体" w:hint="eastAsia"/>
                <w:szCs w:val="21"/>
              </w:rPr>
              <w:t>显示屏应支持低频闪≤-35dB，显示屏防炫目显示屏镜面反射率≤10%，显示屏刷新率≥75Hz，显示屏位深≥8 位，</w:t>
            </w:r>
            <w:proofErr w:type="gramStart"/>
            <w:r>
              <w:rPr>
                <w:rFonts w:ascii="宋体" w:hAnsi="宋体" w:hint="eastAsia"/>
                <w:szCs w:val="21"/>
              </w:rPr>
              <w:t>显示屏色域</w:t>
            </w:r>
            <w:proofErr w:type="gramEnd"/>
            <w:r>
              <w:rPr>
                <w:rFonts w:ascii="宋体" w:hAnsi="宋体" w:hint="eastAsia"/>
                <w:szCs w:val="21"/>
              </w:rPr>
              <w:t>≥99%  sRGB，</w:t>
            </w:r>
            <w:proofErr w:type="gramStart"/>
            <w:r>
              <w:rPr>
                <w:rFonts w:ascii="宋体" w:hAnsi="宋体" w:hint="eastAsia"/>
                <w:szCs w:val="21"/>
              </w:rPr>
              <w:t>显示屏色准</w:t>
            </w:r>
            <w:proofErr w:type="gramEnd"/>
            <w:r>
              <w:rPr>
                <w:rFonts w:ascii="宋体" w:hAnsi="宋体" w:hint="eastAsia"/>
                <w:szCs w:val="21"/>
              </w:rPr>
              <w:t xml:space="preserve">△E≤4，显示屏响应时间≤8ms，显示屏亮度≥250 尼特，显示屏亮度一致性≥75%，显示屏对比度≥1000：1；   </w:t>
            </w:r>
          </w:p>
          <w:p w14:paraId="0A36EC4A"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7、键鼠：同品牌USB光电鼠标、键盘，键盘防水且</w:t>
            </w:r>
            <w:proofErr w:type="gramStart"/>
            <w:r>
              <w:rPr>
                <w:rFonts w:ascii="宋体" w:hAnsi="宋体" w:hint="eastAsia"/>
                <w:szCs w:val="21"/>
              </w:rPr>
              <w:t>自带导水孔</w:t>
            </w:r>
            <w:proofErr w:type="gramEnd"/>
            <w:r>
              <w:rPr>
                <w:rFonts w:ascii="宋体" w:hAnsi="宋体" w:hint="eastAsia"/>
                <w:szCs w:val="21"/>
              </w:rPr>
              <w:t>；</w:t>
            </w:r>
          </w:p>
          <w:p w14:paraId="63712279"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8、外观安全设计：机箱前置面板设计网络通讯指示灯，顶置电源开关，机箱侧板、硬盘、光驱、预留机箱挂锁，硬件安全有保障；PCIE 挡板指示标识设计，扩展卡</w:t>
            </w:r>
            <w:proofErr w:type="gramStart"/>
            <w:r>
              <w:rPr>
                <w:rFonts w:ascii="宋体" w:hAnsi="宋体" w:hint="eastAsia"/>
                <w:szCs w:val="21"/>
              </w:rPr>
              <w:t>免工具</w:t>
            </w:r>
            <w:proofErr w:type="gramEnd"/>
            <w:r>
              <w:rPr>
                <w:rFonts w:ascii="宋体" w:hAnsi="宋体" w:hint="eastAsia"/>
                <w:szCs w:val="21"/>
              </w:rPr>
              <w:t>拆卸；</w:t>
            </w:r>
          </w:p>
          <w:p w14:paraId="46AA9B19"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9、★机箱：机型体积不小于15L，具备顶置提手，需具备前置至少1个网络故障指示灯，便于快速诊断网络连接状态；USB接口总数≥10个(前置USB3.2≥6个，至少2个USB3.2Gen2)，整机防尘等级不低于国际标准IP5X级；</w:t>
            </w:r>
          </w:p>
          <w:p w14:paraId="31D324C7"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10、电源：≥200W节能电源；</w:t>
            </w:r>
          </w:p>
          <w:p w14:paraId="7B698714"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二、★资质证明：投标产品具有3C及节能认证；</w:t>
            </w:r>
          </w:p>
          <w:p w14:paraId="54A5598F"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 xml:space="preserve">三、★售后服务：原厂不低于3年免费保修及上门服务,下1自然日上门修复（400报修电话节假日不休），免人力＋部件费用,所有部件均为电脑原厂部件；投标产品制造厂商具备售后服务完善度十二星级认证，提供认证证书并加盖投标人公章。    </w:t>
            </w:r>
          </w:p>
        </w:tc>
        <w:tc>
          <w:tcPr>
            <w:tcW w:w="693" w:type="dxa"/>
            <w:tcBorders>
              <w:top w:val="single" w:sz="4" w:space="0" w:color="auto"/>
              <w:left w:val="single" w:sz="4" w:space="0" w:color="auto"/>
              <w:bottom w:val="single" w:sz="4" w:space="0" w:color="auto"/>
              <w:right w:val="single" w:sz="4" w:space="0" w:color="auto"/>
            </w:tcBorders>
            <w:vAlign w:val="center"/>
          </w:tcPr>
          <w:p w14:paraId="5A445CFF" w14:textId="77777777" w:rsidR="00207EF1" w:rsidRDefault="004B5A65">
            <w:pPr>
              <w:widowControl/>
              <w:adjustRightInd w:val="0"/>
              <w:snapToGrid w:val="0"/>
              <w:spacing w:line="320" w:lineRule="exact"/>
              <w:ind w:left="265" w:hangingChars="126" w:hanging="265"/>
              <w:jc w:val="center"/>
              <w:textAlignment w:val="center"/>
              <w:rPr>
                <w:rFonts w:ascii="宋体" w:hAnsi="宋体"/>
                <w:szCs w:val="21"/>
              </w:rPr>
            </w:pPr>
            <w:r>
              <w:rPr>
                <w:rFonts w:ascii="宋体" w:hAnsi="宋体" w:hint="eastAsia"/>
                <w:szCs w:val="21"/>
              </w:rPr>
              <w:lastRenderedPageBreak/>
              <w:t>60台</w:t>
            </w:r>
          </w:p>
        </w:tc>
      </w:tr>
      <w:tr w:rsidR="00207EF1" w14:paraId="67B3FB8A" w14:textId="77777777">
        <w:trPr>
          <w:trHeight w:val="882"/>
        </w:trPr>
        <w:tc>
          <w:tcPr>
            <w:tcW w:w="523" w:type="dxa"/>
            <w:tcBorders>
              <w:top w:val="single" w:sz="4" w:space="0" w:color="auto"/>
              <w:left w:val="single" w:sz="4" w:space="0" w:color="auto"/>
              <w:bottom w:val="single" w:sz="4" w:space="0" w:color="auto"/>
              <w:right w:val="single" w:sz="4" w:space="0" w:color="auto"/>
            </w:tcBorders>
            <w:vAlign w:val="center"/>
          </w:tcPr>
          <w:p w14:paraId="346D68CE" w14:textId="77777777" w:rsidR="00207EF1" w:rsidRDefault="004B5A65">
            <w:pPr>
              <w:autoSpaceDN w:val="0"/>
              <w:jc w:val="center"/>
              <w:textAlignment w:val="center"/>
              <w:rPr>
                <w:rFonts w:ascii="宋体" w:hAnsi="宋体"/>
                <w:color w:val="000000"/>
                <w:szCs w:val="21"/>
              </w:rPr>
            </w:pPr>
            <w:r>
              <w:rPr>
                <w:rFonts w:ascii="宋体" w:hAnsi="宋体" w:hint="eastAsia"/>
                <w:color w:val="000000"/>
                <w:szCs w:val="21"/>
              </w:rPr>
              <w:t>3</w:t>
            </w:r>
          </w:p>
        </w:tc>
        <w:tc>
          <w:tcPr>
            <w:tcW w:w="818" w:type="dxa"/>
            <w:tcBorders>
              <w:top w:val="single" w:sz="4" w:space="0" w:color="auto"/>
              <w:left w:val="single" w:sz="4" w:space="0" w:color="auto"/>
              <w:bottom w:val="single" w:sz="4" w:space="0" w:color="auto"/>
              <w:right w:val="single" w:sz="4" w:space="0" w:color="auto"/>
            </w:tcBorders>
            <w:vAlign w:val="center"/>
          </w:tcPr>
          <w:p w14:paraId="520C899D" w14:textId="2037217F" w:rsidR="00207EF1" w:rsidRDefault="007D6C11">
            <w:pPr>
              <w:widowControl/>
              <w:jc w:val="left"/>
              <w:rPr>
                <w:rFonts w:ascii="宋体" w:hAnsi="宋体"/>
                <w:color w:val="000000"/>
                <w:szCs w:val="21"/>
              </w:rPr>
            </w:pPr>
            <w:r>
              <w:rPr>
                <w:rFonts w:ascii="宋体" w:eastAsia="宋体" w:hAnsi="宋体" w:cs="宋体" w:hint="eastAsia"/>
                <w:kern w:val="0"/>
                <w:sz w:val="24"/>
              </w:rPr>
              <w:t>电子</w:t>
            </w:r>
            <w:r w:rsidR="004B5A65">
              <w:rPr>
                <w:rFonts w:ascii="宋体" w:eastAsia="宋体" w:hAnsi="宋体" w:cs="宋体" w:hint="eastAsia"/>
                <w:kern w:val="0"/>
                <w:sz w:val="24"/>
              </w:rPr>
              <w:t>教室管理软件</w:t>
            </w:r>
          </w:p>
        </w:tc>
        <w:tc>
          <w:tcPr>
            <w:tcW w:w="1070" w:type="dxa"/>
            <w:tcBorders>
              <w:top w:val="single" w:sz="4" w:space="0" w:color="auto"/>
              <w:left w:val="single" w:sz="4" w:space="0" w:color="auto"/>
              <w:bottom w:val="single" w:sz="4" w:space="0" w:color="auto"/>
              <w:right w:val="single" w:sz="4" w:space="0" w:color="auto"/>
            </w:tcBorders>
            <w:vAlign w:val="center"/>
          </w:tcPr>
          <w:p w14:paraId="3FD6596E" w14:textId="77777777" w:rsidR="00207EF1" w:rsidRDefault="004B5A65">
            <w:pPr>
              <w:autoSpaceDN w:val="0"/>
              <w:ind w:left="210" w:hangingChars="100" w:hanging="210"/>
              <w:jc w:val="center"/>
              <w:textAlignment w:val="center"/>
              <w:rPr>
                <w:rFonts w:ascii="宋体" w:hAnsi="宋体"/>
                <w:color w:val="000000"/>
                <w:szCs w:val="21"/>
              </w:rPr>
            </w:pPr>
            <w:proofErr w:type="gramStart"/>
            <w:r>
              <w:rPr>
                <w:rFonts w:ascii="宋体" w:hAnsi="宋体" w:hint="eastAsia"/>
                <w:color w:val="000000"/>
                <w:szCs w:val="21"/>
              </w:rPr>
              <w:t>极域课堂</w:t>
            </w:r>
            <w:proofErr w:type="gramEnd"/>
            <w:r>
              <w:rPr>
                <w:rFonts w:ascii="宋体" w:hAnsi="宋体" w:hint="eastAsia"/>
                <w:color w:val="000000"/>
                <w:szCs w:val="21"/>
              </w:rPr>
              <w:t>管理系统软件V6.0专业版</w:t>
            </w:r>
          </w:p>
        </w:tc>
        <w:tc>
          <w:tcPr>
            <w:tcW w:w="7303" w:type="dxa"/>
            <w:tcBorders>
              <w:top w:val="single" w:sz="4" w:space="0" w:color="auto"/>
              <w:left w:val="single" w:sz="4" w:space="0" w:color="auto"/>
              <w:bottom w:val="single" w:sz="4" w:space="0" w:color="auto"/>
              <w:right w:val="single" w:sz="4" w:space="0" w:color="auto"/>
            </w:tcBorders>
            <w:vAlign w:val="center"/>
          </w:tcPr>
          <w:p w14:paraId="32FDC5D8"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proofErr w:type="gramStart"/>
            <w:r>
              <w:rPr>
                <w:rFonts w:ascii="宋体" w:hAnsi="宋体" w:hint="eastAsia"/>
                <w:szCs w:val="21"/>
              </w:rPr>
              <w:t>一</w:t>
            </w:r>
            <w:proofErr w:type="gramEnd"/>
            <w:r>
              <w:rPr>
                <w:rFonts w:ascii="宋体" w:hAnsi="宋体" w:hint="eastAsia"/>
                <w:szCs w:val="21"/>
              </w:rPr>
              <w:t>.技术要求</w:t>
            </w:r>
          </w:p>
          <w:p w14:paraId="42115E60"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纯软件产品，安装部署快捷，升级简易方便，采用核心的截屏及实时压缩技术，在网络条件较差时亦能体现良好的性能；可根据网络条件调节网络补偿强度，根据广播内容调节广播及录制效率，使广播达到最佳效果。采用流媒体技术，流畅无延时，文件清晰度几乎无损耗，支持几乎所有常见的媒体音视频格式， Windows Media文件，VCD文件，DVD文件，Real文件，AVI文件，MP3等主流文件格式，支持720p、1080p的高清视频。</w:t>
            </w:r>
          </w:p>
          <w:p w14:paraId="4D8AB193"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2．全面支持Windows系列操作系统，包括Windows 8、Windows 10、Windows 11操作系统。</w:t>
            </w:r>
          </w:p>
          <w:p w14:paraId="335B293A"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3．★软件</w:t>
            </w:r>
            <w:proofErr w:type="gramStart"/>
            <w:r>
              <w:rPr>
                <w:rFonts w:ascii="宋体" w:hAnsi="宋体" w:hint="eastAsia"/>
                <w:szCs w:val="21"/>
              </w:rPr>
              <w:t>需支持</w:t>
            </w:r>
            <w:proofErr w:type="gramEnd"/>
            <w:r>
              <w:rPr>
                <w:rFonts w:ascii="宋体" w:hAnsi="宋体" w:hint="eastAsia"/>
                <w:szCs w:val="21"/>
              </w:rPr>
              <w:t>≥24种语言界面版本，满足不同外语教师灵活使用软件。（需提供软件功能截图，并加盖供应商公章）</w:t>
            </w:r>
          </w:p>
          <w:p w14:paraId="783E40F2"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4．★软件的加密方式支持：加密狗加密、服务器端授权、在线序列号加密、离线文件加密、</w:t>
            </w:r>
            <w:proofErr w:type="gramStart"/>
            <w:r>
              <w:rPr>
                <w:rFonts w:ascii="宋体" w:hAnsi="宋体" w:hint="eastAsia"/>
                <w:szCs w:val="21"/>
              </w:rPr>
              <w:t>自定义短码激活</w:t>
            </w:r>
            <w:proofErr w:type="gramEnd"/>
            <w:r>
              <w:rPr>
                <w:rFonts w:ascii="宋体" w:hAnsi="宋体" w:hint="eastAsia"/>
                <w:szCs w:val="21"/>
              </w:rPr>
              <w:t>、mac地址预置激活等多种方式的激活方式。（需提供软件功能截图，并加盖供应商公章）</w:t>
            </w:r>
          </w:p>
          <w:p w14:paraId="5D73E540"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二.课堂教学</w:t>
            </w:r>
          </w:p>
          <w:p w14:paraId="7D57ED61"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1．屏幕广播：将教师机屏幕和教师讲话实时广播给单一、部分或全体学生，可选择全屏或窗口方式。窗口模式下或教师机与学生机分辨率不同情况下，学生机可以以不同的窗口方式接收广播。</w:t>
            </w:r>
          </w:p>
          <w:p w14:paraId="0E3DB3F8"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2．扩展屏广播模式：教师机连接两个显示器，可在广播时选择将任意一个显示器的内容广播到学生机。</w:t>
            </w:r>
          </w:p>
          <w:p w14:paraId="43A49361"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3．屏幕广播速度增强：屏幕广播时支持多种画面质量的调节，根据网络的不同选择最好的效果进行教学。</w:t>
            </w:r>
          </w:p>
          <w:p w14:paraId="5462DA12"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4．语音广播：将教师机和麦克风的声音广播给学生，教学过程中，可以请任何一位已登录的学生发言，其他学生和教师收听该学生发言。</w:t>
            </w:r>
          </w:p>
          <w:p w14:paraId="53B15CB3"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5．语音对讲：教师可以选择任意一名已登录学生与其进行双向语音交谈，除教师和此学生外，其他学生不会受到干扰，可以动态切换对讲对象。</w:t>
            </w:r>
          </w:p>
          <w:p w14:paraId="59DDD5D7"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lastRenderedPageBreak/>
              <w:t>6．学生演示：教师可选定一台学生机作为示范，由此学生代替教师进行示范教学。</w:t>
            </w:r>
          </w:p>
          <w:p w14:paraId="1310DFDD"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7．分组教学：教师分派组长执行指定的功能，组长代替教师进行小组教学，小组不需要再临时创建，可以直接使用既有分组信息，教师可以监控每个分组的教学过程，以了解分组教学的进度。</w:t>
            </w:r>
          </w:p>
          <w:p w14:paraId="272519D5"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8．讨论：教师可以组织学生使用文字、图片、手写板等多种方式开展讨论，可进行分组讨论或主题讨论，分组讨论允许教师将学生分成若干组，同组的组员之间可以相互讨论，教师可以参加任意组的讨论；主题讨论是由教师建立若干个主题，学生选择自己感兴趣的主题开展讨论。</w:t>
            </w:r>
          </w:p>
          <w:p w14:paraId="25FD1251"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9．屏幕录制：教师机可以将本地的操作和讲解过程录制为mp4录像文件，可以用 Windows 自带的 Media Player 直接播放。</w:t>
            </w:r>
          </w:p>
          <w:p w14:paraId="1D5C8E51"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10．文件分发：允许教师将教师机不同盘符中的目录或文件一起发送至生机的某目录下。目录不存在自动新建此目录；盘符不存在或路径</w:t>
            </w:r>
            <w:proofErr w:type="gramStart"/>
            <w:r>
              <w:rPr>
                <w:rFonts w:ascii="宋体" w:hAnsi="宋体" w:hint="eastAsia"/>
                <w:szCs w:val="21"/>
              </w:rPr>
              <w:t>非法不</w:t>
            </w:r>
            <w:proofErr w:type="gramEnd"/>
            <w:r>
              <w:rPr>
                <w:rFonts w:ascii="宋体" w:hAnsi="宋体" w:hint="eastAsia"/>
                <w:szCs w:val="21"/>
              </w:rPr>
              <w:t>允许分发；文件已存在选择自动覆盖或保留原始文件。</w:t>
            </w:r>
          </w:p>
          <w:p w14:paraId="5586F723"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11．★文件提交：学生把做好的作业直接提交到教师机，方便教师批改作业要收取的麻烦。通过特殊设置，学生提交作业时必需经过教师审批通过后才可提交，教师可以选择接收和拒绝学生提交的文件。并且教师可以限制学生提交文件的数目和大小。</w:t>
            </w:r>
          </w:p>
          <w:p w14:paraId="7FD8B9D8"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12．屏幕监视：教师机可以监视单一、部分、全体学生机的屏幕，教师机每屏可监视多个学生屏幕（最多36个）。可以控制教师机监控的同屏幕各窗口间、屏幕与屏幕间的切换速度。可手动或自动循环监视。</w:t>
            </w:r>
          </w:p>
          <w:p w14:paraId="5466051F"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13．多频道教学：支持多达32个频道的划分，一个教师可对单个班级或多个班级同时上课；多个教师可同时对多个班级进行不同内容的教学。</w:t>
            </w:r>
          </w:p>
          <w:p w14:paraId="7329FC92"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三.教学评测</w:t>
            </w:r>
          </w:p>
          <w:p w14:paraId="73D74010"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1．试卷编辑：教师能够在家中编辑试题，试题类型支持单选、多选、判断、简答，可插入图片，设置试卷名称、教师名称、班级、考试时间和总分，允许用户通过导入 Word 文件添加试题。</w:t>
            </w:r>
          </w:p>
          <w:p w14:paraId="5D547AC6"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2．开始考试：教师将试卷分发给学生即可开始考试，考试过程中可以教师如有问题补充，可暂停考试，在特殊情况下，</w:t>
            </w:r>
            <w:proofErr w:type="gramStart"/>
            <w:r>
              <w:rPr>
                <w:rFonts w:ascii="宋体" w:hAnsi="宋体" w:hint="eastAsia"/>
                <w:szCs w:val="21"/>
              </w:rPr>
              <w:t>可以暂挂考试</w:t>
            </w:r>
            <w:proofErr w:type="gramEnd"/>
            <w:r>
              <w:rPr>
                <w:rFonts w:ascii="宋体" w:hAnsi="宋体" w:hint="eastAsia"/>
                <w:szCs w:val="21"/>
              </w:rPr>
              <w:t>，下次启动系统后可继续考试；考试过程中如有断电、关机等意外情况学生机可断线重连，考试结束后学生可提交或时间到自动提交。</w:t>
            </w:r>
          </w:p>
          <w:p w14:paraId="0430CA8C"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3．阅卷评分：收取的试卷系统可自动评分，教师添加批注，查看柱状图显示的考试统计结果，并能够将评分结果以网页形式发送给相应的学生。</w:t>
            </w:r>
          </w:p>
          <w:p w14:paraId="04F9448F"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4．答题卡考试：教师导入Word、PPT、Excel、PDF等文档类型的考试内容共享给学生，直接生成答题卡用于学生作答，包含多种不同的题型：多选题，判断题，填空题和论述题。</w:t>
            </w:r>
          </w:p>
          <w:p w14:paraId="718ABEEE"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5．随堂小考：教师启动快速的单题考试或随堂调查，限定考试时间，学生答题后立即给出结果，结果显示学生答案柱状图分析和答题时间，可作为抢答依据。</w:t>
            </w:r>
          </w:p>
          <w:p w14:paraId="76CF8A21"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6．抢答竞赛：教师可以出任意题目请学生作答，学生抢答时只需按下按钮即可。</w:t>
            </w:r>
          </w:p>
          <w:p w14:paraId="2AF44AFE"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四.课堂管理</w:t>
            </w:r>
          </w:p>
          <w:p w14:paraId="7087A11B"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1．★签到：提供学生名单管理工具，为软件和考试模块提供实名验证。提供点名功能，支持保留学生多次登录记录、考勤统计、签到信息的导出与对比。</w:t>
            </w:r>
          </w:p>
          <w:p w14:paraId="7B72D036"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2．班级模型：有单独的管理界面，实现对班级模型的统一管理，并能够导入、导出，调用不同网络教室中的班级模型。</w:t>
            </w:r>
          </w:p>
          <w:p w14:paraId="22B2045B"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lastRenderedPageBreak/>
              <w:t>3．U盘限制：对U</w:t>
            </w:r>
            <w:proofErr w:type="gramStart"/>
            <w:r>
              <w:rPr>
                <w:rFonts w:ascii="宋体" w:hAnsi="宋体" w:hint="eastAsia"/>
                <w:szCs w:val="21"/>
              </w:rPr>
              <w:t>盘访问</w:t>
            </w:r>
            <w:proofErr w:type="gramEnd"/>
            <w:r>
              <w:rPr>
                <w:rFonts w:ascii="宋体" w:hAnsi="宋体" w:hint="eastAsia"/>
                <w:szCs w:val="21"/>
              </w:rPr>
              <w:t>权限的设定（完全开放、只读、只写、完全限制），有效控制学生使用U盘，防止资料的流失和病毒的引入。</w:t>
            </w:r>
          </w:p>
          <w:p w14:paraId="09EC07CF"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4．网页限制：设定学生访问网站的黑名单或白名单，对学生可以访问的Internet站点进行管理。支持多浏览器限制，如QQ、IE、谷歌、360、遨游等浏览器。</w:t>
            </w:r>
          </w:p>
          <w:p w14:paraId="4632BB0C"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5．程序限制：通过各种策略的应用，可防止学生在教学过程中打游戏，或使用QQ，MSN等聊天工具，支持限制U盘，网络映射盘，硬盘虚拟盘，虚拟光盘，内存虚拟盘里的程序。</w:t>
            </w:r>
          </w:p>
          <w:p w14:paraId="16B198DA"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6．打印限制：可限制学生是否可以打印。</w:t>
            </w:r>
          </w:p>
          <w:p w14:paraId="67C1CF65"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7．光盘限制：可限制是否允许使用光盘播放。</w:t>
            </w:r>
          </w:p>
          <w:p w14:paraId="08609EB8"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8．★学生端属性查看：教师可以获取学生端计算机的名称、登录名和其它常用信息，并可以列出学生端的应用程序、进程和进程 ID，教师还可以远程终止学生端的进程。</w:t>
            </w:r>
          </w:p>
          <w:p w14:paraId="0A630330"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9．黑屏肃静：教师可以对单一、部分、全体学生执行黑屏肃静来禁止其进行任何操作，达到专心听课目的，教师可自定义黑屏的内容与图片。</w:t>
            </w:r>
          </w:p>
          <w:p w14:paraId="6A6455A5"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10．远程命令：可以进行远程开机、关机、重启等操作，支持远程打开网页、远程启动程序和远程关闭所有学生正在执行的应用程序。</w:t>
            </w:r>
          </w:p>
          <w:p w14:paraId="20C97A82"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11．分组管理：教师可以新建，删除，重命名分组，添加和删除分组中的成员，设置小组长。分组信息随班级模型永久保存，下次上课可以直接使用保存的分组。</w:t>
            </w:r>
          </w:p>
          <w:p w14:paraId="3116AE3C"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12．自动锁屏：独有的断线保护自动锁屏技术，通过网卡的是否激活来锁定屏幕，避免学生拔掉网线违反纪律。</w:t>
            </w:r>
          </w:p>
          <w:p w14:paraId="7860C855"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13．防杀进程：为安全起见，学生端程序运行后，防止学生通过任务管理</w:t>
            </w:r>
            <w:proofErr w:type="gramStart"/>
            <w:r>
              <w:rPr>
                <w:rFonts w:ascii="宋体" w:hAnsi="宋体" w:hint="eastAsia"/>
                <w:szCs w:val="21"/>
              </w:rPr>
              <w:t>器结束</w:t>
            </w:r>
            <w:proofErr w:type="gramEnd"/>
            <w:r>
              <w:rPr>
                <w:rFonts w:ascii="宋体" w:hAnsi="宋体" w:hint="eastAsia"/>
                <w:szCs w:val="21"/>
              </w:rPr>
              <w:t>学生端程序进程来逃脱教师控制。</w:t>
            </w:r>
          </w:p>
          <w:p w14:paraId="1D6E4FEB"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14．远程设置：远程设置学生桌面主题、桌面背景、屏幕保护方案、学生的频道号和音量、学生的卸载密码，是否启用进程保护，断线锁屏，热键退出等。</w:t>
            </w:r>
          </w:p>
        </w:tc>
        <w:tc>
          <w:tcPr>
            <w:tcW w:w="693" w:type="dxa"/>
            <w:tcBorders>
              <w:top w:val="single" w:sz="4" w:space="0" w:color="auto"/>
              <w:left w:val="single" w:sz="4" w:space="0" w:color="auto"/>
              <w:bottom w:val="single" w:sz="4" w:space="0" w:color="auto"/>
              <w:right w:val="single" w:sz="4" w:space="0" w:color="auto"/>
            </w:tcBorders>
            <w:vAlign w:val="center"/>
          </w:tcPr>
          <w:p w14:paraId="1912CCAE" w14:textId="77777777" w:rsidR="00207EF1" w:rsidRDefault="004B5A65">
            <w:pPr>
              <w:widowControl/>
              <w:adjustRightInd w:val="0"/>
              <w:snapToGrid w:val="0"/>
              <w:spacing w:line="320" w:lineRule="exact"/>
              <w:ind w:left="265" w:hangingChars="126" w:hanging="265"/>
              <w:jc w:val="center"/>
              <w:textAlignment w:val="center"/>
              <w:rPr>
                <w:rFonts w:ascii="宋体" w:hAnsi="宋体"/>
                <w:szCs w:val="21"/>
              </w:rPr>
            </w:pPr>
            <w:r>
              <w:rPr>
                <w:rFonts w:ascii="宋体" w:hAnsi="宋体" w:hint="eastAsia"/>
                <w:szCs w:val="21"/>
              </w:rPr>
              <w:lastRenderedPageBreak/>
              <w:t>1套</w:t>
            </w:r>
          </w:p>
        </w:tc>
      </w:tr>
      <w:tr w:rsidR="00207EF1" w14:paraId="5572D57E" w14:textId="77777777">
        <w:trPr>
          <w:trHeight w:val="882"/>
        </w:trPr>
        <w:tc>
          <w:tcPr>
            <w:tcW w:w="523" w:type="dxa"/>
            <w:tcBorders>
              <w:top w:val="single" w:sz="4" w:space="0" w:color="auto"/>
              <w:left w:val="single" w:sz="4" w:space="0" w:color="auto"/>
              <w:bottom w:val="single" w:sz="4" w:space="0" w:color="auto"/>
              <w:right w:val="single" w:sz="4" w:space="0" w:color="auto"/>
            </w:tcBorders>
            <w:vAlign w:val="center"/>
          </w:tcPr>
          <w:p w14:paraId="4BC998A0" w14:textId="059EB2AE" w:rsidR="00207EF1" w:rsidRDefault="007D6C11">
            <w:pPr>
              <w:autoSpaceDN w:val="0"/>
              <w:jc w:val="center"/>
              <w:textAlignment w:val="center"/>
              <w:rPr>
                <w:rFonts w:ascii="宋体" w:hAnsi="宋体"/>
                <w:color w:val="000000"/>
                <w:szCs w:val="21"/>
              </w:rPr>
            </w:pPr>
            <w:r>
              <w:rPr>
                <w:rFonts w:ascii="宋体" w:hAnsi="宋体"/>
                <w:color w:val="000000"/>
                <w:szCs w:val="21"/>
              </w:rPr>
              <w:lastRenderedPageBreak/>
              <w:t>4</w:t>
            </w:r>
          </w:p>
        </w:tc>
        <w:tc>
          <w:tcPr>
            <w:tcW w:w="818" w:type="dxa"/>
            <w:tcBorders>
              <w:top w:val="single" w:sz="4" w:space="0" w:color="auto"/>
              <w:left w:val="single" w:sz="4" w:space="0" w:color="auto"/>
              <w:bottom w:val="single" w:sz="4" w:space="0" w:color="auto"/>
              <w:right w:val="single" w:sz="4" w:space="0" w:color="auto"/>
            </w:tcBorders>
            <w:vAlign w:val="center"/>
          </w:tcPr>
          <w:p w14:paraId="66646E30" w14:textId="305909A2" w:rsidR="00207EF1" w:rsidRDefault="004B5A65">
            <w:pPr>
              <w:widowControl/>
              <w:jc w:val="left"/>
              <w:rPr>
                <w:rFonts w:ascii="宋体" w:eastAsia="宋体" w:hAnsi="宋体" w:cs="宋体"/>
                <w:kern w:val="0"/>
                <w:sz w:val="24"/>
              </w:rPr>
            </w:pPr>
            <w:r>
              <w:rPr>
                <w:rFonts w:ascii="宋体" w:eastAsia="宋体" w:hAnsi="宋体" w:cs="宋体" w:hint="eastAsia"/>
                <w:kern w:val="0"/>
                <w:sz w:val="24"/>
              </w:rPr>
              <w:t>桌椅</w:t>
            </w:r>
          </w:p>
        </w:tc>
        <w:tc>
          <w:tcPr>
            <w:tcW w:w="1070" w:type="dxa"/>
            <w:tcBorders>
              <w:top w:val="single" w:sz="4" w:space="0" w:color="auto"/>
              <w:left w:val="single" w:sz="4" w:space="0" w:color="auto"/>
              <w:bottom w:val="single" w:sz="4" w:space="0" w:color="auto"/>
              <w:right w:val="single" w:sz="4" w:space="0" w:color="auto"/>
            </w:tcBorders>
            <w:vAlign w:val="center"/>
          </w:tcPr>
          <w:p w14:paraId="7563B76B" w14:textId="77777777" w:rsidR="00207EF1" w:rsidRDefault="004B5A65">
            <w:pPr>
              <w:autoSpaceDN w:val="0"/>
              <w:ind w:left="210" w:hangingChars="100" w:hanging="210"/>
              <w:jc w:val="center"/>
              <w:textAlignment w:val="center"/>
              <w:rPr>
                <w:rFonts w:ascii="宋体" w:hAnsi="宋体"/>
                <w:color w:val="000000"/>
                <w:szCs w:val="21"/>
              </w:rPr>
            </w:pPr>
            <w:r>
              <w:rPr>
                <w:rFonts w:ascii="宋体" w:hAnsi="宋体" w:hint="eastAsia"/>
                <w:color w:val="000000"/>
                <w:szCs w:val="21"/>
              </w:rPr>
              <w:t>定制</w:t>
            </w:r>
          </w:p>
        </w:tc>
        <w:tc>
          <w:tcPr>
            <w:tcW w:w="7303" w:type="dxa"/>
            <w:tcBorders>
              <w:top w:val="single" w:sz="4" w:space="0" w:color="auto"/>
              <w:left w:val="single" w:sz="4" w:space="0" w:color="auto"/>
              <w:bottom w:val="single" w:sz="4" w:space="0" w:color="auto"/>
              <w:right w:val="single" w:sz="4" w:space="0" w:color="auto"/>
            </w:tcBorders>
            <w:vAlign w:val="center"/>
          </w:tcPr>
          <w:p w14:paraId="0A2958CF"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规格:1200*600*750mm</w:t>
            </w:r>
          </w:p>
          <w:p w14:paraId="53102700"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1、材料：基材采用优质品牌E1级环保三聚氰胺板，表面压防火型三聚氢氨面，板材符合国标标准，不变形、板材经过防潮、防虫、防腐等化学处理， 甲醛释放量≤2mg/100g,符合国家环保标准， 真正达到趋于 0 甲醛释放量，环保安全，台面厚度为 25mm。</w:t>
            </w:r>
          </w:p>
          <w:p w14:paraId="259A5B3C"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2、封边：台面采用优质PVC 封边；</w:t>
            </w:r>
          </w:p>
          <w:p w14:paraId="100E1946"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3、脚</w:t>
            </w:r>
            <w:proofErr w:type="gramStart"/>
            <w:r>
              <w:rPr>
                <w:rFonts w:ascii="宋体" w:hAnsi="宋体" w:hint="eastAsia"/>
                <w:szCs w:val="21"/>
              </w:rPr>
              <w:t>架采用</w:t>
            </w:r>
            <w:proofErr w:type="gramEnd"/>
            <w:r>
              <w:rPr>
                <w:rFonts w:ascii="宋体" w:hAnsi="宋体" w:hint="eastAsia"/>
                <w:szCs w:val="21"/>
              </w:rPr>
              <w:t xml:space="preserve">≥39 mm *56mm，厚度≥1.2mm </w:t>
            </w:r>
            <w:proofErr w:type="gramStart"/>
            <w:r>
              <w:rPr>
                <w:rFonts w:ascii="宋体" w:hAnsi="宋体" w:hint="eastAsia"/>
                <w:szCs w:val="21"/>
              </w:rPr>
              <w:t>的工型无缝钢管</w:t>
            </w:r>
            <w:proofErr w:type="gramEnd"/>
            <w:r>
              <w:rPr>
                <w:rFonts w:ascii="宋体" w:hAnsi="宋体" w:hint="eastAsia"/>
                <w:szCs w:val="21"/>
              </w:rPr>
              <w:t>带 PVE 制作调节水平功能的旋扭调节脚</w:t>
            </w:r>
          </w:p>
        </w:tc>
        <w:tc>
          <w:tcPr>
            <w:tcW w:w="693" w:type="dxa"/>
            <w:tcBorders>
              <w:top w:val="single" w:sz="4" w:space="0" w:color="auto"/>
              <w:left w:val="single" w:sz="4" w:space="0" w:color="auto"/>
              <w:bottom w:val="single" w:sz="4" w:space="0" w:color="auto"/>
              <w:right w:val="single" w:sz="4" w:space="0" w:color="auto"/>
            </w:tcBorders>
            <w:vAlign w:val="center"/>
          </w:tcPr>
          <w:p w14:paraId="7B137520" w14:textId="77777777" w:rsidR="00207EF1" w:rsidRDefault="004B5A65">
            <w:pPr>
              <w:widowControl/>
              <w:adjustRightInd w:val="0"/>
              <w:snapToGrid w:val="0"/>
              <w:spacing w:line="320" w:lineRule="exact"/>
              <w:ind w:left="265" w:hangingChars="126" w:hanging="265"/>
              <w:jc w:val="center"/>
              <w:textAlignment w:val="center"/>
              <w:rPr>
                <w:rFonts w:ascii="宋体" w:hAnsi="宋体"/>
                <w:szCs w:val="21"/>
              </w:rPr>
            </w:pPr>
            <w:r>
              <w:rPr>
                <w:rFonts w:ascii="宋体" w:hAnsi="宋体" w:hint="eastAsia"/>
                <w:szCs w:val="21"/>
              </w:rPr>
              <w:t>31套</w:t>
            </w:r>
          </w:p>
        </w:tc>
      </w:tr>
      <w:tr w:rsidR="00207EF1" w14:paraId="7EC2FE05" w14:textId="77777777">
        <w:trPr>
          <w:trHeight w:val="882"/>
        </w:trPr>
        <w:tc>
          <w:tcPr>
            <w:tcW w:w="523" w:type="dxa"/>
            <w:tcBorders>
              <w:top w:val="single" w:sz="4" w:space="0" w:color="auto"/>
              <w:left w:val="single" w:sz="4" w:space="0" w:color="auto"/>
              <w:bottom w:val="single" w:sz="4" w:space="0" w:color="auto"/>
              <w:right w:val="single" w:sz="4" w:space="0" w:color="auto"/>
            </w:tcBorders>
            <w:vAlign w:val="center"/>
          </w:tcPr>
          <w:p w14:paraId="3D39BEAF" w14:textId="1CD84844" w:rsidR="00207EF1" w:rsidRDefault="007D6C11">
            <w:pPr>
              <w:autoSpaceDN w:val="0"/>
              <w:jc w:val="center"/>
              <w:textAlignment w:val="center"/>
              <w:rPr>
                <w:rFonts w:ascii="宋体" w:hAnsi="宋体"/>
                <w:color w:val="000000"/>
                <w:szCs w:val="21"/>
              </w:rPr>
            </w:pPr>
            <w:r>
              <w:rPr>
                <w:rFonts w:ascii="宋体" w:hAnsi="宋体"/>
                <w:color w:val="000000"/>
                <w:szCs w:val="21"/>
              </w:rPr>
              <w:t>5</w:t>
            </w:r>
          </w:p>
        </w:tc>
        <w:tc>
          <w:tcPr>
            <w:tcW w:w="818" w:type="dxa"/>
            <w:tcBorders>
              <w:top w:val="single" w:sz="4" w:space="0" w:color="auto"/>
              <w:left w:val="single" w:sz="4" w:space="0" w:color="auto"/>
              <w:bottom w:val="single" w:sz="4" w:space="0" w:color="auto"/>
              <w:right w:val="single" w:sz="4" w:space="0" w:color="auto"/>
            </w:tcBorders>
            <w:vAlign w:val="center"/>
          </w:tcPr>
          <w:p w14:paraId="2E4E14E4" w14:textId="77777777" w:rsidR="00207EF1" w:rsidRDefault="004B5A65">
            <w:pPr>
              <w:widowControl/>
              <w:jc w:val="left"/>
              <w:rPr>
                <w:rFonts w:ascii="宋体" w:eastAsia="宋体" w:hAnsi="宋体" w:cs="宋体"/>
                <w:kern w:val="0"/>
                <w:sz w:val="24"/>
              </w:rPr>
            </w:pPr>
            <w:r>
              <w:rPr>
                <w:rFonts w:ascii="宋体" w:eastAsia="宋体" w:hAnsi="宋体" w:cs="宋体" w:hint="eastAsia"/>
                <w:kern w:val="0"/>
                <w:sz w:val="24"/>
              </w:rPr>
              <w:t>机柜</w:t>
            </w:r>
          </w:p>
        </w:tc>
        <w:tc>
          <w:tcPr>
            <w:tcW w:w="1070" w:type="dxa"/>
            <w:tcBorders>
              <w:top w:val="single" w:sz="4" w:space="0" w:color="auto"/>
              <w:left w:val="single" w:sz="4" w:space="0" w:color="auto"/>
              <w:bottom w:val="single" w:sz="4" w:space="0" w:color="auto"/>
              <w:right w:val="single" w:sz="4" w:space="0" w:color="auto"/>
            </w:tcBorders>
            <w:vAlign w:val="center"/>
          </w:tcPr>
          <w:p w14:paraId="289ECB85" w14:textId="77777777" w:rsidR="00207EF1" w:rsidRDefault="004B5A65">
            <w:pPr>
              <w:autoSpaceDN w:val="0"/>
              <w:ind w:left="210" w:hangingChars="100" w:hanging="210"/>
              <w:jc w:val="center"/>
              <w:textAlignment w:val="center"/>
              <w:rPr>
                <w:rFonts w:ascii="宋体" w:hAnsi="宋体"/>
                <w:color w:val="000000"/>
                <w:szCs w:val="21"/>
              </w:rPr>
            </w:pPr>
            <w:r>
              <w:rPr>
                <w:rFonts w:ascii="宋体" w:hAnsi="宋体" w:hint="eastAsia"/>
                <w:color w:val="000000"/>
                <w:szCs w:val="21"/>
              </w:rPr>
              <w:t>定制</w:t>
            </w:r>
          </w:p>
        </w:tc>
        <w:tc>
          <w:tcPr>
            <w:tcW w:w="7303" w:type="dxa"/>
            <w:tcBorders>
              <w:top w:val="single" w:sz="4" w:space="0" w:color="auto"/>
              <w:left w:val="single" w:sz="4" w:space="0" w:color="auto"/>
              <w:bottom w:val="single" w:sz="4" w:space="0" w:color="auto"/>
              <w:right w:val="single" w:sz="4" w:space="0" w:color="auto"/>
            </w:tcBorders>
            <w:vAlign w:val="center"/>
          </w:tcPr>
          <w:p w14:paraId="1B9A27DC"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600*600*1000落地机柜</w:t>
            </w:r>
          </w:p>
        </w:tc>
        <w:tc>
          <w:tcPr>
            <w:tcW w:w="693" w:type="dxa"/>
            <w:tcBorders>
              <w:top w:val="single" w:sz="4" w:space="0" w:color="auto"/>
              <w:left w:val="single" w:sz="4" w:space="0" w:color="auto"/>
              <w:bottom w:val="single" w:sz="4" w:space="0" w:color="auto"/>
              <w:right w:val="single" w:sz="4" w:space="0" w:color="auto"/>
            </w:tcBorders>
            <w:vAlign w:val="center"/>
          </w:tcPr>
          <w:p w14:paraId="5918EE93" w14:textId="77777777" w:rsidR="00207EF1" w:rsidRDefault="004B5A65">
            <w:pPr>
              <w:widowControl/>
              <w:adjustRightInd w:val="0"/>
              <w:snapToGrid w:val="0"/>
              <w:spacing w:line="320" w:lineRule="exact"/>
              <w:ind w:left="265" w:hangingChars="126" w:hanging="265"/>
              <w:jc w:val="center"/>
              <w:textAlignment w:val="center"/>
              <w:rPr>
                <w:rFonts w:ascii="宋体" w:hAnsi="宋体"/>
                <w:szCs w:val="21"/>
              </w:rPr>
            </w:pPr>
            <w:r>
              <w:rPr>
                <w:rFonts w:ascii="宋体" w:hAnsi="宋体" w:hint="eastAsia"/>
                <w:szCs w:val="21"/>
              </w:rPr>
              <w:t>1台</w:t>
            </w:r>
          </w:p>
        </w:tc>
      </w:tr>
    </w:tbl>
    <w:p w14:paraId="04E0F6E7" w14:textId="77777777" w:rsidR="00207EF1" w:rsidRDefault="00207EF1"/>
    <w:p w14:paraId="2F547997" w14:textId="77777777" w:rsidR="00207EF1" w:rsidRDefault="004B5A65">
      <w:r>
        <w:rPr>
          <w:rFonts w:hint="eastAsia"/>
        </w:rPr>
        <w:t>商务要求：</w:t>
      </w:r>
    </w:p>
    <w:tbl>
      <w:tblPr>
        <w:tblpPr w:leftFromText="180" w:rightFromText="180" w:vertAnchor="text" w:tblpX="114" w:tblpY="1"/>
        <w:tblOverlap w:val="never"/>
        <w:tblW w:w="10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9"/>
        <w:gridCol w:w="8127"/>
      </w:tblGrid>
      <w:tr w:rsidR="00207EF1" w14:paraId="335837D2" w14:textId="77777777">
        <w:trPr>
          <w:trHeight w:val="270"/>
        </w:trPr>
        <w:tc>
          <w:tcPr>
            <w:tcW w:w="2179" w:type="dxa"/>
            <w:shd w:val="clear" w:color="auto" w:fill="auto"/>
            <w:noWrap/>
            <w:vAlign w:val="center"/>
          </w:tcPr>
          <w:p w14:paraId="022064B1"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商务项目</w:t>
            </w:r>
          </w:p>
        </w:tc>
        <w:tc>
          <w:tcPr>
            <w:tcW w:w="8127" w:type="dxa"/>
            <w:shd w:val="clear" w:color="auto" w:fill="auto"/>
            <w:noWrap/>
            <w:vAlign w:val="center"/>
          </w:tcPr>
          <w:p w14:paraId="638DB81F"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商务要求</w:t>
            </w:r>
          </w:p>
        </w:tc>
      </w:tr>
      <w:tr w:rsidR="00207EF1" w14:paraId="4007855E" w14:textId="77777777">
        <w:trPr>
          <w:trHeight w:val="3105"/>
        </w:trPr>
        <w:tc>
          <w:tcPr>
            <w:tcW w:w="2179" w:type="dxa"/>
            <w:shd w:val="clear" w:color="auto" w:fill="auto"/>
            <w:noWrap/>
            <w:vAlign w:val="center"/>
          </w:tcPr>
          <w:p w14:paraId="645ABD3B"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lastRenderedPageBreak/>
              <w:t>资质响应要求</w:t>
            </w:r>
          </w:p>
        </w:tc>
        <w:tc>
          <w:tcPr>
            <w:tcW w:w="8127" w:type="dxa"/>
            <w:shd w:val="clear" w:color="auto" w:fill="auto"/>
            <w:vAlign w:val="center"/>
          </w:tcPr>
          <w:p w14:paraId="5310A29E" w14:textId="51BFD6FD" w:rsidR="00207EF1" w:rsidRDefault="004B5A65">
            <w:pPr>
              <w:widowControl/>
              <w:ind w:firstLineChars="200" w:firstLine="440"/>
              <w:jc w:val="left"/>
              <w:rPr>
                <w:rFonts w:ascii="宋体" w:eastAsia="宋体" w:hAnsi="宋体" w:cs="宋体"/>
                <w:color w:val="000000"/>
                <w:kern w:val="0"/>
                <w:sz w:val="22"/>
              </w:rPr>
            </w:pPr>
            <w:r>
              <w:rPr>
                <w:rFonts w:ascii="宋体" w:eastAsia="宋体" w:hAnsi="宋体" w:cs="宋体" w:hint="eastAsia"/>
                <w:color w:val="000000"/>
                <w:kern w:val="0"/>
                <w:sz w:val="22"/>
              </w:rPr>
              <w:t>为了保障采购人采购的设备正常使用和高效的售后服务，确保设备的稳定运行，杜绝假冒伪劣产品，竞标时竞标人必须提供本项目序号1“教师</w:t>
            </w:r>
            <w:r w:rsidR="00120980">
              <w:rPr>
                <w:rFonts w:ascii="宋体" w:eastAsia="宋体" w:hAnsi="宋体" w:cs="宋体" w:hint="eastAsia"/>
                <w:color w:val="000000"/>
                <w:kern w:val="0"/>
                <w:sz w:val="22"/>
              </w:rPr>
              <w:t>计算机</w:t>
            </w:r>
            <w:r>
              <w:rPr>
                <w:rFonts w:ascii="宋体" w:eastAsia="宋体" w:hAnsi="宋体" w:cs="宋体" w:hint="eastAsia"/>
                <w:color w:val="000000"/>
                <w:kern w:val="0"/>
                <w:sz w:val="22"/>
              </w:rPr>
              <w:t>”、序号2“学生</w:t>
            </w:r>
            <w:r w:rsidR="00120980">
              <w:rPr>
                <w:rFonts w:ascii="宋体" w:eastAsia="宋体" w:hAnsi="宋体" w:cs="宋体" w:hint="eastAsia"/>
                <w:color w:val="000000"/>
                <w:kern w:val="0"/>
                <w:sz w:val="22"/>
              </w:rPr>
              <w:t>计算机</w:t>
            </w:r>
            <w:r>
              <w:rPr>
                <w:rFonts w:ascii="宋体" w:eastAsia="宋体" w:hAnsi="宋体" w:cs="宋体" w:hint="eastAsia"/>
                <w:color w:val="000000"/>
                <w:kern w:val="0"/>
                <w:sz w:val="22"/>
              </w:rPr>
              <w:t>”、 序号3“</w:t>
            </w:r>
            <w:r w:rsidR="00120980">
              <w:rPr>
                <w:rFonts w:ascii="宋体" w:eastAsia="宋体" w:hAnsi="宋体" w:cs="宋体" w:hint="eastAsia"/>
                <w:color w:val="000000"/>
                <w:kern w:val="0"/>
                <w:sz w:val="22"/>
              </w:rPr>
              <w:t>电子</w:t>
            </w:r>
            <w:r>
              <w:rPr>
                <w:rFonts w:ascii="宋体" w:eastAsia="宋体" w:hAnsi="宋体" w:cs="宋体" w:hint="eastAsia"/>
                <w:color w:val="000000"/>
                <w:kern w:val="0"/>
                <w:sz w:val="22"/>
              </w:rPr>
              <w:t>教室管理软件”，生产厂家针对本项目的授权书、生产厂家的供货证明和售后服务承诺函原件并加盖生产厂家公章。</w:t>
            </w:r>
          </w:p>
          <w:p w14:paraId="43FC63D9" w14:textId="259E2CB0" w:rsidR="00207EF1" w:rsidRDefault="004B5A65">
            <w:pPr>
              <w:widowControl/>
              <w:ind w:firstLineChars="200" w:firstLine="440"/>
              <w:jc w:val="left"/>
              <w:rPr>
                <w:rFonts w:ascii="宋体" w:eastAsia="宋体" w:hAnsi="宋体" w:cs="宋体"/>
                <w:color w:val="000000"/>
                <w:kern w:val="0"/>
                <w:sz w:val="22"/>
              </w:rPr>
            </w:pPr>
            <w:r>
              <w:rPr>
                <w:rFonts w:ascii="宋体" w:eastAsia="宋体" w:hAnsi="宋体" w:cs="宋体" w:hint="eastAsia"/>
                <w:color w:val="000000"/>
                <w:kern w:val="0"/>
                <w:sz w:val="22"/>
              </w:rPr>
              <w:t>本次采购方式为反向竞价，已指定品牌、型号，为确保采购人的合法权益，竞标人请务必认真了解项目采购需求和要求（本项目教师</w:t>
            </w:r>
            <w:r w:rsidR="00120980">
              <w:rPr>
                <w:rFonts w:ascii="宋体" w:eastAsia="宋体" w:hAnsi="宋体" w:cs="宋体" w:hint="eastAsia"/>
                <w:color w:val="000000"/>
                <w:kern w:val="0"/>
                <w:sz w:val="22"/>
              </w:rPr>
              <w:t>计算机</w:t>
            </w:r>
            <w:r>
              <w:rPr>
                <w:rFonts w:ascii="宋体" w:eastAsia="宋体" w:hAnsi="宋体" w:cs="宋体" w:hint="eastAsia"/>
                <w:color w:val="000000"/>
                <w:kern w:val="0"/>
                <w:sz w:val="22"/>
              </w:rPr>
              <w:t>、学生</w:t>
            </w:r>
            <w:r w:rsidR="00120980">
              <w:rPr>
                <w:rFonts w:ascii="宋体" w:eastAsia="宋体" w:hAnsi="宋体" w:cs="宋体" w:hint="eastAsia"/>
                <w:color w:val="000000"/>
                <w:kern w:val="0"/>
                <w:sz w:val="22"/>
              </w:rPr>
              <w:t>计算机</w:t>
            </w:r>
            <w:r>
              <w:rPr>
                <w:rFonts w:ascii="宋体" w:eastAsia="宋体" w:hAnsi="宋体" w:cs="宋体" w:hint="eastAsia"/>
                <w:color w:val="000000"/>
                <w:kern w:val="0"/>
                <w:sz w:val="22"/>
              </w:rPr>
              <w:t xml:space="preserve">报价仅限品牌型号: 智微华光E700、智微华光E700-ED；教室管理软件报价仅限品牌型号: </w:t>
            </w:r>
            <w:proofErr w:type="gramStart"/>
            <w:r>
              <w:rPr>
                <w:rFonts w:ascii="宋体" w:eastAsia="宋体" w:hAnsi="宋体" w:cs="宋体" w:hint="eastAsia"/>
                <w:color w:val="000000"/>
                <w:kern w:val="0"/>
                <w:sz w:val="22"/>
              </w:rPr>
              <w:t>极</w:t>
            </w:r>
            <w:proofErr w:type="gramEnd"/>
            <w:r>
              <w:rPr>
                <w:rFonts w:ascii="宋体" w:eastAsia="宋体" w:hAnsi="宋体" w:cs="宋体" w:hint="eastAsia"/>
                <w:color w:val="000000"/>
                <w:kern w:val="0"/>
                <w:sz w:val="22"/>
              </w:rPr>
              <w:t>域课堂管理系统软件V6.0专业版，不接受推荐品牌型号外的产品，竞标供应商不得以任何理由更改设备的品牌、型号、配置，配置必须是原厂出厂标配，否则报价将无效）。</w:t>
            </w:r>
          </w:p>
          <w:p w14:paraId="11AF32BA" w14:textId="77777777" w:rsidR="00207EF1" w:rsidRDefault="004B5A65">
            <w:pPr>
              <w:widowControl/>
              <w:ind w:firstLineChars="200" w:firstLine="440"/>
              <w:jc w:val="left"/>
              <w:rPr>
                <w:rFonts w:ascii="宋体" w:eastAsia="宋体" w:hAnsi="宋体" w:cs="宋体"/>
                <w:color w:val="000000"/>
                <w:kern w:val="0"/>
                <w:sz w:val="22"/>
              </w:rPr>
            </w:pPr>
            <w:r>
              <w:rPr>
                <w:rFonts w:ascii="宋体" w:eastAsia="宋体" w:hAnsi="宋体" w:cs="宋体" w:hint="eastAsia"/>
                <w:color w:val="000000"/>
                <w:kern w:val="0"/>
                <w:sz w:val="22"/>
              </w:rPr>
              <w:t>请竞标人按本项目采购需求中的“品牌/型号及技术参数要求”和“报价等其他要求”中所要求的所有内容进行逐条响应，并且对采购的产品进行逐项报价，形成响应文件，且响应文件必须上传，作为合同组成部分。竞标供应商自行起草响应文件，响应文件内容包含：第一轮报价表（报价表中含有品牌、型号、技术参数、分项报价）、技术参数及商务条款及资质要求材料（原件备查）、需求表中要求的证明材料（原件备查），并加盖竞标人公章，承诺满足反向竞价信息内容进行报价，并于竞标时上传附件，无法满足条件视为恶意竞标，作无效竞标处理，并通过报备政</w:t>
            </w:r>
            <w:proofErr w:type="gramStart"/>
            <w:r>
              <w:rPr>
                <w:rFonts w:ascii="宋体" w:eastAsia="宋体" w:hAnsi="宋体" w:cs="宋体" w:hint="eastAsia"/>
                <w:color w:val="000000"/>
                <w:kern w:val="0"/>
                <w:sz w:val="22"/>
              </w:rPr>
              <w:t>采云</w:t>
            </w:r>
            <w:proofErr w:type="gramEnd"/>
            <w:r>
              <w:rPr>
                <w:rFonts w:ascii="宋体" w:eastAsia="宋体" w:hAnsi="宋体" w:cs="宋体" w:hint="eastAsia"/>
                <w:color w:val="000000"/>
                <w:kern w:val="0"/>
                <w:sz w:val="22"/>
              </w:rPr>
              <w:t>平台及财政厅监管部门后，移送司法机关诉诸法律手段，追究竞标人的法律责任，由此引发的一切</w:t>
            </w:r>
            <w:proofErr w:type="gramStart"/>
            <w:r>
              <w:rPr>
                <w:rFonts w:ascii="宋体" w:eastAsia="宋体" w:hAnsi="宋体" w:cs="宋体" w:hint="eastAsia"/>
                <w:color w:val="000000"/>
                <w:kern w:val="0"/>
                <w:sz w:val="22"/>
              </w:rPr>
              <w:t>后果由竟标</w:t>
            </w:r>
            <w:proofErr w:type="gramEnd"/>
            <w:r>
              <w:rPr>
                <w:rFonts w:ascii="宋体" w:eastAsia="宋体" w:hAnsi="宋体" w:cs="宋体" w:hint="eastAsia"/>
                <w:color w:val="000000"/>
                <w:kern w:val="0"/>
                <w:sz w:val="22"/>
              </w:rPr>
              <w:t>人承担。</w:t>
            </w:r>
          </w:p>
        </w:tc>
      </w:tr>
      <w:tr w:rsidR="00207EF1" w14:paraId="14F84B34" w14:textId="77777777">
        <w:trPr>
          <w:trHeight w:val="1425"/>
        </w:trPr>
        <w:tc>
          <w:tcPr>
            <w:tcW w:w="2179" w:type="dxa"/>
            <w:shd w:val="clear" w:color="auto" w:fill="auto"/>
            <w:noWrap/>
            <w:vAlign w:val="center"/>
          </w:tcPr>
          <w:p w14:paraId="3C02E121"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其他要求</w:t>
            </w:r>
          </w:p>
        </w:tc>
        <w:tc>
          <w:tcPr>
            <w:tcW w:w="8127" w:type="dxa"/>
            <w:shd w:val="clear" w:color="auto" w:fill="auto"/>
            <w:vAlign w:val="center"/>
          </w:tcPr>
          <w:p w14:paraId="4EB730D0" w14:textId="4E3CEA05"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在签订合同前，成交供应商必须提供1套与技术参数要求及功能符合序号</w:t>
            </w:r>
            <w:r w:rsidR="007D6C11">
              <w:rPr>
                <w:rFonts w:ascii="宋体" w:eastAsia="宋体" w:hAnsi="宋体" w:cs="宋体"/>
                <w:color w:val="000000"/>
                <w:kern w:val="0"/>
                <w:sz w:val="22"/>
              </w:rPr>
              <w:t>1</w:t>
            </w:r>
            <w:r>
              <w:rPr>
                <w:rFonts w:ascii="宋体" w:eastAsia="宋体" w:hAnsi="宋体" w:cs="宋体" w:hint="eastAsia"/>
                <w:color w:val="000000"/>
                <w:kern w:val="0"/>
                <w:sz w:val="22"/>
              </w:rPr>
              <w:t>“</w:t>
            </w:r>
            <w:r w:rsidR="007D6C11">
              <w:rPr>
                <w:rFonts w:ascii="宋体" w:eastAsia="宋体" w:hAnsi="宋体" w:cs="宋体" w:hint="eastAsia"/>
                <w:color w:val="000000"/>
                <w:kern w:val="0"/>
                <w:sz w:val="22"/>
              </w:rPr>
              <w:t>教师计算机</w:t>
            </w:r>
            <w:r>
              <w:rPr>
                <w:rFonts w:ascii="宋体" w:eastAsia="宋体" w:hAnsi="宋体" w:cs="宋体" w:hint="eastAsia"/>
                <w:color w:val="000000"/>
                <w:kern w:val="0"/>
                <w:sz w:val="22"/>
              </w:rPr>
              <w:t>”、序号2“学生</w:t>
            </w:r>
            <w:r w:rsidR="007D6C11">
              <w:rPr>
                <w:rFonts w:ascii="宋体" w:eastAsia="宋体" w:hAnsi="宋体" w:cs="宋体" w:hint="eastAsia"/>
                <w:color w:val="000000"/>
                <w:kern w:val="0"/>
                <w:sz w:val="22"/>
              </w:rPr>
              <w:t>计算机</w:t>
            </w:r>
            <w:r>
              <w:rPr>
                <w:rFonts w:ascii="宋体" w:eastAsia="宋体" w:hAnsi="宋体" w:cs="宋体" w:hint="eastAsia"/>
                <w:color w:val="000000"/>
                <w:kern w:val="0"/>
                <w:sz w:val="22"/>
              </w:rPr>
              <w:t>”、 序号3“</w:t>
            </w:r>
            <w:r w:rsidR="007D6C11">
              <w:rPr>
                <w:rFonts w:ascii="宋体" w:eastAsia="宋体" w:hAnsi="宋体" w:cs="宋体" w:hint="eastAsia"/>
                <w:color w:val="000000"/>
                <w:kern w:val="0"/>
                <w:sz w:val="22"/>
              </w:rPr>
              <w:t>电子</w:t>
            </w:r>
            <w:r>
              <w:rPr>
                <w:rFonts w:ascii="宋体" w:eastAsia="宋体" w:hAnsi="宋体" w:cs="宋体" w:hint="eastAsia"/>
                <w:color w:val="000000"/>
                <w:kern w:val="0"/>
                <w:sz w:val="22"/>
              </w:rPr>
              <w:t>教室管理软件”的样品和生产厂家针对本项目的授权书、供货证明和售后服务承诺函原件至采购人处进行整体性能演示和核实作为合同确认的标准依据，如出现所提供样品不符技术参数要求或无法提供所有样品和生产厂家针对本项目的授权书、供货证明和售后服务承诺函原件的，均视为</w:t>
            </w:r>
            <w:proofErr w:type="gramStart"/>
            <w:r>
              <w:rPr>
                <w:rFonts w:ascii="宋体" w:eastAsia="宋体" w:hAnsi="宋体" w:cs="宋体" w:hint="eastAsia"/>
                <w:color w:val="000000"/>
                <w:kern w:val="0"/>
                <w:sz w:val="22"/>
              </w:rPr>
              <w:t>虚假响应</w:t>
            </w:r>
            <w:proofErr w:type="gramEnd"/>
            <w:r>
              <w:rPr>
                <w:rFonts w:ascii="宋体" w:eastAsia="宋体" w:hAnsi="宋体" w:cs="宋体" w:hint="eastAsia"/>
                <w:color w:val="000000"/>
                <w:kern w:val="0"/>
                <w:sz w:val="22"/>
              </w:rPr>
              <w:t>货物要求处理并追究法律责任。并通过报备政</w:t>
            </w:r>
            <w:proofErr w:type="gramStart"/>
            <w:r>
              <w:rPr>
                <w:rFonts w:ascii="宋体" w:eastAsia="宋体" w:hAnsi="宋体" w:cs="宋体" w:hint="eastAsia"/>
                <w:color w:val="000000"/>
                <w:kern w:val="0"/>
                <w:sz w:val="22"/>
              </w:rPr>
              <w:t>采云</w:t>
            </w:r>
            <w:proofErr w:type="gramEnd"/>
            <w:r>
              <w:rPr>
                <w:rFonts w:ascii="宋体" w:eastAsia="宋体" w:hAnsi="宋体" w:cs="宋体" w:hint="eastAsia"/>
                <w:color w:val="000000"/>
                <w:kern w:val="0"/>
                <w:sz w:val="22"/>
              </w:rPr>
              <w:t>平台及财政厅监管部门后，移送司法机关诉诸法律手段，追究竞标人的法律责任，由此引发的一切</w:t>
            </w:r>
            <w:proofErr w:type="gramStart"/>
            <w:r>
              <w:rPr>
                <w:rFonts w:ascii="宋体" w:eastAsia="宋体" w:hAnsi="宋体" w:cs="宋体" w:hint="eastAsia"/>
                <w:color w:val="000000"/>
                <w:kern w:val="0"/>
                <w:sz w:val="22"/>
              </w:rPr>
              <w:t>后果由竟标</w:t>
            </w:r>
            <w:proofErr w:type="gramEnd"/>
            <w:r>
              <w:rPr>
                <w:rFonts w:ascii="宋体" w:eastAsia="宋体" w:hAnsi="宋体" w:cs="宋体" w:hint="eastAsia"/>
                <w:color w:val="000000"/>
                <w:kern w:val="0"/>
                <w:sz w:val="22"/>
              </w:rPr>
              <w:t>人承担。</w:t>
            </w:r>
          </w:p>
        </w:tc>
      </w:tr>
      <w:tr w:rsidR="00207EF1" w14:paraId="28895558" w14:textId="77777777">
        <w:trPr>
          <w:trHeight w:val="810"/>
        </w:trPr>
        <w:tc>
          <w:tcPr>
            <w:tcW w:w="2179" w:type="dxa"/>
            <w:shd w:val="clear" w:color="auto" w:fill="auto"/>
            <w:noWrap/>
            <w:vAlign w:val="center"/>
          </w:tcPr>
          <w:p w14:paraId="35C30A70"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供货要求</w:t>
            </w:r>
          </w:p>
        </w:tc>
        <w:tc>
          <w:tcPr>
            <w:tcW w:w="8127" w:type="dxa"/>
            <w:shd w:val="clear" w:color="auto" w:fill="auto"/>
            <w:vAlign w:val="center"/>
          </w:tcPr>
          <w:p w14:paraId="1231C389"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供应商应充分考虑供货成本，如供应商低价恶意竞价、未按参数要求提供并上</w:t>
            </w:r>
            <w:proofErr w:type="gramStart"/>
            <w:r>
              <w:rPr>
                <w:rFonts w:ascii="宋体" w:eastAsia="宋体" w:hAnsi="宋体" w:cs="宋体" w:hint="eastAsia"/>
                <w:color w:val="000000"/>
                <w:kern w:val="0"/>
                <w:sz w:val="22"/>
              </w:rPr>
              <w:t>传相应</w:t>
            </w:r>
            <w:proofErr w:type="gramEnd"/>
            <w:r>
              <w:rPr>
                <w:rFonts w:ascii="宋体" w:eastAsia="宋体" w:hAnsi="宋体" w:cs="宋体" w:hint="eastAsia"/>
                <w:color w:val="000000"/>
                <w:kern w:val="0"/>
                <w:sz w:val="22"/>
              </w:rPr>
              <w:t>证明文件、且中标后无法按要求提供货物或者所供货物及资质要求无法满足参数要求的，采购人将按虚假竞标处理，</w:t>
            </w:r>
            <w:proofErr w:type="gramStart"/>
            <w:r>
              <w:rPr>
                <w:rFonts w:ascii="宋体" w:eastAsia="宋体" w:hAnsi="宋体" w:cs="宋体" w:hint="eastAsia"/>
                <w:color w:val="000000"/>
                <w:kern w:val="0"/>
                <w:sz w:val="22"/>
              </w:rPr>
              <w:t>并保追究</w:t>
            </w:r>
            <w:proofErr w:type="gramEnd"/>
            <w:r>
              <w:rPr>
                <w:rFonts w:ascii="宋体" w:eastAsia="宋体" w:hAnsi="宋体" w:cs="宋体" w:hint="eastAsia"/>
                <w:color w:val="000000"/>
                <w:kern w:val="0"/>
                <w:sz w:val="22"/>
              </w:rPr>
              <w:t>因耽误采购人使用时间造成的损失进行赔偿的权利，并通过报备政</w:t>
            </w:r>
            <w:proofErr w:type="gramStart"/>
            <w:r>
              <w:rPr>
                <w:rFonts w:ascii="宋体" w:eastAsia="宋体" w:hAnsi="宋体" w:cs="宋体" w:hint="eastAsia"/>
                <w:color w:val="000000"/>
                <w:kern w:val="0"/>
                <w:sz w:val="22"/>
              </w:rPr>
              <w:t>采云</w:t>
            </w:r>
            <w:proofErr w:type="gramEnd"/>
            <w:r>
              <w:rPr>
                <w:rFonts w:ascii="宋体" w:eastAsia="宋体" w:hAnsi="宋体" w:cs="宋体" w:hint="eastAsia"/>
                <w:color w:val="000000"/>
                <w:kern w:val="0"/>
                <w:sz w:val="22"/>
              </w:rPr>
              <w:t>平台及财政厅监管部门后，移送司法机关诉诸法律手段，追究投标人的法律责任，由此引发的一切后果由投标人承担。</w:t>
            </w:r>
          </w:p>
        </w:tc>
      </w:tr>
      <w:tr w:rsidR="00207EF1" w14:paraId="19735076" w14:textId="77777777">
        <w:trPr>
          <w:trHeight w:val="480"/>
        </w:trPr>
        <w:tc>
          <w:tcPr>
            <w:tcW w:w="2179" w:type="dxa"/>
            <w:shd w:val="clear" w:color="auto" w:fill="auto"/>
            <w:noWrap/>
            <w:vAlign w:val="center"/>
          </w:tcPr>
          <w:p w14:paraId="3638095C"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报价要求</w:t>
            </w:r>
          </w:p>
        </w:tc>
        <w:tc>
          <w:tcPr>
            <w:tcW w:w="8127" w:type="dxa"/>
            <w:shd w:val="clear" w:color="auto" w:fill="auto"/>
            <w:vAlign w:val="center"/>
          </w:tcPr>
          <w:p w14:paraId="7F71DFF4"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报价必须包含所有货物、随配附件、售后服务、培训、税金及其他所有可能发生的一切费用，采购人不再支付任何费用。</w:t>
            </w:r>
          </w:p>
        </w:tc>
      </w:tr>
      <w:tr w:rsidR="00207EF1" w14:paraId="0DA2B039" w14:textId="77777777">
        <w:trPr>
          <w:trHeight w:val="480"/>
        </w:trPr>
        <w:tc>
          <w:tcPr>
            <w:tcW w:w="2179" w:type="dxa"/>
            <w:shd w:val="clear" w:color="auto" w:fill="auto"/>
            <w:noWrap/>
            <w:vAlign w:val="center"/>
          </w:tcPr>
          <w:p w14:paraId="16CACF03"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付款方式</w:t>
            </w:r>
          </w:p>
        </w:tc>
        <w:tc>
          <w:tcPr>
            <w:tcW w:w="8127" w:type="dxa"/>
            <w:shd w:val="clear" w:color="auto" w:fill="auto"/>
            <w:vAlign w:val="center"/>
          </w:tcPr>
          <w:p w14:paraId="61AB9CFA"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项目全部货物服务交付并安装调试至正常运行，经采购人最终验收合格后，中标人开具增值税专用发票给采购人，采购人在收到发票后10个工作日内一次性支付100%合同货款。</w:t>
            </w:r>
          </w:p>
        </w:tc>
      </w:tr>
      <w:tr w:rsidR="00207EF1" w14:paraId="315B6888" w14:textId="77777777">
        <w:trPr>
          <w:trHeight w:val="810"/>
        </w:trPr>
        <w:tc>
          <w:tcPr>
            <w:tcW w:w="2179" w:type="dxa"/>
            <w:shd w:val="clear" w:color="auto" w:fill="auto"/>
            <w:noWrap/>
            <w:vAlign w:val="center"/>
          </w:tcPr>
          <w:p w14:paraId="440EF294"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验收要求</w:t>
            </w:r>
          </w:p>
        </w:tc>
        <w:tc>
          <w:tcPr>
            <w:tcW w:w="8127" w:type="dxa"/>
            <w:shd w:val="clear" w:color="auto" w:fill="auto"/>
            <w:vAlign w:val="center"/>
          </w:tcPr>
          <w:p w14:paraId="04420C0A"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验收标准 （1)、成交供应商须针对商务条款要求及技术参数逐条响应，若无法满足竞标文件需求则按照虚假应标处理，造成的一切后果及损失</w:t>
            </w:r>
            <w:proofErr w:type="gramStart"/>
            <w:r>
              <w:rPr>
                <w:rFonts w:ascii="宋体" w:eastAsia="宋体" w:hAnsi="宋体" w:cs="宋体" w:hint="eastAsia"/>
                <w:color w:val="000000"/>
                <w:kern w:val="0"/>
                <w:sz w:val="22"/>
              </w:rPr>
              <w:t>由成交</w:t>
            </w:r>
            <w:proofErr w:type="gramEnd"/>
            <w:r>
              <w:rPr>
                <w:rFonts w:ascii="宋体" w:eastAsia="宋体" w:hAnsi="宋体" w:cs="宋体" w:hint="eastAsia"/>
                <w:color w:val="000000"/>
                <w:kern w:val="0"/>
                <w:sz w:val="22"/>
              </w:rPr>
              <w:t>供应商承担。（2)、验收过程中，如采购人觉得有必要，可以邀请有资质的第三方检测机构对中标人提供的产品进行检测，费用由中标人负担。</w:t>
            </w:r>
          </w:p>
        </w:tc>
      </w:tr>
      <w:tr w:rsidR="00207EF1" w14:paraId="66988006" w14:textId="77777777">
        <w:trPr>
          <w:trHeight w:val="810"/>
        </w:trPr>
        <w:tc>
          <w:tcPr>
            <w:tcW w:w="2179" w:type="dxa"/>
            <w:shd w:val="clear" w:color="auto" w:fill="auto"/>
            <w:noWrap/>
            <w:vAlign w:val="center"/>
          </w:tcPr>
          <w:p w14:paraId="7381E68D"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售后服务要求</w:t>
            </w:r>
          </w:p>
        </w:tc>
        <w:tc>
          <w:tcPr>
            <w:tcW w:w="8127" w:type="dxa"/>
            <w:shd w:val="clear" w:color="auto" w:fill="auto"/>
            <w:vAlign w:val="center"/>
          </w:tcPr>
          <w:p w14:paraId="65CCC85F"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(1)、售后服务:考虑到项目需要上门安装调试及售后</w:t>
            </w:r>
            <w:proofErr w:type="gramStart"/>
            <w:r>
              <w:rPr>
                <w:rFonts w:ascii="宋体" w:eastAsia="宋体" w:hAnsi="宋体" w:cs="宋体" w:hint="eastAsia"/>
                <w:color w:val="000000"/>
                <w:kern w:val="0"/>
                <w:sz w:val="22"/>
              </w:rPr>
              <w:t>上门维保服务</w:t>
            </w:r>
            <w:proofErr w:type="gramEnd"/>
            <w:r>
              <w:rPr>
                <w:rFonts w:ascii="宋体" w:eastAsia="宋体" w:hAnsi="宋体" w:cs="宋体" w:hint="eastAsia"/>
                <w:color w:val="000000"/>
                <w:kern w:val="0"/>
                <w:sz w:val="22"/>
              </w:rPr>
              <w:t>，本项目只接受项目所在地供应商(或承诺中标后在项目所在地成立售后服务网点)。非项目所在地供应商一律不接受、不验收、不签合同。接到故障通知后成交供应商应在20分钟内电话服务应答，2个小时内现场维护响应，故障响应时间为2小时内提供解决方案，特殊情况无法修复的，质保期内成交供应商应无条件更换新设备、提供代用设备或采取使设备可正常运转的措施。</w:t>
            </w:r>
          </w:p>
          <w:p w14:paraId="53F6040C"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lastRenderedPageBreak/>
              <w:t>(2)、成交供应商在政府采购经营活动中如有不良行为记录名单或重大违法记录，不得参与此次项目竞标。</w:t>
            </w:r>
          </w:p>
          <w:p w14:paraId="4F939A2F"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(3)、在质保期内设备非因人为及不可抗拒因素的原因而引起损坏或质量问题，成交供应商应免费予以技术服务、维修或设备更换，并承担相应费用和零部件的费用，因人为因素出现的故障不在免费保修范围内，成交供应商也要积极帮助采购人修理，并提供优惠价格的配件和服务。</w:t>
            </w:r>
          </w:p>
          <w:p w14:paraId="17CC90F6"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（4）、质保期：按生产厂家保修条款保修。</w:t>
            </w:r>
          </w:p>
        </w:tc>
      </w:tr>
      <w:tr w:rsidR="00207EF1" w14:paraId="3E79A164" w14:textId="77777777">
        <w:trPr>
          <w:trHeight w:val="810"/>
        </w:trPr>
        <w:tc>
          <w:tcPr>
            <w:tcW w:w="2179" w:type="dxa"/>
            <w:shd w:val="clear" w:color="auto" w:fill="auto"/>
            <w:noWrap/>
            <w:vAlign w:val="center"/>
          </w:tcPr>
          <w:p w14:paraId="22A115E1"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lastRenderedPageBreak/>
              <w:t>交货时间</w:t>
            </w:r>
          </w:p>
        </w:tc>
        <w:tc>
          <w:tcPr>
            <w:tcW w:w="8127" w:type="dxa"/>
            <w:shd w:val="clear" w:color="auto" w:fill="auto"/>
            <w:vAlign w:val="center"/>
          </w:tcPr>
          <w:p w14:paraId="271CEC16"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自中标通知书公告完毕之日起3个工作日内全部交货安装调试完毕；中标方逾期交付货物的，应按逾期交付价值总额每日千分之五的标准向采购方支付违约金，由采购方从待付货款中直接扣除，中标方逾期时间超过2个工作日仍不能交付的，视为不能履约，采购方可解除采购合同，按虚假竞标处理，</w:t>
            </w:r>
            <w:proofErr w:type="gramStart"/>
            <w:r>
              <w:rPr>
                <w:rFonts w:ascii="宋体" w:eastAsia="宋体" w:hAnsi="宋体" w:cs="宋体" w:hint="eastAsia"/>
                <w:color w:val="000000"/>
                <w:kern w:val="0"/>
                <w:sz w:val="22"/>
              </w:rPr>
              <w:t>并保追究</w:t>
            </w:r>
            <w:proofErr w:type="gramEnd"/>
            <w:r>
              <w:rPr>
                <w:rFonts w:ascii="宋体" w:eastAsia="宋体" w:hAnsi="宋体" w:cs="宋体" w:hint="eastAsia"/>
                <w:color w:val="000000"/>
                <w:kern w:val="0"/>
                <w:sz w:val="22"/>
              </w:rPr>
              <w:t>因耽误采购人使用时间造成的损失进行赔偿的权利，并通过报备政</w:t>
            </w:r>
            <w:proofErr w:type="gramStart"/>
            <w:r>
              <w:rPr>
                <w:rFonts w:ascii="宋体" w:eastAsia="宋体" w:hAnsi="宋体" w:cs="宋体" w:hint="eastAsia"/>
                <w:color w:val="000000"/>
                <w:kern w:val="0"/>
                <w:sz w:val="22"/>
              </w:rPr>
              <w:t>采云</w:t>
            </w:r>
            <w:proofErr w:type="gramEnd"/>
            <w:r>
              <w:rPr>
                <w:rFonts w:ascii="宋体" w:eastAsia="宋体" w:hAnsi="宋体" w:cs="宋体" w:hint="eastAsia"/>
                <w:color w:val="000000"/>
                <w:kern w:val="0"/>
                <w:sz w:val="22"/>
              </w:rPr>
              <w:t>平台及财政厅监管部门后，移送司法机关诉诸法律手段，追究投标人的法律责任，由此引发的一切后果由投标人承担。</w:t>
            </w:r>
          </w:p>
        </w:tc>
      </w:tr>
    </w:tbl>
    <w:p w14:paraId="02BDC5DF" w14:textId="77777777" w:rsidR="00207EF1" w:rsidRDefault="00207EF1">
      <w:pPr>
        <w:widowControl/>
        <w:jc w:val="left"/>
        <w:rPr>
          <w:rFonts w:asciiTheme="majorEastAsia" w:eastAsiaTheme="majorEastAsia" w:hAnsiTheme="majorEastAsia"/>
          <w:u w:val="single"/>
        </w:rPr>
      </w:pPr>
    </w:p>
    <w:p w14:paraId="02FB9278" w14:textId="77777777" w:rsidR="00207EF1" w:rsidRDefault="00207EF1"/>
    <w:sectPr w:rsidR="00207EF1">
      <w:pgSz w:w="11906" w:h="16838"/>
      <w:pgMar w:top="873" w:right="907" w:bottom="873" w:left="90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AA454" w14:textId="77777777" w:rsidR="00590162" w:rsidRDefault="00590162" w:rsidP="00120980">
      <w:r>
        <w:separator/>
      </w:r>
    </w:p>
  </w:endnote>
  <w:endnote w:type="continuationSeparator" w:id="0">
    <w:p w14:paraId="6B68E4A5" w14:textId="77777777" w:rsidR="00590162" w:rsidRDefault="00590162" w:rsidP="00120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4985F" w14:textId="77777777" w:rsidR="00590162" w:rsidRDefault="00590162" w:rsidP="00120980">
      <w:r>
        <w:separator/>
      </w:r>
    </w:p>
  </w:footnote>
  <w:footnote w:type="continuationSeparator" w:id="0">
    <w:p w14:paraId="509DD846" w14:textId="77777777" w:rsidR="00590162" w:rsidRDefault="00590162" w:rsidP="001209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90023A5"/>
    <w:rsid w:val="00120980"/>
    <w:rsid w:val="00207EF1"/>
    <w:rsid w:val="004B5A65"/>
    <w:rsid w:val="00590162"/>
    <w:rsid w:val="007D6C11"/>
    <w:rsid w:val="190023A5"/>
    <w:rsid w:val="1AF30238"/>
    <w:rsid w:val="214B781F"/>
    <w:rsid w:val="2A5D3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6BC09A"/>
  <w15:docId w15:val="{D1019ED3-858F-4142-997A-0486E78BE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rFonts w:ascii="Times New Roman" w:eastAsia="微软雅黑" w:hAnsi="Times New Roman" w:cs="Times New Roman"/>
      <w:b/>
      <w:kern w:val="44"/>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spacing w:before="240" w:after="60"/>
      <w:jc w:val="center"/>
      <w:outlineLvl w:val="0"/>
    </w:pPr>
    <w:rPr>
      <w:rFonts w:ascii="Arial" w:hAnsi="Arial"/>
      <w:b/>
      <w:sz w:val="32"/>
    </w:rPr>
  </w:style>
  <w:style w:type="paragraph" w:styleId="a4">
    <w:name w:val="header"/>
    <w:basedOn w:val="a"/>
    <w:link w:val="a5"/>
    <w:rsid w:val="0012098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120980"/>
    <w:rPr>
      <w:kern w:val="2"/>
      <w:sz w:val="18"/>
      <w:szCs w:val="18"/>
    </w:rPr>
  </w:style>
  <w:style w:type="paragraph" w:styleId="a6">
    <w:name w:val="footer"/>
    <w:basedOn w:val="a"/>
    <w:link w:val="a7"/>
    <w:rsid w:val="00120980"/>
    <w:pPr>
      <w:tabs>
        <w:tab w:val="center" w:pos="4153"/>
        <w:tab w:val="right" w:pos="8306"/>
      </w:tabs>
      <w:snapToGrid w:val="0"/>
      <w:jc w:val="left"/>
    </w:pPr>
    <w:rPr>
      <w:sz w:val="18"/>
      <w:szCs w:val="18"/>
    </w:rPr>
  </w:style>
  <w:style w:type="character" w:customStyle="1" w:styleId="a7">
    <w:name w:val="页脚 字符"/>
    <w:basedOn w:val="a0"/>
    <w:link w:val="a6"/>
    <w:rsid w:val="0012098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8</Pages>
  <Words>1479</Words>
  <Characters>8436</Characters>
  <Application>Microsoft Office Word</Application>
  <DocSecurity>0</DocSecurity>
  <Lines>70</Lines>
  <Paragraphs>19</Paragraphs>
  <ScaleCrop>false</ScaleCrop>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阙明</cp:lastModifiedBy>
  <cp:revision>5</cp:revision>
  <dcterms:created xsi:type="dcterms:W3CDTF">2026-08-24T03:41:00Z</dcterms:created>
  <dcterms:modified xsi:type="dcterms:W3CDTF">2026-08-24T09:42:00Z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0530E07621C34B75BD2A0E81E8BB3D75_11</vt:lpwstr>
  </property>
  <property fmtid="{D5CDD505-2E9C-101B-9397-08002B2CF9AE}" pid="4" name="KSOTemplateDocerSaveRecord">
    <vt:lpwstr>eyJoZGlkIjoiOTE5N2ZmOWNjMGJjNzg0ZmYxODU2YjkwNTRlZmM2MmIiLCJ1c2VySWQiOiI0MzE4NjQwMjAifQ==</vt:lpwstr>
  </property>
</Properties>
</file>