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ED348">
      <w:pPr>
        <w:spacing w:line="560" w:lineRule="exact"/>
        <w:ind w:firstLine="723" w:firstLineChars="200"/>
        <w:jc w:val="center"/>
        <w:rPr>
          <w:rFonts w:hint="eastAsia" w:ascii="仿宋_GB2312" w:hAnsi="仿宋" w:eastAsia="仿宋_GB2312"/>
          <w:b/>
          <w:bCs/>
          <w:sz w:val="36"/>
          <w:szCs w:val="36"/>
        </w:rPr>
      </w:pPr>
      <w:r>
        <w:rPr>
          <w:rFonts w:hint="eastAsia" w:ascii="仿宋_GB2312" w:hAnsi="仿宋" w:eastAsia="仿宋_GB2312"/>
          <w:b/>
          <w:bCs/>
          <w:sz w:val="36"/>
          <w:szCs w:val="36"/>
        </w:rPr>
        <w:t>智能感知与数据采集系统</w:t>
      </w:r>
    </w:p>
    <w:p w14:paraId="1DC08E53">
      <w:pPr>
        <w:spacing w:line="560" w:lineRule="exact"/>
        <w:ind w:firstLine="723" w:firstLineChars="200"/>
        <w:jc w:val="center"/>
        <w:rPr>
          <w:rFonts w:ascii="楷体_GB2312" w:hAnsi="楷体" w:eastAsia="楷体_GB2312"/>
          <w:b/>
          <w:bCs/>
          <w:sz w:val="36"/>
          <w:szCs w:val="36"/>
        </w:rPr>
      </w:pPr>
      <w:r>
        <w:rPr>
          <w:rFonts w:hint="eastAsia" w:ascii="楷体_GB2312" w:hAnsi="楷体" w:eastAsia="楷体_GB2312"/>
          <w:b/>
          <w:bCs/>
          <w:sz w:val="36"/>
          <w:szCs w:val="36"/>
        </w:rPr>
        <w:t>技术商务要求</w:t>
      </w:r>
    </w:p>
    <w:p w14:paraId="6D5C9A2E">
      <w:pPr>
        <w:spacing w:line="560" w:lineRule="exact"/>
        <w:ind w:firstLine="643" w:firstLineChars="200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1.技术要求</w:t>
      </w:r>
    </w:p>
    <w:tbl>
      <w:tblPr>
        <w:tblStyle w:val="4"/>
        <w:tblpPr w:leftFromText="180" w:rightFromText="180" w:vertAnchor="text" w:horzAnchor="page" w:tblpX="1388" w:tblpY="586"/>
        <w:tblOverlap w:val="never"/>
        <w:tblW w:w="589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3"/>
        <w:gridCol w:w="725"/>
        <w:gridCol w:w="8623"/>
      </w:tblGrid>
      <w:tr w14:paraId="6123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</w:trPr>
        <w:tc>
          <w:tcPr>
            <w:tcW w:w="241" w:type="pct"/>
            <w:vAlign w:val="center"/>
          </w:tcPr>
          <w:p w14:paraId="06F096EE">
            <w:pPr>
              <w:widowControl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369" w:type="pct"/>
            <w:vAlign w:val="center"/>
          </w:tcPr>
          <w:p w14:paraId="0BF4B1B8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名称</w:t>
            </w:r>
          </w:p>
        </w:tc>
        <w:tc>
          <w:tcPr>
            <w:tcW w:w="4389" w:type="pct"/>
            <w:vAlign w:val="center"/>
          </w:tcPr>
          <w:p w14:paraId="1074D81D">
            <w:pPr>
              <w:widowControl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6"/>
                <w:sz w:val="24"/>
                <w:szCs w:val="24"/>
              </w:rPr>
              <w:t>主要功能（技术参数）</w:t>
            </w:r>
          </w:p>
        </w:tc>
      </w:tr>
      <w:tr w14:paraId="371CA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</w:trPr>
        <w:tc>
          <w:tcPr>
            <w:tcW w:w="241" w:type="pct"/>
            <w:shd w:val="clear" w:color="auto" w:fill="auto"/>
            <w:vAlign w:val="center"/>
          </w:tcPr>
          <w:p w14:paraId="400F5855">
            <w:pPr>
              <w:widowControl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F64D183">
            <w:pPr>
              <w:rPr>
                <w:rFonts w:ascii="宋体" w:hAnsi="宋体" w:eastAsia="宋体" w:cs="宋体"/>
                <w:b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工位可视化大屏</w:t>
            </w:r>
          </w:p>
        </w:tc>
        <w:tc>
          <w:tcPr>
            <w:tcW w:w="4389" w:type="pct"/>
            <w:shd w:val="clear" w:color="auto" w:fill="auto"/>
            <w:vAlign w:val="top"/>
          </w:tcPr>
          <w:p w14:paraId="7482FC03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一、核心显示技术参数</w:t>
            </w:r>
          </w:p>
          <w:p w14:paraId="0C69F56A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★1、屏幕尺寸与类型：屏幕尺寸≥32英寸，面板类型为IPS技术，具备广视角特性（可视角度≥178°）。</w:t>
            </w:r>
          </w:p>
          <w:p w14:paraId="2D1E3CF1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★2、分辨率与刷新率：物理分辨率≥3840×2160（4K UHD），刷新率≥60Hz。</w:t>
            </w:r>
          </w:p>
          <w:p w14:paraId="218F988D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3、色彩显示性能：</w:t>
            </w:r>
          </w:p>
          <w:p w14:paraId="270A0555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色彩深度：支持10.7亿色显示（8bit+FRC或原生10bit）；</w:t>
            </w:r>
          </w:p>
          <w:p w14:paraId="260A3ECF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色彩准确度：出厂前经过色彩校准，具备专业级色彩还原能力。</w:t>
            </w:r>
          </w:p>
          <w:p w14:paraId="6F192306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4、HDR与亮度：支持HDR400高动态范围显示技术，峰值亮度≥400cd/m²。</w:t>
            </w:r>
          </w:p>
          <w:p w14:paraId="58A695EE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5、接口配置：配备HDMI 2.0接口≥2个，DisplayPort接口≥1个，支持4K@60Hz信号输入。</w:t>
            </w:r>
          </w:p>
          <w:p w14:paraId="25D4131A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6、人体工学设计：底座支持升降、旋转及俯仰调节（或支持VESA壁挂标准）。</w:t>
            </w:r>
          </w:p>
          <w:p w14:paraId="4A38D8E0">
            <w:pPr>
              <w:spacing w:before="120" w:after="120" w:line="288" w:lineRule="auto"/>
              <w:jc w:val="left"/>
              <w:rPr>
                <w:rFonts w:hint="eastAsia" w:ascii="宋体" w:hAnsi="宋体" w:eastAsia="宋体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7、能效等级：符合国家一级能效标准。</w:t>
            </w:r>
          </w:p>
        </w:tc>
      </w:tr>
      <w:tr w14:paraId="3A6AE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</w:trPr>
        <w:tc>
          <w:tcPr>
            <w:tcW w:w="241" w:type="pct"/>
            <w:shd w:val="clear" w:color="auto" w:fill="auto"/>
            <w:vAlign w:val="center"/>
          </w:tcPr>
          <w:p w14:paraId="44083CDA">
            <w:pPr>
              <w:widowControl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9A18D47">
            <w:pPr>
              <w:rPr>
                <w:rFonts w:ascii="宋体" w:hAnsi="宋体" w:eastAsia="宋体" w:cs="宋体"/>
                <w:b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数据存储服务器</w:t>
            </w:r>
          </w:p>
        </w:tc>
        <w:tc>
          <w:tcPr>
            <w:tcW w:w="4389" w:type="pct"/>
            <w:shd w:val="clear" w:color="auto" w:fill="auto"/>
            <w:vAlign w:val="top"/>
          </w:tcPr>
          <w:p w14:paraId="53C0F5AD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一、 硬件配置要求</w:t>
            </w:r>
          </w:p>
          <w:p w14:paraId="40A0D0A2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★ 1. 处理器 (CPU)： 采用64位四核心处理器，主频≥2.0GHz，具备硬件加密引擎。</w:t>
            </w:r>
          </w:p>
          <w:p w14:paraId="4FD825C3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★ 2. 内存： 配置≥4GB DDR3 ECC内存，支持数据错误校验，确保企业级数据完整性。</w:t>
            </w:r>
          </w:p>
          <w:p w14:paraId="0CDA5B51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★ 3. 盘位与扩展：</w:t>
            </w:r>
          </w:p>
          <w:p w14:paraId="452D7893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盘位数： 固定四盘位设计和两个M.2 NVMe SSD插槽</w:t>
            </w:r>
          </w:p>
          <w:p w14:paraId="284B478B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存储容量： 包含4块16TB企业级NAS专用硬盘，总裸容量≥64TB。M.2 NVMe SSD 两块1TB的缓存盘。 </w:t>
            </w:r>
          </w:p>
          <w:p w14:paraId="62408176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接口： 配备≥2个2.5 G  RJ45网络接口（支持链路聚合/故障转移），≥2个USB 3.0接口。</w:t>
            </w:r>
          </w:p>
          <w:p w14:paraId="51F843DD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二、 软件功能与服务 (核心要求)</w:t>
            </w:r>
          </w:p>
          <w:p w14:paraId="489C919A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★ 1.文件服务： 支持 SMB/AFP/NFS/FTP 等多种协议，兼容 Windows、Linux、Mac OS 跨平台文件共享。</w:t>
            </w:r>
          </w:p>
          <w:p w14:paraId="57AF27CA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2. 数据保护：</w:t>
            </w:r>
          </w:p>
          <w:p w14:paraId="6B6ABA1C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支持 Btrfs 或 ext4 文件系统，支持存储池管理。</w:t>
            </w:r>
          </w:p>
          <w:p w14:paraId="62D2717F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具备实时异地备份、多版本快照功能，支持 Rsync 数据同步。</w:t>
            </w:r>
          </w:p>
          <w:p w14:paraId="349DE3E8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支持 Active Directory (AD) 域控集成与 LDAP 认证。</w:t>
            </w:r>
          </w:p>
          <w:p w14:paraId="79BB2A6D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三、 服务与资质</w:t>
            </w:r>
          </w:p>
          <w:p w14:paraId="621E983B">
            <w:pPr>
              <w:spacing w:before="120" w:after="120" w:line="288" w:lineRule="auto"/>
              <w:jc w:val="left"/>
              <w:rPr>
                <w:rFonts w:hint="eastAsia" w:ascii="宋体" w:hAnsi="宋体" w:eastAsia="宋体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 原厂质保： 整机及硬盘需提供原厂至少3年联保服务。</w:t>
            </w:r>
          </w:p>
        </w:tc>
      </w:tr>
      <w:tr w14:paraId="1E65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</w:trPr>
        <w:tc>
          <w:tcPr>
            <w:tcW w:w="241" w:type="pct"/>
            <w:vAlign w:val="center"/>
          </w:tcPr>
          <w:p w14:paraId="09E6D057">
            <w:pPr>
              <w:widowControl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69" w:type="pct"/>
            <w:vAlign w:val="center"/>
          </w:tcPr>
          <w:p w14:paraId="375A25CB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服务器</w:t>
            </w:r>
          </w:p>
        </w:tc>
        <w:tc>
          <w:tcPr>
            <w:tcW w:w="4389" w:type="pct"/>
          </w:tcPr>
          <w:p w14:paraId="13A2F1F5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★1、处理器（CPU）：配置≥2颗CPU，单颗核心数≥16核，主频≥2.0 GHz；</w:t>
            </w:r>
          </w:p>
          <w:p w14:paraId="461597BD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★2、内存：容量≥64GB，类型为DDR4 ECC REG；</w:t>
            </w:r>
          </w:p>
          <w:p w14:paraId="19CF9FB3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3、存储配置：系统盘≥1TB SSD固态硬盘；数据盘≥8TB HDD机械硬盘：</w:t>
            </w:r>
          </w:p>
          <w:p w14:paraId="7A36C70E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★4、GPU（AI加速卡）：显存容量≥24GB，支持通用并行计算架构（CUDA）及主流AI框架加速;</w:t>
            </w:r>
          </w:p>
          <w:p w14:paraId="7933EB52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5、系统与网络：预装正版服务器操作系统；集成双端口万兆或以上速率网卡;</w:t>
            </w:r>
          </w:p>
          <w:p w14:paraId="0E2357B1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6、电源与虚拟化：配置冗余电源（1+1），支持热插拔；支持硬件虚拟化技术并兼容主流虚拟化平台；</w:t>
            </w:r>
          </w:p>
        </w:tc>
      </w:tr>
    </w:tbl>
    <w:p w14:paraId="24F36CF6">
      <w:pPr>
        <w:spacing w:line="560" w:lineRule="exact"/>
        <w:jc w:val="left"/>
        <w:rPr>
          <w:rFonts w:ascii="仿宋_GB2312" w:hAnsi="仿宋" w:eastAsia="仿宋_GB2312"/>
          <w:sz w:val="32"/>
          <w:szCs w:val="32"/>
        </w:rPr>
      </w:pPr>
    </w:p>
    <w:p w14:paraId="2B68D93E">
      <w:pPr>
        <w:spacing w:line="560" w:lineRule="exact"/>
        <w:ind w:firstLine="643" w:firstLineChars="200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商务要求</w:t>
      </w:r>
    </w:p>
    <w:tbl>
      <w:tblPr>
        <w:tblStyle w:val="4"/>
        <w:tblpPr w:leftFromText="180" w:rightFromText="180" w:vertAnchor="text" w:horzAnchor="page" w:tblpX="1473" w:tblpY="350"/>
        <w:tblOverlap w:val="never"/>
        <w:tblW w:w="5818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8519"/>
      </w:tblGrid>
      <w:tr w14:paraId="2CB702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603" w:type="pct"/>
          </w:tcPr>
          <w:p w14:paraId="276257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交货时间及地点</w:t>
            </w:r>
          </w:p>
        </w:tc>
        <w:tc>
          <w:tcPr>
            <w:tcW w:w="4396" w:type="pct"/>
          </w:tcPr>
          <w:p w14:paraId="69508944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1.交付使用时间：自合同签订并接到采购人书面通知后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个日历日内完成供货、安装、调试及验收。  </w:t>
            </w:r>
          </w:p>
          <w:p w14:paraId="26684B6F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2.交货地点：广西机电职业技术学院指定场所（含楼栋、楼层等详细地址），运输及保管由成交供应商负责。  </w:t>
            </w:r>
          </w:p>
          <w:p w14:paraId="0BB6BE69">
            <w:pPr>
              <w:spacing w:before="120" w:after="120" w:line="288" w:lineRule="auto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3. 交货方式：现场交付并安装至可用状态，提供签收单据。</w:t>
            </w:r>
          </w:p>
        </w:tc>
      </w:tr>
      <w:tr w14:paraId="28BFB3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603" w:type="pct"/>
          </w:tcPr>
          <w:p w14:paraId="240BE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质保期及售后服务</w:t>
            </w:r>
          </w:p>
        </w:tc>
        <w:tc>
          <w:tcPr>
            <w:tcW w:w="4396" w:type="pct"/>
          </w:tcPr>
          <w:p w14:paraId="362CD10B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1.提供送货上门、安装部署及调试服务，包含所有必要配件及首年备件。  </w:t>
            </w:r>
          </w:p>
          <w:p w14:paraId="0CEC955F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2.提供用户培训：制定详细培训计划，包含操作手册、维护指南及现场实操培训，培训费用包含在总价中。  </w:t>
            </w:r>
          </w:p>
          <w:p w14:paraId="2F043D6C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3.质保期：自验收合格之日起 12个月。质保期内提供上门维修及零配件更换；若因核心部件故障无法修复，须更换同型号新品，修复后质保期顺延；质保外提供终身维修服务，配件价格不高于市场均价。  </w:t>
            </w:r>
          </w:p>
          <w:p w14:paraId="5DE6468D">
            <w:pPr>
              <w:spacing w:before="120" w:after="120" w:line="288" w:lineRule="auto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4. 故障响应：7×24小时响应，接到报修后1小时内远程支持，3小时内到场；一般故障12小时内恢复，重大故障24小时内解决；若72小时无法修复，须在2日内提供备用机。</w:t>
            </w:r>
          </w:p>
        </w:tc>
      </w:tr>
      <w:tr w14:paraId="29A891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603" w:type="pct"/>
          </w:tcPr>
          <w:p w14:paraId="0072E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付款方式</w:t>
            </w:r>
          </w:p>
        </w:tc>
        <w:tc>
          <w:tcPr>
            <w:tcW w:w="4396" w:type="pct"/>
          </w:tcPr>
          <w:p w14:paraId="070CCADC">
            <w:pPr>
              <w:spacing w:before="120" w:after="120" w:line="288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货物安装并验收合格后10个工作日内采购人向中标供应商支付合同100%款项。中标供应商须在采购人付款前，按付款金额提供增值税专用发票给采购人。甲方未收到合格有效发票的，有权不予支付相应款项直至乙方提供合格发票，并不承担延迟付款责任。</w:t>
            </w:r>
          </w:p>
        </w:tc>
      </w:tr>
      <w:tr w14:paraId="03334C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603" w:type="pct"/>
          </w:tcPr>
          <w:p w14:paraId="729928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履约保证金</w:t>
            </w:r>
          </w:p>
        </w:tc>
        <w:tc>
          <w:tcPr>
            <w:tcW w:w="4396" w:type="pct"/>
          </w:tcPr>
          <w:p w14:paraId="2529E47C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 履约保证金金额：按成交金额的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3 </w:t>
            </w:r>
            <w:r>
              <w:rPr>
                <w:rFonts w:hint="eastAsia" w:ascii="宋体" w:hAnsi="宋体"/>
                <w:sz w:val="24"/>
                <w:szCs w:val="24"/>
              </w:rPr>
              <w:t>%交纳。</w:t>
            </w:r>
          </w:p>
          <w:p w14:paraId="2F6C691B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2.履约保证金递交方式：以电汇、转账、汇票、金融机构或担保机构出具的保函等非现金形式提交。由中标人在成交通知书发出后10个工作日内按规定的金额直接缴入广西机电职业技术学院账户，账户名称: 广西机电职业技术学院；开户行：建设银行南宁市大学路支行；银行账号：4500 1604 8510 5050 3961。</w:t>
            </w:r>
          </w:p>
          <w:p w14:paraId="3A18DE48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3.中标人须在签订合同之前按照本条规定的履约保证金金额、递交方式直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</w:rPr>
              <w:t>接转入采购人账户，否则不予签订合同。项目验收合格后1年退付（无息）。由中标人向履约保证金收取单位提供《采购项目合同验收书》、《采购项目履约保证金退付意见书》，保证金收取单位在收到合格材料后，根据中标人相关违约处罚扣款后的实际数额在5个工作日内办理退还手续（不计利息）。若采购内容质保期各不相同的，也可按金额比例分次退付。</w:t>
            </w:r>
          </w:p>
          <w:p w14:paraId="114B4B05">
            <w:pPr>
              <w:spacing w:before="120" w:after="120" w:line="288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4.在履约保证金退还日期前，若中标人的开户名称、开户银行、账号有变动的，请以书面形式通知广西机电职业技术学院，否则由此产生的后果由中标人自负。</w:t>
            </w:r>
          </w:p>
        </w:tc>
      </w:tr>
      <w:tr w14:paraId="375C5E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603" w:type="pct"/>
          </w:tcPr>
          <w:p w14:paraId="76D3D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其他要求</w:t>
            </w:r>
          </w:p>
        </w:tc>
        <w:tc>
          <w:tcPr>
            <w:tcW w:w="4396" w:type="pct"/>
          </w:tcPr>
          <w:p w14:paraId="49B025D7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1.本项目通过政府采购云平台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“电子卖场”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-在线询价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通道采购，成交供应商须为云平台合格供应商。  </w:t>
            </w:r>
          </w:p>
          <w:p w14:paraId="5D77E56D">
            <w:pPr>
              <w:spacing w:before="120" w:after="120" w:line="288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2. 所有设备须为原厂全新未拆封正品，供货时提供原厂保修证明及出厂检测报告。  </w:t>
            </w:r>
          </w:p>
          <w:p w14:paraId="518C0F14">
            <w:pPr>
              <w:spacing w:before="120" w:after="120" w:line="288" w:lineRule="auto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3. 技术参数及服务条款须完全响应，不接受负偏离。</w:t>
            </w:r>
          </w:p>
        </w:tc>
      </w:tr>
    </w:tbl>
    <w:p w14:paraId="02277B84">
      <w:pPr>
        <w:spacing w:line="560" w:lineRule="exact"/>
        <w:ind w:firstLine="640"/>
        <w:jc w:val="left"/>
        <w:rPr>
          <w:rFonts w:ascii="仿宋_GB2312" w:hAnsi="仿宋" w:eastAsia="仿宋_GB2312"/>
          <w:sz w:val="32"/>
          <w:szCs w:val="32"/>
        </w:rPr>
      </w:pPr>
    </w:p>
    <w:p w14:paraId="04E089D6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38B8E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F6A0B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F6A0B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E69C8"/>
    <w:rsid w:val="0F625BB7"/>
    <w:rsid w:val="266E69C8"/>
    <w:rsid w:val="302D7172"/>
    <w:rsid w:val="410C5E44"/>
    <w:rsid w:val="73E53C13"/>
    <w:rsid w:val="74C54FB7"/>
    <w:rsid w:val="78CE2508"/>
    <w:rsid w:val="7DB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1325</Words>
  <Characters>1565</Characters>
  <Lines>0</Lines>
  <Paragraphs>0</Paragraphs>
  <TotalTime>6</TotalTime>
  <ScaleCrop>false</ScaleCrop>
  <LinksUpToDate>false</LinksUpToDate>
  <CharactersWithSpaces>1635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2026-08-18T08:18:00Z</dcterms:created>
  <dc:creator>龙</dc:creator>
  <cp:lastModifiedBy>龙</cp:lastModifiedBy>
  <cp:lastPrinted>2026-08-18T09:54:00Z</cp:lastPrinted>
  <dcterms:modified xsi:type="dcterms:W3CDTF">2026-08-18T11:45:25Z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492D1C4D66364979AFC4ECD8ABD6BDBA_13</vt:lpwstr>
  </property>
  <property fmtid="{D5CDD505-2E9C-101B-9397-08002B2CF9AE}" pid="4" name="KSOTemplateDocerSaveRecord">
    <vt:lpwstr>eyJoZGlkIjoiNzE2MDc5OWE1YjkxZjcyZjQzYzgzYThlODBhMTgyMzgiLCJ1c2VySWQiOiIzMzgyNTAxMTcifQ==</vt:lpwstr>
  </property>
</Properties>
</file>