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7F40B">
      <w:pPr>
        <w:jc w:val="center"/>
        <w:rPr>
          <w:rFonts w:hint="eastAsia"/>
        </w:rPr>
      </w:pPr>
      <w:r>
        <w:rPr>
          <w:rFonts w:hint="eastAsia"/>
          <w:lang w:val="en-US" w:eastAsia="zh-CN"/>
        </w:rPr>
        <w:t>教室教学触控一体机</w:t>
      </w:r>
      <w:r>
        <w:rPr>
          <w:rFonts w:hint="eastAsia"/>
        </w:rPr>
        <w:t>采购项目需求及商务要求询价竞价表</w:t>
      </w:r>
    </w:p>
    <w:p w14:paraId="384A2EEB">
      <w:pPr>
        <w:jc w:val="left"/>
        <w:rPr>
          <w:rFonts w:hint="eastAsia"/>
        </w:rPr>
      </w:pPr>
      <w:r>
        <w:rPr>
          <w:rFonts w:hint="eastAsia"/>
        </w:rPr>
        <w:t>一、采购内容和规格参数要求</w:t>
      </w:r>
    </w:p>
    <w:p w14:paraId="2F47B126">
      <w:pPr>
        <w:jc w:val="right"/>
      </w:pPr>
      <w:r>
        <w:rPr>
          <w:rFonts w:hint="eastAsia"/>
        </w:rPr>
        <w:t>单位：元</w:t>
      </w:r>
    </w:p>
    <w:tbl>
      <w:tblPr>
        <w:tblStyle w:val="3"/>
        <w:tblW w:w="14424" w:type="dxa"/>
        <w:tblInd w:w="-1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9"/>
        <w:gridCol w:w="799"/>
        <w:gridCol w:w="581"/>
        <w:gridCol w:w="30"/>
        <w:gridCol w:w="585"/>
        <w:gridCol w:w="8820"/>
        <w:gridCol w:w="540"/>
        <w:gridCol w:w="465"/>
        <w:gridCol w:w="1095"/>
        <w:gridCol w:w="1050"/>
      </w:tblGrid>
      <w:tr w14:paraId="06060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2279"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0" w:type="dxa"/>
            </w:tcMar>
            <w:vAlign w:val="center"/>
          </w:tcPr>
          <w:p w14:paraId="2273DC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项目需求情况</w:t>
            </w:r>
          </w:p>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0" w:type="dxa"/>
            </w:tcMar>
            <w:vAlign w:val="center"/>
          </w:tcPr>
          <w:p w14:paraId="7EE175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项目预算金额</w:t>
            </w:r>
          </w:p>
        </w:tc>
      </w:tr>
      <w:tr w14:paraId="0989D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459"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2BDDF2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559F14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采购</w:t>
            </w:r>
          </w:p>
          <w:p w14:paraId="1253A3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品目</w:t>
            </w:r>
          </w:p>
        </w:tc>
        <w:tc>
          <w:tcPr>
            <w:tcW w:w="61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2E27DF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物品名称</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40E613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品牌</w:t>
            </w:r>
          </w:p>
          <w:p w14:paraId="60FA25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w:t>
            </w:r>
          </w:p>
        </w:tc>
        <w:tc>
          <w:tcPr>
            <w:tcW w:w="8820"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5FE0AF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w:t>
            </w:r>
          </w:p>
        </w:tc>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3EFE0D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单位</w:t>
            </w:r>
          </w:p>
        </w:tc>
        <w:tc>
          <w:tcPr>
            <w:tcW w:w="465"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5D28AC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1ADE770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预算合计</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1AC98D87">
            <w:pPr>
              <w:jc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4"/>
                <w:szCs w:val="24"/>
                <w:u w:val="none"/>
                <w:lang w:val="en-US" w:eastAsia="zh-CN" w:bidi="ar"/>
              </w:rPr>
              <w:t>73500.00</w:t>
            </w:r>
          </w:p>
        </w:tc>
      </w:tr>
      <w:tr w14:paraId="12008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5CCB570A">
            <w:pPr>
              <w:jc w:val="center"/>
              <w:rPr>
                <w:rFonts w:hint="eastAsia" w:ascii="宋体" w:hAnsi="宋体" w:eastAsia="宋体" w:cs="宋体"/>
                <w:i w:val="0"/>
                <w:iCs w:val="0"/>
                <w:color w:val="000000"/>
                <w:sz w:val="21"/>
                <w:szCs w:val="21"/>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418BDE02">
            <w:pPr>
              <w:jc w:val="center"/>
              <w:rPr>
                <w:rFonts w:hint="eastAsia" w:ascii="宋体" w:hAnsi="宋体" w:eastAsia="宋体" w:cs="宋体"/>
                <w:i w:val="0"/>
                <w:iCs w:val="0"/>
                <w:color w:val="000000"/>
                <w:sz w:val="21"/>
                <w:szCs w:val="21"/>
                <w:u w:val="none"/>
              </w:rPr>
            </w:pPr>
          </w:p>
        </w:tc>
        <w:tc>
          <w:tcPr>
            <w:tcW w:w="6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282AFEA7">
            <w:pPr>
              <w:jc w:val="center"/>
              <w:rPr>
                <w:rFonts w:hint="eastAsia" w:ascii="宋体" w:hAnsi="宋体" w:eastAsia="宋体" w:cs="宋体"/>
                <w:i w:val="0"/>
                <w:iCs w:val="0"/>
                <w:color w:val="000000"/>
                <w:sz w:val="21"/>
                <w:szCs w:val="21"/>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0D2E8F51">
            <w:pPr>
              <w:jc w:val="center"/>
              <w:rPr>
                <w:rFonts w:hint="eastAsia" w:ascii="宋体" w:hAnsi="宋体" w:eastAsia="宋体" w:cs="宋体"/>
                <w:i w:val="0"/>
                <w:iCs w:val="0"/>
                <w:color w:val="000000"/>
                <w:sz w:val="21"/>
                <w:szCs w:val="21"/>
                <w:u w:val="none"/>
              </w:rPr>
            </w:pPr>
          </w:p>
        </w:tc>
        <w:tc>
          <w:tcPr>
            <w:tcW w:w="882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666FFEF6">
            <w:pPr>
              <w:jc w:val="center"/>
              <w:rPr>
                <w:rFonts w:hint="eastAsia" w:ascii="宋体" w:hAnsi="宋体" w:eastAsia="宋体" w:cs="宋体"/>
                <w:i w:val="0"/>
                <w:iCs w:val="0"/>
                <w:color w:val="000000"/>
                <w:sz w:val="21"/>
                <w:szCs w:val="21"/>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32F56739">
            <w:pPr>
              <w:jc w:val="center"/>
              <w:rPr>
                <w:rFonts w:hint="eastAsia" w:ascii="宋体" w:hAnsi="宋体" w:eastAsia="宋体" w:cs="宋体"/>
                <w:i w:val="0"/>
                <w:iCs w:val="0"/>
                <w:color w:val="000000"/>
                <w:sz w:val="21"/>
                <w:szCs w:val="21"/>
                <w:u w:val="none"/>
              </w:rPr>
            </w:pPr>
          </w:p>
        </w:tc>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57B003B7">
            <w:pPr>
              <w:jc w:val="center"/>
              <w:rPr>
                <w:rFonts w:hint="eastAsia" w:ascii="宋体" w:hAnsi="宋体" w:eastAsia="宋体" w:cs="宋体"/>
                <w:i w:val="0"/>
                <w:iCs w:val="0"/>
                <w:color w:val="000000"/>
                <w:sz w:val="21"/>
                <w:szCs w:val="21"/>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6B0780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参考单价</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47F23A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参考金额</w:t>
            </w:r>
          </w:p>
        </w:tc>
      </w:tr>
      <w:tr w14:paraId="731AB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2" w:hRule="atLeast"/>
        </w:trPr>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5F6DFC15">
            <w:pPr>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53CC7E80">
            <w:pPr>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货物</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723FD355">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18"/>
                <w:szCs w:val="18"/>
                <w:u w:val="none"/>
                <w:lang w:val="en-US" w:eastAsia="zh-CN" w:bidi="ar"/>
              </w:rPr>
              <w:t>触控一体机</w:t>
            </w: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2FEC1DDC">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18"/>
                <w:szCs w:val="18"/>
                <w:u w:val="none"/>
                <w:lang w:val="en-US" w:eastAsia="zh-CN" w:bidi="ar"/>
              </w:rPr>
              <w:t>希沃FH86EA</w:t>
            </w:r>
          </w:p>
        </w:tc>
        <w:tc>
          <w:tcPr>
            <w:tcW w:w="8820" w:type="dxa"/>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55C8EA3F">
            <w:pPr>
              <w:keepNext w:val="0"/>
              <w:keepLines w:val="0"/>
              <w:pageBreakBefore w:val="0"/>
              <w:widowControl w:val="0"/>
              <w:numPr>
                <w:ilvl w:val="0"/>
                <w:numId w:val="1"/>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b/>
                <w:bCs/>
                <w:sz w:val="20"/>
                <w:szCs w:val="20"/>
              </w:rPr>
            </w:pPr>
            <w:r>
              <w:rPr>
                <w:rFonts w:hint="eastAsia" w:asciiTheme="minorEastAsia" w:hAnsiTheme="minorEastAsia" w:eastAsiaTheme="minorEastAsia" w:cstheme="minorEastAsia"/>
                <w:b/>
                <w:bCs/>
                <w:sz w:val="20"/>
                <w:szCs w:val="20"/>
              </w:rPr>
              <w:t>内置电脑模块</w:t>
            </w:r>
          </w:p>
          <w:p w14:paraId="2C646EFF">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1、搭载CPU：≥Intel 12代酷睿i7，内存：≥16 GB，固态硬盘：≥512 GB配置。</w:t>
            </w:r>
          </w:p>
          <w:p w14:paraId="1440D1CC">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3、采用按压式卡扣，无需工具即可快速拆卸电脑模块。</w:t>
            </w:r>
          </w:p>
          <w:p w14:paraId="042E1C0B">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4、PC模块可抽拉式插入整机，可实现无单独接线的拔插。</w:t>
            </w:r>
          </w:p>
          <w:p w14:paraId="018FE6FC">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5、具有独立非外拓展的视频输出接口：≥1路HDMI，具有独立非外拓展的电脑USB接口：至少具备3个USB3.0接口，3个USB2.0接口。</w:t>
            </w:r>
          </w:p>
          <w:p w14:paraId="5945B0BE">
            <w:pPr>
              <w:keepNext w:val="0"/>
              <w:keepLines w:val="0"/>
              <w:pageBreakBefore w:val="0"/>
              <w:widowControl w:val="0"/>
              <w:numPr>
                <w:ilvl w:val="0"/>
                <w:numId w:val="1"/>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b/>
                <w:bCs/>
                <w:sz w:val="20"/>
                <w:szCs w:val="20"/>
              </w:rPr>
            </w:pPr>
            <w:r>
              <w:rPr>
                <w:rFonts w:hint="eastAsia" w:asciiTheme="minorEastAsia" w:hAnsiTheme="minorEastAsia" w:eastAsiaTheme="minorEastAsia" w:cstheme="minorEastAsia"/>
                <w:b/>
                <w:bCs/>
                <w:sz w:val="20"/>
                <w:szCs w:val="20"/>
              </w:rPr>
              <w:t>嵌入式系统</w:t>
            </w:r>
          </w:p>
          <w:p w14:paraId="03115B81">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★1、整机嵌入式系统版本≥Android 15，内存≥2GB，存储空间≥32GB。（投标时须提供具有CMA或CNAS认证的第三方检测机构所出具的关于该功能的检测报告复印件）</w:t>
            </w:r>
          </w:p>
          <w:p w14:paraId="489A14F2">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2、嵌入式Android操作系统下，白板支持对已经书写的笔迹和形状和颜色进行更换。</w:t>
            </w:r>
          </w:p>
          <w:p w14:paraId="0AFC7405">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3、在嵌入式系统下使用白板软件时，整机可自行调节屏幕亮度。</w:t>
            </w:r>
          </w:p>
          <w:p w14:paraId="22296537">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4、嵌入式Android操作系统下，互动白板支持不同背景颜色，同时提供学科背景，如：五线谱、信纸、田字格、英文格、篮球和足球场地平面图。</w:t>
            </w:r>
          </w:p>
          <w:p w14:paraId="21B33701">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★5、无 PC 模块状态下，嵌入式Android 系统内置白板软件支持十笔书写及手掌擦除（手掌擦除面积根据手掌与屏幕的接触面大小自动调整）， 白板书写内容可以 PDF 、IWB 和SVG 格式导出。支持 10 种以上平面图形工具。支持 8 种以上立体图形工具。（投标时须提供具有CMA或CNAS认证的第三方检测机构所出具的关于该功能的检测报告复印件）</w:t>
            </w:r>
          </w:p>
          <w:p w14:paraId="1EB38EC5">
            <w:pPr>
              <w:keepNext w:val="0"/>
              <w:keepLines w:val="0"/>
              <w:pageBreakBefore w:val="0"/>
              <w:widowControl w:val="0"/>
              <w:numPr>
                <w:ilvl w:val="0"/>
                <w:numId w:val="1"/>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b/>
                <w:bCs/>
                <w:sz w:val="20"/>
                <w:szCs w:val="20"/>
              </w:rPr>
            </w:pPr>
            <w:r>
              <w:rPr>
                <w:rFonts w:hint="eastAsia" w:asciiTheme="minorEastAsia" w:hAnsiTheme="minorEastAsia" w:eastAsiaTheme="minorEastAsia" w:cstheme="minorEastAsia"/>
                <w:b/>
                <w:bCs/>
                <w:sz w:val="20"/>
                <w:szCs w:val="20"/>
              </w:rPr>
              <w:t>整机硬件设计</w:t>
            </w:r>
          </w:p>
          <w:p w14:paraId="5CF89B90">
            <w:pPr>
              <w:keepNext w:val="0"/>
              <w:keepLines w:val="0"/>
              <w:pageBreakBefore w:val="0"/>
              <w:widowControl w:val="0"/>
              <w:numPr>
                <w:ilvl w:val="0"/>
                <w:numId w:val="2"/>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整机采用一体设计，外部无任何可见内部功能模块连接线。边角采用弧形设计，表面无尖锐边缘或凸起。</w:t>
            </w:r>
          </w:p>
          <w:p w14:paraId="73AFF520">
            <w:pPr>
              <w:keepNext w:val="0"/>
              <w:keepLines w:val="0"/>
              <w:pageBreakBefore w:val="0"/>
              <w:widowControl w:val="0"/>
              <w:numPr>
                <w:ilvl w:val="0"/>
                <w:numId w:val="2"/>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整机采用边框背板一体化冲压成型，上左右三边边框与背板连接处无拼缝，提升整机整体强度和刚性，坚固可靠。</w:t>
            </w:r>
          </w:p>
          <w:p w14:paraId="05ACA63A">
            <w:pPr>
              <w:keepNext w:val="0"/>
              <w:keepLines w:val="0"/>
              <w:pageBreakBefore w:val="0"/>
              <w:widowControl w:val="0"/>
              <w:numPr>
                <w:ilvl w:val="0"/>
                <w:numId w:val="2"/>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整机屏幕边缘采用金属圆角包边防护，整机背板采用金属材质，有效屏蔽内部电路器件辐射；防潮耐盐雾蚀锈，适应多种教学环境。</w:t>
            </w:r>
          </w:p>
          <w:p w14:paraId="67B854D2">
            <w:pPr>
              <w:keepNext w:val="0"/>
              <w:keepLines w:val="0"/>
              <w:pageBreakBefore w:val="0"/>
              <w:widowControl w:val="0"/>
              <w:numPr>
                <w:ilvl w:val="0"/>
                <w:numId w:val="2"/>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整机左、右、下三边框皆具备磁吸功能，边框任意位置可吸附具备磁吸功能的书写笔，吸附稳定不掉落，磁吸拉力≥60g，方便教具的收纳管理。</w:t>
            </w:r>
          </w:p>
          <w:p w14:paraId="6B712200">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★5、整机屏幕采用≥86英寸液晶显示器，整机采⽤超⾼清LED液晶屏，显示⽐例16:9，分辨率3840x2160，可视⻆度≥178°。（投标时须提供具有CMA或CNAS认证的第三方检测机构所出具的关于该功能的检测报告复印件）</w:t>
            </w:r>
          </w:p>
          <w:p w14:paraId="13C1CDB9">
            <w:pPr>
              <w:keepNext w:val="0"/>
              <w:keepLines w:val="0"/>
              <w:pageBreakBefore w:val="0"/>
              <w:widowControl w:val="0"/>
              <w:numPr>
                <w:ilvl w:val="0"/>
                <w:numId w:val="2"/>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色域覆盖率（NTSC）≥72%，灰阶等级≥256级。</w:t>
            </w:r>
          </w:p>
          <w:p w14:paraId="6CB32CEE">
            <w:pPr>
              <w:keepNext w:val="0"/>
              <w:keepLines w:val="0"/>
              <w:pageBreakBefore w:val="0"/>
              <w:widowControl w:val="0"/>
              <w:numPr>
                <w:ilvl w:val="0"/>
                <w:numId w:val="1"/>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b/>
                <w:bCs/>
                <w:sz w:val="20"/>
                <w:szCs w:val="20"/>
              </w:rPr>
            </w:pPr>
            <w:r>
              <w:rPr>
                <w:rFonts w:hint="eastAsia" w:asciiTheme="minorEastAsia" w:hAnsiTheme="minorEastAsia" w:eastAsiaTheme="minorEastAsia" w:cstheme="minorEastAsia"/>
                <w:b/>
                <w:bCs/>
                <w:sz w:val="20"/>
                <w:szCs w:val="20"/>
              </w:rPr>
              <w:t>系统功能设计</w:t>
            </w:r>
          </w:p>
          <w:p w14:paraId="4CA2F7D5">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1、外接电脑设备连接整机且触摸信号连通时，外接电脑设备可直接读取整机前置USB接口的移动存储设备数据，连接整机前置USB接口的翻页笔和无线键鼠外接设备可直接使用于外接电脑。</w:t>
            </w:r>
          </w:p>
          <w:p w14:paraId="69C16C06">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2、支持智能 U 盘锁功能，U 盘锁开启后整机触摸及按键被锁定，锁定后无法随意自由操作，需要使用时插入 USB key 可解锁。</w:t>
            </w:r>
          </w:p>
          <w:p w14:paraId="72A6907E">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3、在整机全信号源通道下，支持十指长按屏幕5秒的方式实现触摸锁定及解锁，触摸锁定时整机无法被触控操作。</w:t>
            </w:r>
          </w:p>
          <w:p w14:paraId="76F0BB79">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4、支持半屏模式，将Windows显示画面上半部分下拉到屏幕下半部分显示，此时依然可以正常触控操作Windows系统；点击非Windows显示画面区域（屏幕上半部分），即可退出该模式。</w:t>
            </w:r>
          </w:p>
          <w:p w14:paraId="598540D8">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5、整机具备智能手势识别功能，在整机全信号源通道下均可识别五指上、下、左、右方向手势，五指画O、画~、左右晃动、缩/放方向手势滑动并调用相应功能。支持将各手势滑动方向自定义设置为无操作、熄屏、批注、桌面、半屏模式。</w:t>
            </w:r>
          </w:p>
          <w:p w14:paraId="73DA001D">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6、整机支持同一品牌传屏器，通过BLE（蓝牙低能耗技术）、Type-C、USB 方式连接，当整机和传屏器均支持BLE功能时，在指定区域内传屏器可自动发现、自动连接。</w:t>
            </w:r>
          </w:p>
          <w:p w14:paraId="4C73085A">
            <w:pPr>
              <w:keepNext w:val="0"/>
              <w:keepLines w:val="0"/>
              <w:pageBreakBefore w:val="0"/>
              <w:widowControl w:val="0"/>
              <w:numPr>
                <w:ilvl w:val="0"/>
                <w:numId w:val="1"/>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b/>
                <w:bCs/>
                <w:sz w:val="20"/>
                <w:szCs w:val="20"/>
              </w:rPr>
            </w:pPr>
            <w:r>
              <w:rPr>
                <w:rFonts w:hint="eastAsia" w:asciiTheme="minorEastAsia" w:hAnsiTheme="minorEastAsia" w:eastAsiaTheme="minorEastAsia" w:cstheme="minorEastAsia"/>
                <w:b/>
                <w:bCs/>
                <w:sz w:val="20"/>
                <w:szCs w:val="20"/>
              </w:rPr>
              <w:t>画面采集与音频系统设计</w:t>
            </w:r>
          </w:p>
          <w:p w14:paraId="54A8BCB9">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★1、整机上边框内置非独立式摄像头，摄像头数量≥5个，其中至少四个摄像头像素值均≥1300 万，支持拍摄有效像素数≥5200万的照片，支持拍摄8192×2772分辨率的视频。（投标时须提供具有CMA或CNAS认证的第三方检测机构所出具的关于该功能的检测报告复印件）</w:t>
            </w:r>
          </w:p>
          <w:p w14:paraId="0107122F">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2、整机上边框内置至少5个摄像头，其中广角摄像头最大视场角≥145度且水平视场角≥130度，支持输出4:3、16:9比例的图片和视频；在清晰度为3840x2160分辨率下，支持30帧的视频输出。（投标时须提供具有CMA或CNAS认证的第三方检测机构所出具的关于该功能的检测报告复印件）</w:t>
            </w:r>
          </w:p>
          <w:p w14:paraId="5086A98B">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3、整机内置广角主摄，支持畸变矫正功能，TV畸变≤10%。</w:t>
            </w:r>
          </w:p>
          <w:p w14:paraId="50A436C7">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★4、整机具备多个摄像头画面智能拼接技术，拼接摄像头画面可支持1s内快速动态融合。（投标时须提供具有CMA或CNAS认证的第三方检测机构所出具的关于该功能的检测报告复印件）</w:t>
            </w:r>
          </w:p>
          <w:p w14:paraId="32683503">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5、整机摄像头支持环境色温判断，根据环境调节合适的显示图像效果。</w:t>
            </w:r>
          </w:p>
          <w:p w14:paraId="41081F6A">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6、整机支持上边框内置非独立摄像头模组，同时输出至少3路视频流，同时支持课堂远程巡课、课堂教学数据采集、本地画面预览（拍照或视频录制）。（投标时须提供具有CMA或CNAS认证的第三方检测机构所出具的关于该功能的检测报告复印件）</w:t>
            </w:r>
          </w:p>
          <w:p w14:paraId="6EA96E41">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7、整机摄像头支持人脸识别、清点人数、随机抽人；识别所有学生，显示标记，然后随机抽选，同时显示标记不少于60人。</w:t>
            </w:r>
          </w:p>
          <w:p w14:paraId="39E23FCF">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8、整机内置2.2声道扬声器，位于设备上边框，顶置朝前发声，12W高音扬声器2个，上朝向30W中低音扬声器2个，最大功率≥84W，单个扬声器容积≥0.62L，最低谐振频率≤85Hz。（投标时须提供具有CMA或CNAS认证的第三方检测机构所出具的关于该功能的检测报告复印件）</w:t>
            </w:r>
          </w:p>
          <w:p w14:paraId="7F9C01CE">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9、整机可选择高级音效设置，支持在左右声道平衡显示范围中进行更改。中低频段可选择调节范围125Hz～1kHz，高频段可选择调节范围 2kHz～16kHz，分贝可选择调节范围-12dB～12dB。</w:t>
            </w:r>
          </w:p>
          <w:p w14:paraId="139BB4E2">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10、整机内置扬声器采用缝隙发声技术，喇叭采用槽式开口设计。</w:t>
            </w:r>
          </w:p>
          <w:p w14:paraId="22831C7D">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11、整机扬声器在100%音量下，可做到1米处声压级≥92dB，10米处声压级≥82dB。</w:t>
            </w:r>
          </w:p>
          <w:p w14:paraId="33B38A3F">
            <w:pPr>
              <w:keepNext w:val="0"/>
              <w:keepLines w:val="0"/>
              <w:pageBreakBefore w:val="0"/>
              <w:widowControl w:val="0"/>
              <w:numPr>
                <w:ilvl w:val="0"/>
                <w:numId w:val="1"/>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b/>
                <w:bCs/>
                <w:sz w:val="20"/>
                <w:szCs w:val="20"/>
              </w:rPr>
            </w:pPr>
            <w:r>
              <w:rPr>
                <w:rFonts w:hint="eastAsia" w:asciiTheme="minorEastAsia" w:hAnsiTheme="minorEastAsia" w:eastAsiaTheme="minorEastAsia" w:cstheme="minorEastAsia"/>
                <w:b/>
                <w:bCs/>
                <w:sz w:val="20"/>
                <w:szCs w:val="20"/>
              </w:rPr>
              <w:t>按键与接口设计</w:t>
            </w:r>
          </w:p>
          <w:p w14:paraId="516164B1">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1、支持经典护眼模式，可通过前置面板物理功能按键一键启用经典护眼模式。</w:t>
            </w:r>
          </w:p>
          <w:p w14:paraId="44CC102B">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2、设备支持通过前置面板物理按键一键启动录屏功能，可将屏幕中显示的课件、音频内容与人声同时录制。</w:t>
            </w:r>
          </w:p>
          <w:p w14:paraId="3B2C0D88">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3、整机前置按键支持自定义设置，可通过自定义设置实现前置面板功能按键一键启用任一全局小工具（批注、截屏、计时、降半屏、放大镜、倒数日、日历）、快捷开关（节能模式、纸质护眼模式、经典护眼模式、自动亮度模式）。</w:t>
            </w:r>
          </w:p>
          <w:p w14:paraId="024BCA8B">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4、侧置输入接口具备≥2路HDMI、≥1路RS232（RJ45形态）、≥1路USB接口。</w:t>
            </w:r>
          </w:p>
          <w:p w14:paraId="690BFB7D">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5、侧置输出接口具备≥1路音频输出、≥1路触控USB输出。</w:t>
            </w:r>
          </w:p>
          <w:p w14:paraId="618510A8">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6、前置输入接口≥3路USB接口（包含1路Type-C、2路USB）.</w:t>
            </w:r>
          </w:p>
          <w:p w14:paraId="393B8C79">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7、前置USB接口支持Android系统、Windows系统读取外接移动存储设备。</w:t>
            </w:r>
          </w:p>
          <w:p w14:paraId="6C84BAED">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8、支持通过Type-C接口U盘进行文件传输，兼容Type-C接口手机充电。</w:t>
            </w:r>
          </w:p>
          <w:p w14:paraId="4B463A91">
            <w:pPr>
              <w:keepNext w:val="0"/>
              <w:keepLines w:val="0"/>
              <w:pageBreakBefore w:val="0"/>
              <w:widowControl w:val="0"/>
              <w:numPr>
                <w:ilvl w:val="0"/>
                <w:numId w:val="1"/>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b/>
                <w:bCs/>
                <w:sz w:val="20"/>
                <w:szCs w:val="20"/>
              </w:rPr>
            </w:pPr>
            <w:r>
              <w:rPr>
                <w:rFonts w:hint="eastAsia" w:asciiTheme="minorEastAsia" w:hAnsiTheme="minorEastAsia" w:eastAsiaTheme="minorEastAsia" w:cstheme="minorEastAsia"/>
                <w:b/>
                <w:bCs/>
                <w:sz w:val="20"/>
                <w:szCs w:val="20"/>
              </w:rPr>
              <w:t>触摸与显示系统设计</w:t>
            </w:r>
          </w:p>
          <w:p w14:paraId="75337E19">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★1、采用红外触控技术，Windows系统和Android系统均支持≥50点触控及书写划线。（投标时须提供具有CMA或CNAS认证的第三方检测机构所出具的关于该功能的检测报告复印件）</w:t>
            </w:r>
          </w:p>
          <w:p w14:paraId="75A3AEAF">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2、整机屏幕触摸有效识别高度不超过1.5mm，即触摸物体距离玻璃外表面高度不超过1.5mm时，触摸屏识别为点击操作。</w:t>
            </w:r>
          </w:p>
          <w:p w14:paraId="5FE1AAD3">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3、整机触控书写功能集成预测算法，支持多档预测速度可调节，在书写速度≥50cm/s，支持笔迹距离笔的距离小于20mm。</w:t>
            </w:r>
          </w:p>
          <w:p w14:paraId="12E2B025">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4、整机书写触控延迟≤25ms。</w:t>
            </w:r>
          </w:p>
          <w:p w14:paraId="5E405D10">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5、整机支持提笔书写，在Windows系统下可实现无需点击任意功能入口，当检测到红外笔笔尖接触屏幕时，自动进入书写模式。（投标时须提供具有CMA或CNAS认证的第三方检测机构所出具的关于该功能的检测报告复印件）</w:t>
            </w:r>
          </w:p>
          <w:p w14:paraId="6E0A84E6">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6、支持智能板擦功能，系统可根据触控物体的形状自动识别出实物板擦，可擦除电子白板中的内容，无需依赖外部电子设备。</w:t>
            </w:r>
          </w:p>
          <w:p w14:paraId="58F4C099">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7、支持Windows 7、Windows 8、Windows 10、Windows11、Linux、Mac Os、UOS和麒麟系统外置电脑操作系统接入时，无需安装触摸驱动。</w:t>
            </w:r>
          </w:p>
          <w:p w14:paraId="5D8CCE50">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8、整机触摸支持动态压力感应，支持无任何电子功能的普通书写笔在整机上书写或点压时，整机能感应压力变化，书写或点压过程笔迹呈现不同粗细。（投标时须提供具有CMA或CNAS认证的第三方检测机构所出具的关于该功能的检测报告复印件）</w:t>
            </w:r>
          </w:p>
          <w:p w14:paraId="04849633">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9、采用全物理钢化玻璃，有效保护屏幕显示画面，采用防眩光玻璃，屏幕支持防眩光功能，钢化玻璃表面硬度≥9H。</w:t>
            </w:r>
          </w:p>
          <w:p w14:paraId="53515456">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10、整机背光系统支持DC调光方式，多级亮度调节，支持白颜色背景下最暗亮度≤100nit，用于提升显示对比度。</w:t>
            </w:r>
          </w:p>
          <w:p w14:paraId="125EB3BC">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★11、整机屏幕蓝光占比（有害蓝光415～455nm能量综合）/（整体蓝光400～500nm能量综合）＜50%。（投标时须提供具有CMA或CNAS认证的第三方检测机构所出具的关于该功能的检测报告复印件）</w:t>
            </w:r>
          </w:p>
          <w:p w14:paraId="6DDB3D9F">
            <w:pPr>
              <w:keepNext w:val="0"/>
              <w:keepLines w:val="0"/>
              <w:pageBreakBefore w:val="0"/>
              <w:widowControl w:val="0"/>
              <w:numPr>
                <w:ilvl w:val="0"/>
                <w:numId w:val="3"/>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支持自定义图像设置，可对对比度、屏幕色温、图像亮度、亮度范围、色彩空间调节设置。</w:t>
            </w:r>
          </w:p>
          <w:p w14:paraId="163A1C18">
            <w:pPr>
              <w:keepNext w:val="0"/>
              <w:keepLines w:val="0"/>
              <w:pageBreakBefore w:val="0"/>
              <w:widowControl w:val="0"/>
              <w:numPr>
                <w:ilvl w:val="0"/>
                <w:numId w:val="3"/>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整机全通道支持纸质护眼模式，可实现画面纹理的实时调整；支持纸质纹理：牛皮纸、素描纸、宣纸、水彩纸、水纹纸；支持透明度调节；支持色温调节。</w:t>
            </w:r>
          </w:p>
          <w:p w14:paraId="0414AD6C">
            <w:pPr>
              <w:keepNext w:val="0"/>
              <w:keepLines w:val="0"/>
              <w:pageBreakBefore w:val="0"/>
              <w:widowControl w:val="0"/>
              <w:numPr>
                <w:ilvl w:val="0"/>
                <w:numId w:val="3"/>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纸质护眼模式下，显示画面各像素点灰度不规则，减少背景干扰。</w:t>
            </w:r>
          </w:p>
          <w:p w14:paraId="478640D8">
            <w:pPr>
              <w:keepNext w:val="0"/>
              <w:keepLines w:val="0"/>
              <w:pageBreakBefore w:val="0"/>
              <w:widowControl w:val="0"/>
              <w:numPr>
                <w:ilvl w:val="0"/>
                <w:numId w:val="1"/>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b/>
                <w:bCs/>
                <w:sz w:val="20"/>
                <w:szCs w:val="20"/>
              </w:rPr>
            </w:pPr>
            <w:r>
              <w:rPr>
                <w:rFonts w:hint="eastAsia" w:asciiTheme="minorEastAsia" w:hAnsiTheme="minorEastAsia" w:eastAsiaTheme="minorEastAsia" w:cstheme="minorEastAsia"/>
                <w:b/>
                <w:bCs/>
                <w:sz w:val="20"/>
                <w:szCs w:val="20"/>
              </w:rPr>
              <w:t>无线系统设计</w:t>
            </w:r>
          </w:p>
          <w:p w14:paraId="15185368">
            <w:pPr>
              <w:keepNext w:val="0"/>
              <w:keepLines w:val="0"/>
              <w:pageBreakBefore w:val="0"/>
              <w:widowControl w:val="0"/>
              <w:numPr>
                <w:ilvl w:val="0"/>
                <w:numId w:val="4"/>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整机无需外接无线网卡，在Windows系统下可实现Wi-Fi无线上网连接、AP无线热点发射和BT蓝牙连接功能。</w:t>
            </w:r>
          </w:p>
          <w:p w14:paraId="46C5710C">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2、整机无需外接无线网卡，在Windows系统下接入无线网络，切换到嵌入式Android系统下可直接实现无线上网功能，不需手动重复设置。</w:t>
            </w:r>
          </w:p>
          <w:p w14:paraId="48AB8972">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3、Wi-Fi和AP热点工作距离≥12m。</w:t>
            </w:r>
          </w:p>
          <w:p w14:paraId="7A0E0174">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★4、整机支持蓝牙Bluetooth 5.4标准，固件版本号HCI13.0/LMP13.0。（投标时须提供具有CMA或CNAS认证的第三方检测机构所出具的关于该功能的检测报告复印件）</w:t>
            </w:r>
          </w:p>
          <w:p w14:paraId="3A9884EE">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5、整机PC端支持主动发现蓝牙外设从而连接（无需整机进入发现模式），支持连接外部蓝牙音箱播放音频。</w:t>
            </w:r>
          </w:p>
          <w:p w14:paraId="1FE94B58">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6、整机支持发出频率为18kHz-22kHz超声波信号，智能手机和笔记本电脑接收超声波信号后可以自动识别附近投屏设备，点击对应设备即可完成投屏操作。（投标时须提供具有CMA或CNAS认证的第三方检测机构所出具的关于该功能的检测报告复印件）</w:t>
            </w:r>
          </w:p>
          <w:p w14:paraId="5E8309BB">
            <w:pPr>
              <w:keepNext w:val="0"/>
              <w:keepLines w:val="0"/>
              <w:pageBreakBefore w:val="0"/>
              <w:widowControl w:val="0"/>
              <w:numPr>
                <w:ilvl w:val="0"/>
                <w:numId w:val="5"/>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w:t>
            </w:r>
          </w:p>
          <w:p w14:paraId="63F671E6">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★8、整机内置双WiFi6无线网卡（不接受外接），在Android和Windows系统下，可实现Wi-Fi无线上网连接、AP无线热点发射。（投标时须提供具有CMA或CNAS认证的第三方检测机构所出具的关于该功能的检测报告复印件）</w:t>
            </w:r>
          </w:p>
          <w:p w14:paraId="447C3E7E">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9、整机内置双WiFi6无线网卡（不接受外接），在Android下支持无线设备同时连接数量≥32个，在Windows系统下支持无线设备同时连接≥8个。（投标时须提供具有CMA或CNAS认证的第三方检测机构所出具的关于该功能的检测报告复印件）</w:t>
            </w:r>
          </w:p>
          <w:p w14:paraId="57645987">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10、Wi-Fi及AP热点支持频段2.4GHz/5GHz ，Wi-Fi制式支持IEEE 802.11 a/b/g/n/ac/ax；支持版本Wi-Fi6。</w:t>
            </w:r>
          </w:p>
          <w:p w14:paraId="4BD3D8BA">
            <w:pPr>
              <w:keepNext w:val="0"/>
              <w:keepLines w:val="0"/>
              <w:pageBreakBefore w:val="0"/>
              <w:widowControl w:val="0"/>
              <w:numPr>
                <w:ilvl w:val="0"/>
                <w:numId w:val="1"/>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b/>
                <w:bCs/>
                <w:sz w:val="20"/>
                <w:szCs w:val="20"/>
              </w:rPr>
            </w:pPr>
            <w:r>
              <w:rPr>
                <w:rFonts w:hint="eastAsia" w:asciiTheme="minorEastAsia" w:hAnsiTheme="minorEastAsia" w:eastAsiaTheme="minorEastAsia" w:cstheme="minorEastAsia"/>
                <w:b/>
                <w:bCs/>
                <w:sz w:val="20"/>
                <w:szCs w:val="20"/>
              </w:rPr>
              <w:t>全通道侧边栏设计</w:t>
            </w:r>
          </w:p>
          <w:p w14:paraId="0399FB69">
            <w:pPr>
              <w:keepNext w:val="0"/>
              <w:keepLines w:val="0"/>
              <w:pageBreakBefore w:val="0"/>
              <w:widowControl w:val="0"/>
              <w:numPr>
                <w:ilvl w:val="0"/>
                <w:numId w:val="6"/>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整机内置全通道侧边栏快捷菜单，小工具、应用软件、快捷设置、亮度/音量调节、教室物联入口。</w:t>
            </w:r>
          </w:p>
          <w:p w14:paraId="7AF1B67A">
            <w:pPr>
              <w:keepNext w:val="0"/>
              <w:keepLines w:val="0"/>
              <w:pageBreakBefore w:val="0"/>
              <w:widowControl w:val="0"/>
              <w:numPr>
                <w:ilvl w:val="0"/>
                <w:numId w:val="6"/>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整机全通道侧边栏支持展示学校名称、设备班级、场地信息。</w:t>
            </w:r>
          </w:p>
          <w:p w14:paraId="38832548">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整机全通道侧边栏快捷菜单包含如下小工具：批注、降半屏、截屏、放大镜、倒计时、日历、聚光灯、秒表、冻屏、倒数日、答题、节拍器。</w:t>
            </w:r>
          </w:p>
          <w:p w14:paraId="64DF9148">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3、整机全通道侧边栏支持使用批注小工具进行批注讲解，可切换书写笔颜色、截屏保存批注内容、清屏，可根据手与屏幕的接触面积自动调整板擦工具的大小。</w:t>
            </w:r>
          </w:p>
          <w:p w14:paraId="3856A24B">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4、整机全通道侧边栏快捷菜单支持快捷调节音量、亮度，支持自动亮度模式，支持点击静音按钮静音。</w:t>
            </w:r>
          </w:p>
          <w:p w14:paraId="605A2006">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5、整机全通道侧边栏快捷菜单中可实时查看物联设备的连接情况，点击设备图标即可调出中控菜单进行管控。</w:t>
            </w:r>
          </w:p>
          <w:p w14:paraId="1BE11D09">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6、整机安卓和外接通道(2路HDMI)下侧边栏支持节拍器，支持设置节拍、轻重、节拍播放速度。全通道下可支持通过自定义按键调出该功能。（投标时须提供具有CMA或CNAS认证的第三方检测机构所出具的关于该功能的检测报告复印件）</w:t>
            </w:r>
          </w:p>
          <w:p w14:paraId="7E307D64">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7、整机全通道侧边栏支持倒计时、正计时功能；倒计时，输入某特定时间值，可精确到秒，点击开始进入倒计时；正计时，点击开始计时便自动开始，并实时显示时间。</w:t>
            </w:r>
          </w:p>
          <w:p w14:paraId="49E0FF7D">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8、整机全通道侧边栏支持放大选中区域内容，并可支持对未选中区域关灯处理，实现聚光灯效果。</w:t>
            </w:r>
          </w:p>
          <w:p w14:paraId="1E67A216">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9、整机安卓和外接通道(2路HDMI)下侧边栏支持通过扫描二维码加入班级，老师设置题型，学生回答后提交，教师查看正确率比例及详细讲解；支持随机抽选、实时弹幕；支持管理当前班级成员；支持导出学生报告。全通道下可支持通过自定义按键调出该功能。（投标时须提供具有CMA或CNAS认证的第三方检测机构所出具的关于该功能的检测报告复印件）</w:t>
            </w:r>
          </w:p>
          <w:p w14:paraId="452E3715">
            <w:pPr>
              <w:keepNext w:val="0"/>
              <w:keepLines w:val="0"/>
              <w:pageBreakBefore w:val="0"/>
              <w:widowControl w:val="0"/>
              <w:numPr>
                <w:ilvl w:val="0"/>
                <w:numId w:val="1"/>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b/>
                <w:bCs/>
                <w:sz w:val="20"/>
                <w:szCs w:val="20"/>
              </w:rPr>
            </w:pPr>
            <w:r>
              <w:rPr>
                <w:rFonts w:hint="eastAsia" w:asciiTheme="minorEastAsia" w:hAnsiTheme="minorEastAsia" w:eastAsiaTheme="minorEastAsia" w:cstheme="minorEastAsia"/>
                <w:b/>
                <w:bCs/>
                <w:sz w:val="20"/>
                <w:szCs w:val="20"/>
              </w:rPr>
              <w:t>互动教学软件</w:t>
            </w:r>
          </w:p>
          <w:p w14:paraId="345F2D84">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互动反馈系统：具备公网互动反馈功能，将所有学生端和教师端连接一起构建成互动反馈系统，在系统里面教师可以单选，多选，判断，观点，抢答，抽选，提问箱，文件下发，批注下发。（投标文件中须提供具有CMA或CNAS认证资质的第三方检测机构出具的该功能检测报告复印件）</w:t>
            </w:r>
          </w:p>
          <w:p w14:paraId="59753730">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★2.加入课堂：学生端小程序支持微信扫码加入课堂，方便快捷开启课堂互动。（投标文件中须提供具有CMA或CNAS认证资质的第三方检测机构出具的该功能检测报告复印件）</w:t>
            </w:r>
          </w:p>
          <w:p w14:paraId="1BCF17BF">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3.课堂报告：互动反馈系统支持一键生成课堂互动报告，包含签到人数，考勤情况，互动次数、学生参与度、题目详情、答题结果，提问记录，同时还可以课堂报告进行备注。（投标文件中须提供具有CMA或CNAS认证资质的第三方检测机构出具的该功能检测报告复印件）</w:t>
            </w:r>
          </w:p>
          <w:p w14:paraId="7585E4B0">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4.统计考勤：互动反馈系统支持无感考勤功能，学生连接成功后名字可显示在签到列表上，签到列表实时统计已签到人数，并查看未到的人员。（投标文件中须提供具有CMA或CNAS认证资质的第三方检测机构出具的该功能检测报告复印件）</w:t>
            </w:r>
          </w:p>
          <w:p w14:paraId="25751D2A">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5.批注分发：教师端批注功能支持在课中任意时刻对教师端内容进行批注，并且支持批注内容一键保存，自动上传到教师空间，同时发送到全员学生端。</w:t>
            </w:r>
          </w:p>
          <w:p w14:paraId="55022D67">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★6.授课小工具：教师播放课件时，提供授课小工具，包括画笔、橡皮擦、板中板、放大镜和批注分享功能等。（投标文件中须提供具有CMA或CNAS认证资质的第三方检测机构出具的该功能检测报告复印件）</w:t>
            </w:r>
          </w:p>
          <w:p w14:paraId="371DE231">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7.无线传屏：教师端工具栏支持无线传屏，点击开启无线传屏则打开传屏码，老师自带笔记本在互动教学软件输入传屏码即可进行无线传屏。（投标文件中须提供具有CMA或CNAS认证资质的第三方检测机构出具的该功能检测报告复印件）</w:t>
            </w:r>
          </w:p>
          <w:p w14:paraId="730DB0E8">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8.同步课件：当教师在全屏播放课件的时候，学生端也会同时播放课件，老师翻页学生端也会一起翻页，保证课堂课件同步展示。</w:t>
            </w:r>
          </w:p>
          <w:p w14:paraId="20802B3E">
            <w:pPr>
              <w:keepNext w:val="0"/>
              <w:keepLines w:val="0"/>
              <w:pageBreakBefore w:val="0"/>
              <w:widowControl w:val="0"/>
              <w:numPr>
                <w:ilvl w:val="0"/>
                <w:numId w:val="1"/>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b/>
                <w:bCs/>
                <w:sz w:val="20"/>
                <w:szCs w:val="20"/>
              </w:rPr>
            </w:pPr>
            <w:r>
              <w:rPr>
                <w:rFonts w:hint="eastAsia" w:asciiTheme="minorEastAsia" w:hAnsiTheme="minorEastAsia" w:eastAsiaTheme="minorEastAsia" w:cstheme="minorEastAsia"/>
                <w:b/>
                <w:bCs/>
                <w:sz w:val="20"/>
                <w:szCs w:val="20"/>
              </w:rPr>
              <w:t>开机桌面应用</w:t>
            </w:r>
          </w:p>
          <w:p w14:paraId="1A049CF0">
            <w:pPr>
              <w:keepNext w:val="0"/>
              <w:keepLines w:val="0"/>
              <w:pageBreakBefore w:val="0"/>
              <w:widowControl w:val="0"/>
              <w:numPr>
                <w:ilvl w:val="0"/>
                <w:numId w:val="7"/>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整机设备开机启动后，自动进入教学桌面，支持账号登录、退出，自动获取个人云端教学课件列表、并可进入全部课件列表。</w:t>
            </w:r>
          </w:p>
          <w:p w14:paraId="57D278B3">
            <w:pPr>
              <w:keepNext w:val="0"/>
              <w:keepLines w:val="0"/>
              <w:pageBreakBefore w:val="0"/>
              <w:widowControl w:val="0"/>
              <w:numPr>
                <w:ilvl w:val="0"/>
                <w:numId w:val="7"/>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整机可将应用编辑到教学桌面首页，编辑方式支持从教学桌面首页进入编辑，支持在全部应用列表中进入编辑2种方式。教学桌面首页应用支持无需进入应用编辑页面，在首页指定应用上长按进行移除。</w:t>
            </w:r>
          </w:p>
          <w:p w14:paraId="4642150F">
            <w:pPr>
              <w:keepNext w:val="0"/>
              <w:keepLines w:val="0"/>
              <w:pageBreakBefore w:val="0"/>
              <w:widowControl w:val="0"/>
              <w:numPr>
                <w:ilvl w:val="0"/>
                <w:numId w:val="7"/>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整机教学桌面支持查看设备盘符，支持本地磁盘和外接U盘、移动硬盘，点击可打开该磁盘查看磁盘文件。教学桌面支持显示存储空间状态，当存储空间即将满载时候进行红色标记明显提示。</w:t>
            </w:r>
          </w:p>
          <w:p w14:paraId="1E23EC2D">
            <w:pPr>
              <w:keepNext w:val="0"/>
              <w:keepLines w:val="0"/>
              <w:pageBreakBefore w:val="0"/>
              <w:widowControl w:val="0"/>
              <w:numPr>
                <w:ilvl w:val="0"/>
                <w:numId w:val="7"/>
              </w:numPr>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整机教学桌面支持U盘、移动硬盘外接存储设备直接在桌面显示，无需打开文件浏览器即可查看文件列表，并且支持文件打开。支持查看全部文件列表以及按照文档、图片、音视频分类方式查看文件列表。</w:t>
            </w:r>
          </w:p>
          <w:p w14:paraId="2461354B">
            <w:pPr>
              <w:jc w:val="left"/>
              <w:rPr>
                <w:rFonts w:hint="eastAsia" w:ascii="宋体" w:hAnsi="宋体" w:eastAsia="宋体" w:cs="宋体"/>
                <w:i w:val="0"/>
                <w:iCs w:val="0"/>
                <w:color w:val="000000"/>
                <w:sz w:val="24"/>
                <w:szCs w:val="24"/>
                <w:u w:val="none"/>
              </w:rPr>
            </w:pPr>
            <w:r>
              <w:rPr>
                <w:rFonts w:hint="eastAsia" w:asciiTheme="minorEastAsia" w:hAnsiTheme="minorEastAsia" w:eastAsiaTheme="minorEastAsia" w:cstheme="minorEastAsia"/>
                <w:sz w:val="20"/>
                <w:szCs w:val="20"/>
              </w:rPr>
              <w:t>整机教学桌面支持进行通道切换，当整机有其他输入源时，可在桌面点击信号源进行输入源切换。</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5DC7F678">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台</w:t>
            </w:r>
          </w:p>
        </w:tc>
        <w:tc>
          <w:tcPr>
            <w:tcW w:w="465" w:type="dxa"/>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16AAF7AC">
            <w:pPr>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7D04FE6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24500.00</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7EBD982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73500.00</w:t>
            </w:r>
          </w:p>
        </w:tc>
      </w:tr>
      <w:tr w14:paraId="77273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14424" w:type="dxa"/>
            <w:gridSpan w:val="10"/>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64FAD6B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二、报价等其他商务需求</w:t>
            </w:r>
          </w:p>
        </w:tc>
      </w:tr>
      <w:tr w14:paraId="713F0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 w:hRule="atLeast"/>
        </w:trPr>
        <w:tc>
          <w:tcPr>
            <w:tcW w:w="1839" w:type="dxa"/>
            <w:gridSpan w:val="3"/>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6D355A67">
            <w:pPr>
              <w:widowControl/>
              <w:spacing w:line="36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color w:val="000000"/>
                <w:kern w:val="0"/>
                <w:sz w:val="21"/>
                <w:szCs w:val="21"/>
                <w:lang w:val="en-US" w:eastAsia="zh-CN" w:bidi="ar"/>
              </w:rPr>
              <w:t>一、</w:t>
            </w:r>
            <w:r>
              <w:rPr>
                <w:rFonts w:hint="eastAsia" w:asciiTheme="minorEastAsia" w:hAnsiTheme="minorEastAsia" w:eastAsiaTheme="minorEastAsia" w:cstheme="minorEastAsia"/>
                <w:color w:val="000000"/>
                <w:kern w:val="0"/>
                <w:sz w:val="21"/>
                <w:szCs w:val="21"/>
                <w:lang w:bidi="ar"/>
              </w:rPr>
              <w:t>报价要求</w:t>
            </w:r>
          </w:p>
        </w:tc>
        <w:tc>
          <w:tcPr>
            <w:tcW w:w="12585" w:type="dxa"/>
            <w:gridSpan w:val="7"/>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524F9AB4">
            <w:pPr>
              <w:spacing w:line="360" w:lineRule="exact"/>
              <w:rPr>
                <w:rFonts w:hint="eastAsia" w:ascii="宋体" w:hAnsi="宋体" w:eastAsia="宋体" w:cs="宋体"/>
                <w:i w:val="0"/>
                <w:iCs w:val="0"/>
                <w:color w:val="000000"/>
                <w:kern w:val="0"/>
                <w:sz w:val="24"/>
                <w:szCs w:val="24"/>
                <w:u w:val="none"/>
                <w:lang w:val="en-US" w:eastAsia="zh-CN" w:bidi="ar"/>
              </w:rPr>
            </w:pPr>
            <w:r>
              <w:rPr>
                <w:rFonts w:hint="eastAsia" w:asciiTheme="minorEastAsia" w:hAnsiTheme="minorEastAsia" w:eastAsiaTheme="minorEastAsia" w:cstheme="minorEastAsia"/>
                <w:sz w:val="21"/>
                <w:szCs w:val="21"/>
                <w:lang w:val="en-US" w:eastAsia="zh-CN"/>
              </w:rPr>
              <w:t xml:space="preserve">投标报价包括产品购置、安装、调试、管理、运输、保险、装卸培训辅导、质保期售后服务、全额含税发票、雇员费用、建筑垃圾清运、场地清理、弃放建筑垃圾场地、环境保护、施工噪声、安全防护、文明施工、交通维护、安全措施、临时设施的场地和水电以及其它按法律、法规、规章规定须支付的费用，合同实施过程中应预见和不可预见费用等全部费用。 </w:t>
            </w:r>
          </w:p>
        </w:tc>
      </w:tr>
      <w:tr w14:paraId="2CD8A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trPr>
        <w:tc>
          <w:tcPr>
            <w:tcW w:w="1839" w:type="dxa"/>
            <w:gridSpan w:val="3"/>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28A87AA8">
            <w:pPr>
              <w:spacing w:line="360" w:lineRule="exact"/>
              <w:rPr>
                <w:rFonts w:hint="eastAsia" w:ascii="宋体" w:hAnsi="宋体" w:eastAsia="宋体" w:cs="宋体"/>
                <w:i w:val="0"/>
                <w:iCs w:val="0"/>
                <w:color w:val="000000"/>
                <w:kern w:val="0"/>
                <w:sz w:val="18"/>
                <w:szCs w:val="18"/>
                <w:u w:val="none"/>
                <w:lang w:val="en-US" w:eastAsia="zh-CN" w:bidi="ar"/>
              </w:rPr>
            </w:pP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bCs/>
                <w:sz w:val="21"/>
                <w:szCs w:val="21"/>
                <w:lang w:val="en-US" w:eastAsia="zh-CN"/>
              </w:rPr>
              <w:t>二、</w:t>
            </w:r>
            <w:r>
              <w:rPr>
                <w:rFonts w:hint="eastAsia" w:asciiTheme="minorEastAsia" w:hAnsiTheme="minorEastAsia" w:eastAsiaTheme="minorEastAsia" w:cstheme="minorEastAsia"/>
                <w:sz w:val="21"/>
                <w:szCs w:val="21"/>
              </w:rPr>
              <w:t>知识产权</w:t>
            </w:r>
          </w:p>
        </w:tc>
        <w:tc>
          <w:tcPr>
            <w:tcW w:w="12585" w:type="dxa"/>
            <w:gridSpan w:val="7"/>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192B3192">
            <w:pPr>
              <w:spacing w:line="360" w:lineRule="exact"/>
              <w:rPr>
                <w:rFonts w:hint="eastAsia" w:ascii="宋体" w:hAnsi="宋体" w:eastAsia="宋体" w:cs="宋体"/>
                <w:i w:val="0"/>
                <w:iCs w:val="0"/>
                <w:color w:val="000000"/>
                <w:kern w:val="0"/>
                <w:sz w:val="24"/>
                <w:szCs w:val="24"/>
                <w:u w:val="none"/>
                <w:lang w:val="en-US" w:eastAsia="zh-CN" w:bidi="ar"/>
              </w:rPr>
            </w:pPr>
            <w:r>
              <w:rPr>
                <w:rFonts w:hint="eastAsia" w:asciiTheme="minorEastAsia" w:hAnsiTheme="minorEastAsia" w:eastAsiaTheme="minorEastAsia" w:cstheme="minorEastAsia"/>
                <w:sz w:val="21"/>
                <w:szCs w:val="21"/>
              </w:rPr>
              <w:t>采购人在中国境内使用成交人提供的产品及服务时免受第三方提出的侵犯其专利权或其它知识产权的起诉。如果第三方提出侵权指控，成交人应承担由此而引起的一切法律责任和费用。</w:t>
            </w:r>
          </w:p>
        </w:tc>
      </w:tr>
      <w:tr w14:paraId="4988A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trPr>
        <w:tc>
          <w:tcPr>
            <w:tcW w:w="1839" w:type="dxa"/>
            <w:gridSpan w:val="3"/>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1FA5D44F">
            <w:pPr>
              <w:spacing w:line="360" w:lineRule="exact"/>
              <w:rPr>
                <w:rFonts w:hint="eastAsia" w:ascii="宋体" w:hAnsi="宋体" w:eastAsia="宋体" w:cs="宋体"/>
                <w:i w:val="0"/>
                <w:iCs w:val="0"/>
                <w:color w:val="000000"/>
                <w:kern w:val="0"/>
                <w:sz w:val="18"/>
                <w:szCs w:val="18"/>
                <w:u w:val="none"/>
                <w:lang w:val="en-US" w:eastAsia="zh-CN" w:bidi="ar"/>
              </w:rPr>
            </w:pP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bCs/>
                <w:sz w:val="21"/>
                <w:szCs w:val="21"/>
                <w:lang w:val="en-US" w:eastAsia="zh-CN"/>
              </w:rPr>
              <w:t>三、</w:t>
            </w:r>
            <w:r>
              <w:rPr>
                <w:rFonts w:hint="eastAsia" w:asciiTheme="minorEastAsia" w:hAnsiTheme="minorEastAsia" w:eastAsiaTheme="minorEastAsia" w:cstheme="minorEastAsia"/>
                <w:sz w:val="21"/>
                <w:szCs w:val="21"/>
              </w:rPr>
              <w:t>供货要求</w:t>
            </w:r>
          </w:p>
        </w:tc>
        <w:tc>
          <w:tcPr>
            <w:tcW w:w="12585" w:type="dxa"/>
            <w:gridSpan w:val="7"/>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1633C560">
            <w:pPr>
              <w:numPr>
                <w:ilvl w:val="0"/>
                <w:numId w:val="8"/>
              </w:numPr>
              <w:spacing w:line="36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签订合同后10个工作日内必须全部供完货物并安装完毕，成交人必须按时供应。</w:t>
            </w:r>
          </w:p>
          <w:p w14:paraId="1C86F0E1">
            <w:pPr>
              <w:widowControl w:val="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2.本次采购的货物，须是原厂参数配置，全新</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原装未拆封，不接受加装改配</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窜货、翻新等行为。</w:t>
            </w:r>
          </w:p>
          <w:p w14:paraId="1C8A6200">
            <w:pPr>
              <w:widowControl w:val="0"/>
              <w:jc w:val="both"/>
              <w:rPr>
                <w:rFonts w:hint="eastAsia" w:ascii="宋体" w:hAnsi="宋体" w:eastAsia="宋体" w:cs="宋体"/>
                <w:i w:val="0"/>
                <w:iCs w:val="0"/>
                <w:color w:val="000000"/>
                <w:kern w:val="0"/>
                <w:sz w:val="24"/>
                <w:szCs w:val="24"/>
                <w:u w:val="none"/>
                <w:lang w:val="en-US" w:eastAsia="zh-CN" w:bidi="ar"/>
              </w:rPr>
            </w:pPr>
            <w:r>
              <w:rPr>
                <w:rFonts w:hint="eastAsia" w:asciiTheme="minorEastAsia" w:hAnsiTheme="minorEastAsia" w:eastAsiaTheme="minorEastAsia" w:cstheme="minorEastAsia"/>
                <w:sz w:val="21"/>
                <w:szCs w:val="21"/>
              </w:rPr>
              <w:t>3.所提供的货物品牌、型号、规格、性能、技术标准、质量标准等质量不合格的，应及时更换并由成交人承担所发生的费用，更换不及时的按逾期交货处理。因包装、运输引起的货物损坏，按质量不合格处理。</w:t>
            </w:r>
          </w:p>
        </w:tc>
      </w:tr>
      <w:tr w14:paraId="7A26A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trPr>
        <w:tc>
          <w:tcPr>
            <w:tcW w:w="1839" w:type="dxa"/>
            <w:gridSpan w:val="3"/>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750373B4">
            <w:pPr>
              <w:spacing w:line="360" w:lineRule="exact"/>
              <w:rPr>
                <w:rFonts w:hint="eastAsia" w:ascii="宋体" w:hAnsi="宋体" w:eastAsia="宋体" w:cs="宋体"/>
                <w:i w:val="0"/>
                <w:iCs w:val="0"/>
                <w:color w:val="000000"/>
                <w:kern w:val="0"/>
                <w:sz w:val="18"/>
                <w:szCs w:val="18"/>
                <w:u w:val="none"/>
                <w:lang w:val="en-US" w:eastAsia="zh-CN" w:bidi="ar"/>
              </w:rPr>
            </w:pP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bCs/>
                <w:sz w:val="21"/>
                <w:szCs w:val="21"/>
                <w:lang w:val="en-US" w:eastAsia="zh-CN"/>
              </w:rPr>
              <w:t>四、</w:t>
            </w:r>
            <w:r>
              <w:rPr>
                <w:rFonts w:hint="eastAsia" w:asciiTheme="minorEastAsia" w:hAnsiTheme="minorEastAsia" w:eastAsiaTheme="minorEastAsia" w:cstheme="minorEastAsia"/>
                <w:sz w:val="21"/>
                <w:szCs w:val="21"/>
              </w:rPr>
              <w:t>售后服务要求</w:t>
            </w:r>
          </w:p>
        </w:tc>
        <w:tc>
          <w:tcPr>
            <w:tcW w:w="12585" w:type="dxa"/>
            <w:gridSpan w:val="7"/>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378C73AA">
            <w:pPr>
              <w:spacing w:line="36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1.免费送货上门，免费安装调试和培训。</w:t>
            </w:r>
          </w:p>
          <w:p w14:paraId="0A1673A8">
            <w:pPr>
              <w:spacing w:line="36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2.按厂家承诺实行“三包”承诺，质保期</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年，免费上门服务（自交货安装完毕，验收合格之日起计）。</w:t>
            </w:r>
          </w:p>
          <w:p w14:paraId="0B7D9431">
            <w:pPr>
              <w:spacing w:line="36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3.其他售后服务要求：</w:t>
            </w:r>
          </w:p>
          <w:p w14:paraId="7A939B9F">
            <w:pPr>
              <w:spacing w:line="36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提供</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年技术及运维服务，质量保证期内免费维修、免费更换零部件，服务内容如下：</w:t>
            </w:r>
          </w:p>
          <w:p w14:paraId="1EC10B35">
            <w:pPr>
              <w:spacing w:line="36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质保期内，成交人应当提供7×24小时电话支持服务。成交人接到采购人保修通知后2个小时内响应，</w:t>
            </w:r>
            <w:r>
              <w:rPr>
                <w:rFonts w:hint="eastAsia" w:asciiTheme="minorEastAsia" w:hAnsiTheme="minorEastAsia" w:eastAsiaTheme="minorEastAsia" w:cstheme="minorEastAsia"/>
                <w:color w:val="000000"/>
                <w:kern w:val="0"/>
                <w:sz w:val="21"/>
                <w:szCs w:val="21"/>
                <w:lang w:bidi="ar"/>
              </w:rPr>
              <w:t>4小时内到达现场进行处理，</w:t>
            </w:r>
            <w:r>
              <w:rPr>
                <w:rFonts w:hint="eastAsia" w:asciiTheme="minorEastAsia" w:hAnsiTheme="minorEastAsia" w:eastAsiaTheme="minorEastAsia" w:cstheme="minorEastAsia"/>
                <w:sz w:val="21"/>
                <w:szCs w:val="21"/>
              </w:rPr>
              <w:t>24个小时内排除故障。如不能及时解决故障，成交人应提供备用机确保采购方正常使用。对于质保期内不能修复的产品／部件，成交人应在48个小时内免费更换备品备件，维修使用的备品备件及易损件应为原厂配件，未经采购方同意不得使用非原厂配件。</w:t>
            </w:r>
          </w:p>
          <w:p w14:paraId="5B569363">
            <w:pPr>
              <w:spacing w:line="360" w:lineRule="exact"/>
              <w:rPr>
                <w:rFonts w:hint="eastAsia" w:ascii="宋体" w:hAnsi="宋体" w:eastAsia="宋体" w:cs="宋体"/>
                <w:i w:val="0"/>
                <w:iCs w:val="0"/>
                <w:color w:val="000000"/>
                <w:kern w:val="0"/>
                <w:sz w:val="24"/>
                <w:szCs w:val="24"/>
                <w:u w:val="none"/>
                <w:lang w:val="en-US" w:eastAsia="zh-CN" w:bidi="ar"/>
              </w:rPr>
            </w:pPr>
            <w:r>
              <w:rPr>
                <w:rFonts w:hint="eastAsia" w:asciiTheme="minorEastAsia" w:hAnsiTheme="minorEastAsia" w:eastAsiaTheme="minorEastAsia" w:cstheme="minorEastAsia"/>
                <w:sz w:val="21"/>
                <w:szCs w:val="21"/>
              </w:rPr>
              <w:t>4.维保：自货物通过最终验收合格之日起免费维保</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年。</w:t>
            </w:r>
          </w:p>
        </w:tc>
      </w:tr>
      <w:tr w14:paraId="57033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trPr>
        <w:tc>
          <w:tcPr>
            <w:tcW w:w="1839" w:type="dxa"/>
            <w:gridSpan w:val="3"/>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1E4DF7E4">
            <w:pPr>
              <w:spacing w:line="360" w:lineRule="exact"/>
              <w:rPr>
                <w:rFonts w:hint="eastAsia" w:ascii="宋体" w:hAnsi="宋体" w:eastAsia="宋体" w:cs="宋体"/>
                <w:i w:val="0"/>
                <w:iCs w:val="0"/>
                <w:color w:val="000000"/>
                <w:kern w:val="0"/>
                <w:sz w:val="18"/>
                <w:szCs w:val="18"/>
                <w:u w:val="none"/>
                <w:lang w:val="en-US" w:eastAsia="zh-CN" w:bidi="ar"/>
              </w:rPr>
            </w:pP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bCs/>
                <w:sz w:val="21"/>
                <w:szCs w:val="21"/>
                <w:lang w:val="en-US" w:eastAsia="zh-CN"/>
              </w:rPr>
              <w:t>五、</w:t>
            </w:r>
            <w:r>
              <w:rPr>
                <w:rFonts w:hint="eastAsia" w:asciiTheme="minorEastAsia" w:hAnsiTheme="minorEastAsia" w:eastAsiaTheme="minorEastAsia" w:cstheme="minorEastAsia"/>
                <w:i w:val="0"/>
                <w:iCs w:val="0"/>
                <w:caps w:val="0"/>
                <w:spacing w:val="0"/>
                <w:sz w:val="21"/>
                <w:szCs w:val="21"/>
              </w:rPr>
              <w:t>履约保证金</w:t>
            </w:r>
          </w:p>
        </w:tc>
        <w:tc>
          <w:tcPr>
            <w:tcW w:w="12585" w:type="dxa"/>
            <w:gridSpan w:val="7"/>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55C67078">
            <w:pPr>
              <w:spacing w:line="360" w:lineRule="exact"/>
              <w:rPr>
                <w:rFonts w:hint="eastAsia" w:asciiTheme="minorEastAsia" w:hAnsiTheme="minorEastAsia" w:eastAsiaTheme="minorEastAsia" w:cstheme="minorEastAsia"/>
                <w:i w:val="0"/>
                <w:iCs w:val="0"/>
                <w:caps w:val="0"/>
                <w:spacing w:val="0"/>
                <w:sz w:val="21"/>
                <w:szCs w:val="21"/>
              </w:rPr>
            </w:pPr>
            <w:r>
              <w:rPr>
                <w:rFonts w:hint="eastAsia" w:asciiTheme="minorEastAsia" w:hAnsiTheme="minorEastAsia" w:eastAsiaTheme="minorEastAsia" w:cstheme="minorEastAsia"/>
                <w:i w:val="0"/>
                <w:iCs w:val="0"/>
                <w:caps w:val="0"/>
                <w:spacing w:val="0"/>
                <w:sz w:val="21"/>
                <w:szCs w:val="21"/>
              </w:rPr>
              <w:t>1.合同签订后3个工作日内，供应商应向采购人支付合同总价2%的履约保证金作为供应商认真履行合同条款的保证;</w:t>
            </w:r>
          </w:p>
          <w:p w14:paraId="0BC4CCBE">
            <w:pPr>
              <w:spacing w:line="360" w:lineRule="exact"/>
              <w:rPr>
                <w:rFonts w:hint="eastAsia" w:asciiTheme="minorEastAsia" w:hAnsiTheme="minorEastAsia" w:eastAsiaTheme="minorEastAsia" w:cstheme="minorEastAsia"/>
                <w:i w:val="0"/>
                <w:iCs w:val="0"/>
                <w:caps w:val="0"/>
                <w:spacing w:val="0"/>
                <w:sz w:val="21"/>
                <w:szCs w:val="21"/>
              </w:rPr>
            </w:pPr>
            <w:r>
              <w:rPr>
                <w:rFonts w:hint="eastAsia" w:asciiTheme="minorEastAsia" w:hAnsiTheme="minorEastAsia" w:eastAsiaTheme="minorEastAsia" w:cstheme="minorEastAsia"/>
                <w:i w:val="0"/>
                <w:iCs w:val="0"/>
                <w:caps w:val="0"/>
                <w:spacing w:val="0"/>
                <w:sz w:val="21"/>
                <w:szCs w:val="21"/>
              </w:rPr>
              <w:t>2.</w:t>
            </w:r>
            <w:r>
              <w:rPr>
                <w:rFonts w:hint="eastAsia" w:asciiTheme="minorEastAsia" w:hAnsiTheme="minorEastAsia" w:eastAsiaTheme="minorEastAsia" w:cstheme="minorEastAsia"/>
                <w:i w:val="0"/>
                <w:iCs w:val="0"/>
                <w:caps w:val="0"/>
                <w:spacing w:val="0"/>
                <w:sz w:val="21"/>
                <w:szCs w:val="21"/>
                <w:lang w:val="en-US" w:eastAsia="zh-CN"/>
              </w:rPr>
              <w:t>若</w:t>
            </w:r>
            <w:r>
              <w:rPr>
                <w:rFonts w:hint="eastAsia" w:asciiTheme="minorEastAsia" w:hAnsiTheme="minorEastAsia" w:eastAsiaTheme="minorEastAsia" w:cstheme="minorEastAsia"/>
                <w:i w:val="0"/>
                <w:iCs w:val="0"/>
                <w:caps w:val="0"/>
                <w:spacing w:val="0"/>
                <w:sz w:val="21"/>
                <w:szCs w:val="21"/>
              </w:rPr>
              <w:t>供应商</w:t>
            </w:r>
            <w:r>
              <w:rPr>
                <w:rFonts w:hint="eastAsia" w:asciiTheme="minorEastAsia" w:hAnsiTheme="minorEastAsia" w:eastAsiaTheme="minorEastAsia" w:cstheme="minorEastAsia"/>
                <w:i w:val="0"/>
                <w:iCs w:val="0"/>
                <w:caps w:val="0"/>
                <w:spacing w:val="0"/>
                <w:sz w:val="21"/>
                <w:szCs w:val="21"/>
                <w:lang w:val="en-US" w:eastAsia="zh-CN"/>
              </w:rPr>
              <w:t>未</w:t>
            </w:r>
            <w:r>
              <w:rPr>
                <w:rFonts w:hint="eastAsia" w:asciiTheme="minorEastAsia" w:hAnsiTheme="minorEastAsia" w:eastAsiaTheme="minorEastAsia" w:cstheme="minorEastAsia"/>
                <w:i w:val="0"/>
                <w:iCs w:val="0"/>
                <w:caps w:val="0"/>
                <w:spacing w:val="0"/>
                <w:sz w:val="21"/>
                <w:szCs w:val="21"/>
              </w:rPr>
              <w:t>履行本合同项下约定的责任和义务，</w:t>
            </w:r>
            <w:r>
              <w:rPr>
                <w:rFonts w:hint="eastAsia" w:asciiTheme="minorEastAsia" w:hAnsiTheme="minorEastAsia" w:eastAsiaTheme="minorEastAsia" w:cstheme="minorEastAsia"/>
                <w:i w:val="0"/>
                <w:iCs w:val="0"/>
                <w:caps w:val="0"/>
                <w:spacing w:val="0"/>
                <w:sz w:val="21"/>
                <w:szCs w:val="21"/>
                <w:lang w:val="en-US" w:eastAsia="zh-CN"/>
              </w:rPr>
              <w:t>产生的违约金、赔偿金及其他各类需由供应商承担的费用，</w:t>
            </w:r>
            <w:r>
              <w:rPr>
                <w:rFonts w:hint="eastAsia" w:asciiTheme="minorEastAsia" w:hAnsiTheme="minorEastAsia" w:eastAsiaTheme="minorEastAsia" w:cstheme="minorEastAsia"/>
                <w:i w:val="0"/>
                <w:iCs w:val="0"/>
                <w:caps w:val="0"/>
                <w:spacing w:val="0"/>
                <w:sz w:val="21"/>
                <w:szCs w:val="21"/>
              </w:rPr>
              <w:t>采购人有权直接从履约保证金中扣除</w:t>
            </w:r>
            <w:r>
              <w:rPr>
                <w:rFonts w:hint="eastAsia" w:asciiTheme="minorEastAsia" w:hAnsiTheme="minorEastAsia" w:eastAsiaTheme="minorEastAsia" w:cstheme="minorEastAsia"/>
                <w:i w:val="0"/>
                <w:iCs w:val="0"/>
                <w:caps w:val="0"/>
                <w:spacing w:val="0"/>
                <w:sz w:val="21"/>
                <w:szCs w:val="21"/>
                <w:lang w:eastAsia="zh-CN"/>
              </w:rPr>
              <w:t>，</w:t>
            </w:r>
            <w:r>
              <w:rPr>
                <w:rFonts w:hint="eastAsia" w:asciiTheme="minorEastAsia" w:hAnsiTheme="minorEastAsia" w:eastAsiaTheme="minorEastAsia" w:cstheme="minorEastAsia"/>
                <w:i w:val="0"/>
                <w:iCs w:val="0"/>
                <w:caps w:val="0"/>
                <w:spacing w:val="0"/>
                <w:sz w:val="21"/>
                <w:szCs w:val="21"/>
              </w:rPr>
              <w:t>履约保证金中不足以扣除的，采购人有权从任何一笔货款(服务款)中扣除。剩余履约保证金(如有)自项目验收合格一年后，如无质量及服务问题</w:t>
            </w:r>
            <w:r>
              <w:rPr>
                <w:rFonts w:hint="eastAsia" w:asciiTheme="minorEastAsia" w:hAnsiTheme="minorEastAsia" w:eastAsiaTheme="minorEastAsia" w:cstheme="minorEastAsia"/>
                <w:i w:val="0"/>
                <w:iCs w:val="0"/>
                <w:caps w:val="0"/>
                <w:spacing w:val="0"/>
                <w:sz w:val="21"/>
                <w:szCs w:val="21"/>
                <w:lang w:val="en-US" w:eastAsia="zh-CN"/>
              </w:rPr>
              <w:t>的前提下</w:t>
            </w:r>
            <w:r>
              <w:rPr>
                <w:rFonts w:hint="eastAsia" w:asciiTheme="minorEastAsia" w:hAnsiTheme="minorEastAsia" w:eastAsiaTheme="minorEastAsia" w:cstheme="minorEastAsia"/>
                <w:i w:val="0"/>
                <w:iCs w:val="0"/>
                <w:caps w:val="0"/>
                <w:spacing w:val="0"/>
                <w:sz w:val="21"/>
                <w:szCs w:val="21"/>
              </w:rPr>
              <w:t>，由供应商提</w:t>
            </w:r>
            <w:r>
              <w:rPr>
                <w:rFonts w:hint="eastAsia" w:asciiTheme="minorEastAsia" w:hAnsiTheme="minorEastAsia" w:eastAsiaTheme="minorEastAsia" w:cstheme="minorEastAsia"/>
                <w:i w:val="0"/>
                <w:iCs w:val="0"/>
                <w:caps w:val="0"/>
                <w:spacing w:val="0"/>
                <w:sz w:val="21"/>
                <w:szCs w:val="21"/>
                <w:lang w:val="en-US" w:eastAsia="zh-CN"/>
              </w:rPr>
              <w:t>交退款</w:t>
            </w:r>
            <w:r>
              <w:rPr>
                <w:rFonts w:hint="eastAsia" w:asciiTheme="minorEastAsia" w:hAnsiTheme="minorEastAsia" w:eastAsiaTheme="minorEastAsia" w:cstheme="minorEastAsia"/>
                <w:i w:val="0"/>
                <w:iCs w:val="0"/>
                <w:caps w:val="0"/>
                <w:spacing w:val="0"/>
                <w:sz w:val="21"/>
                <w:szCs w:val="21"/>
              </w:rPr>
              <w:t>申请</w:t>
            </w:r>
            <w:r>
              <w:rPr>
                <w:rFonts w:hint="eastAsia" w:asciiTheme="minorEastAsia" w:hAnsiTheme="minorEastAsia" w:eastAsiaTheme="minorEastAsia" w:cstheme="minorEastAsia"/>
                <w:i w:val="0"/>
                <w:iCs w:val="0"/>
                <w:caps w:val="0"/>
                <w:spacing w:val="0"/>
                <w:sz w:val="21"/>
                <w:szCs w:val="21"/>
                <w:lang w:eastAsia="zh-CN"/>
              </w:rPr>
              <w:t>。</w:t>
            </w:r>
            <w:r>
              <w:rPr>
                <w:rFonts w:hint="eastAsia" w:asciiTheme="minorEastAsia" w:hAnsiTheme="minorEastAsia" w:eastAsiaTheme="minorEastAsia" w:cstheme="minorEastAsia"/>
                <w:i w:val="0"/>
                <w:iCs w:val="0"/>
                <w:caps w:val="0"/>
                <w:spacing w:val="0"/>
                <w:sz w:val="21"/>
                <w:szCs w:val="21"/>
                <w:lang w:val="en-US" w:eastAsia="zh-CN"/>
              </w:rPr>
              <w:t>采购人在收到供应商完整、合格的退付申请资料后，于10个工作日内（寒暑假除外）无息返还剩余履约保证金。</w:t>
            </w:r>
          </w:p>
          <w:p w14:paraId="47D7A9F1">
            <w:pPr>
              <w:spacing w:line="360" w:lineRule="exact"/>
              <w:rPr>
                <w:rFonts w:hint="eastAsia" w:ascii="宋体" w:hAnsi="宋体" w:eastAsia="宋体" w:cs="宋体"/>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aps w:val="0"/>
                <w:spacing w:val="0"/>
                <w:sz w:val="21"/>
                <w:szCs w:val="21"/>
              </w:rPr>
              <w:t>3.提交方式:以现金对公转账</w:t>
            </w:r>
            <w:r>
              <w:rPr>
                <w:rFonts w:hint="eastAsia" w:asciiTheme="minorEastAsia" w:hAnsiTheme="minorEastAsia" w:eastAsiaTheme="minorEastAsia" w:cstheme="minorEastAsia"/>
                <w:i w:val="0"/>
                <w:iCs w:val="0"/>
                <w:caps w:val="0"/>
                <w:spacing w:val="0"/>
                <w:sz w:val="21"/>
                <w:szCs w:val="21"/>
                <w:lang w:eastAsia="zh-CN"/>
              </w:rPr>
              <w:t>、</w:t>
            </w:r>
            <w:r>
              <w:rPr>
                <w:rFonts w:hint="eastAsia" w:asciiTheme="minorEastAsia" w:hAnsiTheme="minorEastAsia" w:eastAsiaTheme="minorEastAsia" w:cstheme="minorEastAsia"/>
                <w:sz w:val="21"/>
                <w:szCs w:val="21"/>
              </w:rPr>
              <w:t>银行保函</w:t>
            </w:r>
            <w:r>
              <w:rPr>
                <w:rFonts w:hint="eastAsia" w:asciiTheme="minorEastAsia" w:hAnsiTheme="minorEastAsia" w:eastAsiaTheme="minorEastAsia" w:cstheme="minorEastAsia"/>
                <w:i w:val="0"/>
                <w:iCs w:val="0"/>
                <w:caps w:val="0"/>
                <w:spacing w:val="0"/>
                <w:sz w:val="21"/>
                <w:szCs w:val="21"/>
              </w:rPr>
              <w:t>等形式提交。</w:t>
            </w:r>
          </w:p>
        </w:tc>
      </w:tr>
      <w:tr w14:paraId="2F2C1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trPr>
        <w:tc>
          <w:tcPr>
            <w:tcW w:w="1839" w:type="dxa"/>
            <w:gridSpan w:val="3"/>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65D4C846">
            <w:pPr>
              <w:spacing w:line="360" w:lineRule="exact"/>
              <w:rPr>
                <w:rFonts w:hint="eastAsia" w:ascii="宋体" w:hAnsi="宋体" w:eastAsia="宋体" w:cs="宋体"/>
                <w:i w:val="0"/>
                <w:iCs w:val="0"/>
                <w:color w:val="000000"/>
                <w:kern w:val="0"/>
                <w:sz w:val="18"/>
                <w:szCs w:val="18"/>
                <w:u w:val="none"/>
                <w:lang w:val="en-US" w:eastAsia="zh-CN" w:bidi="ar"/>
              </w:rPr>
            </w:pP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bCs/>
                <w:sz w:val="21"/>
                <w:szCs w:val="21"/>
                <w:lang w:val="en-US" w:eastAsia="zh-CN"/>
              </w:rPr>
              <w:t>六、违约要求</w:t>
            </w:r>
          </w:p>
        </w:tc>
        <w:tc>
          <w:tcPr>
            <w:tcW w:w="12585" w:type="dxa"/>
            <w:gridSpan w:val="7"/>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725E74E9">
            <w:pPr>
              <w:spacing w:line="360" w:lineRule="exact"/>
              <w:rPr>
                <w:rFonts w:hint="eastAsia" w:asciiTheme="minorEastAsia" w:hAnsiTheme="minorEastAsia" w:eastAsiaTheme="minorEastAsia" w:cstheme="minorEastAsia"/>
                <w:i w:val="0"/>
                <w:iCs w:val="0"/>
                <w:caps w:val="0"/>
                <w:spacing w:val="0"/>
                <w:sz w:val="21"/>
                <w:szCs w:val="21"/>
                <w:lang w:val="en-US" w:eastAsia="zh-CN"/>
              </w:rPr>
            </w:pPr>
            <w:r>
              <w:rPr>
                <w:rFonts w:hint="eastAsia" w:asciiTheme="minorEastAsia" w:hAnsiTheme="minorEastAsia" w:eastAsiaTheme="minorEastAsia" w:cstheme="minorEastAsia"/>
                <w:i w:val="0"/>
                <w:iCs w:val="0"/>
                <w:caps w:val="0"/>
                <w:spacing w:val="0"/>
                <w:sz w:val="21"/>
                <w:szCs w:val="21"/>
                <w:lang w:val="en-US" w:eastAsia="zh-CN"/>
              </w:rPr>
              <w:t>1.成交供应商未按合同约定按时按质交货的，每逾期一日，应按合同金额的1‰向采购人支付违约金，逾期10日的，采购人有权解除合同。</w:t>
            </w:r>
          </w:p>
          <w:p w14:paraId="34BDEFE3">
            <w:pPr>
              <w:spacing w:line="360" w:lineRule="exact"/>
              <w:rPr>
                <w:rFonts w:hint="eastAsia" w:ascii="宋体" w:hAnsi="宋体" w:eastAsia="宋体" w:cs="宋体"/>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aps w:val="0"/>
                <w:spacing w:val="0"/>
                <w:sz w:val="21"/>
                <w:szCs w:val="21"/>
                <w:lang w:val="en-US" w:eastAsia="zh-CN"/>
              </w:rPr>
              <w:t>2.验收和履行过程中，如不符合公告文件的技术需求或要求或提供虚假承诺等情况，按相关规定做退货及违约处理。</w:t>
            </w:r>
          </w:p>
        </w:tc>
      </w:tr>
      <w:tr w14:paraId="4F210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trPr>
        <w:tc>
          <w:tcPr>
            <w:tcW w:w="1839" w:type="dxa"/>
            <w:gridSpan w:val="3"/>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28EB1E10">
            <w:pPr>
              <w:spacing w:line="360" w:lineRule="exact"/>
              <w:rPr>
                <w:rFonts w:hint="eastAsia" w:ascii="宋体" w:hAnsi="宋体" w:eastAsia="宋体" w:cs="宋体"/>
                <w:i w:val="0"/>
                <w:iCs w:val="0"/>
                <w:color w:val="000000"/>
                <w:kern w:val="0"/>
                <w:sz w:val="18"/>
                <w:szCs w:val="18"/>
                <w:u w:val="none"/>
                <w:lang w:val="en-US" w:eastAsia="zh-CN" w:bidi="ar"/>
              </w:rPr>
            </w:pP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bCs/>
                <w:sz w:val="21"/>
                <w:szCs w:val="21"/>
                <w:lang w:val="en-US" w:eastAsia="zh-CN"/>
              </w:rPr>
              <w:t>七、</w:t>
            </w:r>
            <w:r>
              <w:rPr>
                <w:rFonts w:hint="eastAsia" w:asciiTheme="minorEastAsia" w:hAnsiTheme="minorEastAsia" w:eastAsiaTheme="minorEastAsia" w:cstheme="minorEastAsia"/>
                <w:sz w:val="21"/>
                <w:szCs w:val="21"/>
              </w:rPr>
              <w:t>验收方式</w:t>
            </w:r>
          </w:p>
        </w:tc>
        <w:tc>
          <w:tcPr>
            <w:tcW w:w="12585" w:type="dxa"/>
            <w:gridSpan w:val="7"/>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6D5E312C">
            <w:pPr>
              <w:spacing w:line="360" w:lineRule="exact"/>
              <w:rPr>
                <w:rFonts w:hint="eastAsia" w:asciiTheme="minorEastAsia" w:hAnsiTheme="minorEastAsia" w:eastAsiaTheme="minorEastAsia" w:cstheme="minorEastAsia"/>
                <w:i w:val="0"/>
                <w:iCs w:val="0"/>
                <w:caps w:val="0"/>
                <w:spacing w:val="0"/>
                <w:sz w:val="21"/>
                <w:szCs w:val="21"/>
                <w:lang w:val="en-US" w:eastAsia="zh-CN"/>
              </w:rPr>
            </w:pPr>
            <w:r>
              <w:rPr>
                <w:rFonts w:hint="eastAsia" w:asciiTheme="minorEastAsia" w:hAnsiTheme="minorEastAsia" w:eastAsiaTheme="minorEastAsia" w:cstheme="minorEastAsia"/>
                <w:i w:val="0"/>
                <w:iCs w:val="0"/>
                <w:caps w:val="0"/>
                <w:spacing w:val="0"/>
                <w:sz w:val="21"/>
                <w:szCs w:val="21"/>
                <w:lang w:val="en-US" w:eastAsia="zh-CN"/>
              </w:rPr>
              <w:t>1.出厂检验：交货时，成交人应随同货物提供主要产品的出厂检验报告，产品合格证、售后服务承诺函原件（加盖公章）。</w:t>
            </w:r>
          </w:p>
          <w:p w14:paraId="704372E2">
            <w:pPr>
              <w:spacing w:line="360" w:lineRule="exact"/>
              <w:rPr>
                <w:rFonts w:hint="eastAsia" w:asciiTheme="minorEastAsia" w:hAnsiTheme="minorEastAsia" w:eastAsiaTheme="minorEastAsia" w:cstheme="minorEastAsia"/>
                <w:i w:val="0"/>
                <w:iCs w:val="0"/>
                <w:caps w:val="0"/>
                <w:spacing w:val="0"/>
                <w:sz w:val="21"/>
                <w:szCs w:val="21"/>
                <w:lang w:val="en-US" w:eastAsia="zh-CN"/>
              </w:rPr>
            </w:pPr>
            <w:r>
              <w:rPr>
                <w:rFonts w:hint="eastAsia" w:asciiTheme="minorEastAsia" w:hAnsiTheme="minorEastAsia" w:eastAsiaTheme="minorEastAsia" w:cstheme="minorEastAsia"/>
                <w:i w:val="0"/>
                <w:iCs w:val="0"/>
                <w:caps w:val="0"/>
                <w:spacing w:val="0"/>
                <w:sz w:val="21"/>
                <w:szCs w:val="21"/>
                <w:lang w:val="en-US" w:eastAsia="zh-CN"/>
              </w:rPr>
              <w:t>2.验收：安装调试结束后，由成交人组织相关人员按采购文件规定的技术要求进行验收。收到成交通知书后，采购方将严格按照采购文件要求现场验收。验收不合格的，按虚假应标处理，成交人需承担被采购方终止合同的一切风险和费用。</w:t>
            </w:r>
          </w:p>
          <w:p w14:paraId="35D17680">
            <w:pPr>
              <w:spacing w:line="360" w:lineRule="exact"/>
              <w:rPr>
                <w:rFonts w:hint="eastAsia" w:ascii="宋体" w:hAnsi="宋体" w:eastAsia="宋体" w:cs="宋体"/>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aps w:val="0"/>
                <w:spacing w:val="0"/>
                <w:sz w:val="21"/>
                <w:szCs w:val="21"/>
                <w:lang w:val="en-US" w:eastAsia="zh-CN"/>
              </w:rPr>
              <w:t>4.本要求提供的材料为实质性要求，如不能提供以上材料或提供以上材料与要求不符，或以上材料不齐全，则视为虚假应标，虚假应标的验收人验收无效，如该验收人中标的，中标结果无效，采购人将取消采购结果并追究责任；如明知不满足竞价文件对于品牌、型号、资质等要求而进行恶意竞争的，或因竞标人虚假竞标导致竞标无效造成的工期延误及损失，将根据《政采云平台电子卖场权益维护及纠纷处理规则》的规定报市政府采购监督管理办公室处理，给采购人造成损失的应予以赔偿。</w:t>
            </w:r>
          </w:p>
        </w:tc>
      </w:tr>
      <w:tr w14:paraId="7DAFF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trPr>
        <w:tc>
          <w:tcPr>
            <w:tcW w:w="1839" w:type="dxa"/>
            <w:gridSpan w:val="3"/>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2DAF251D">
            <w:pPr>
              <w:spacing w:line="360" w:lineRule="exact"/>
              <w:rPr>
                <w:rFonts w:hint="eastAsia" w:ascii="宋体" w:hAnsi="宋体" w:eastAsia="宋体" w:cs="宋体"/>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aps w:val="0"/>
                <w:spacing w:val="0"/>
                <w:sz w:val="21"/>
                <w:szCs w:val="21"/>
                <w:lang w:val="en-US" w:eastAsia="zh-CN"/>
              </w:rPr>
              <w:t>八、交付地点</w:t>
            </w:r>
          </w:p>
        </w:tc>
        <w:tc>
          <w:tcPr>
            <w:tcW w:w="12585" w:type="dxa"/>
            <w:gridSpan w:val="7"/>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5862B99E">
            <w:pPr>
              <w:spacing w:line="360" w:lineRule="exact"/>
              <w:rPr>
                <w:rFonts w:hint="eastAsia" w:asciiTheme="minorEastAsia" w:hAnsiTheme="minorEastAsia" w:eastAsiaTheme="minorEastAsia" w:cstheme="minorEastAsia"/>
                <w:i w:val="0"/>
                <w:iCs w:val="0"/>
                <w:caps w:val="0"/>
                <w:spacing w:val="0"/>
                <w:sz w:val="21"/>
                <w:szCs w:val="21"/>
                <w:lang w:val="en-US" w:eastAsia="zh-CN"/>
              </w:rPr>
            </w:pPr>
            <w:r>
              <w:rPr>
                <w:rFonts w:hint="eastAsia" w:asciiTheme="minorEastAsia" w:hAnsiTheme="minorEastAsia" w:eastAsiaTheme="minorEastAsia" w:cstheme="minorEastAsia"/>
                <w:i w:val="0"/>
                <w:iCs w:val="0"/>
                <w:caps w:val="0"/>
                <w:spacing w:val="0"/>
                <w:sz w:val="21"/>
                <w:szCs w:val="21"/>
                <w:lang w:val="en-US" w:eastAsia="zh-CN"/>
              </w:rPr>
              <w:t>1.交付地点：南宁市长堽路三里一巷43号广西第一工业学校</w:t>
            </w:r>
          </w:p>
          <w:p w14:paraId="40197138">
            <w:pPr>
              <w:spacing w:line="360" w:lineRule="exact"/>
              <w:rPr>
                <w:rFonts w:hint="eastAsia" w:ascii="宋体" w:hAnsi="宋体" w:eastAsia="宋体" w:cs="宋体"/>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aps w:val="0"/>
                <w:spacing w:val="0"/>
                <w:sz w:val="21"/>
                <w:szCs w:val="21"/>
                <w:lang w:val="en-US" w:eastAsia="zh-CN"/>
              </w:rPr>
              <w:t>2.现场交货及安装。</w:t>
            </w:r>
          </w:p>
        </w:tc>
      </w:tr>
      <w:tr w14:paraId="1461D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trPr>
        <w:tc>
          <w:tcPr>
            <w:tcW w:w="1839" w:type="dxa"/>
            <w:gridSpan w:val="3"/>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4E38EAC7">
            <w:pPr>
              <w:spacing w:line="360" w:lineRule="exact"/>
              <w:rPr>
                <w:rFonts w:hint="eastAsia" w:ascii="宋体" w:hAnsi="宋体" w:eastAsia="宋体" w:cs="宋体"/>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aps w:val="0"/>
                <w:spacing w:val="0"/>
                <w:sz w:val="21"/>
                <w:szCs w:val="21"/>
                <w:lang w:val="en-US" w:eastAsia="zh-CN"/>
              </w:rPr>
              <w:t>九、付款条件</w:t>
            </w:r>
          </w:p>
        </w:tc>
        <w:tc>
          <w:tcPr>
            <w:tcW w:w="12585" w:type="dxa"/>
            <w:gridSpan w:val="7"/>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0" w:type="dxa"/>
            </w:tcMar>
            <w:vAlign w:val="center"/>
          </w:tcPr>
          <w:p w14:paraId="30FB711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aps w:val="0"/>
                <w:spacing w:val="0"/>
                <w:sz w:val="21"/>
                <w:szCs w:val="21"/>
                <w:lang w:val="en-US" w:eastAsia="zh-CN"/>
              </w:rPr>
              <w:t>一次性支付：本合同项下的全部货物经最终验收合格后，采购人收到乙方开具的全额发票，且财政批复本项目用款计划后向乙方支付全部合同价款。</w:t>
            </w:r>
          </w:p>
        </w:tc>
      </w:tr>
    </w:tbl>
    <w:p w14:paraId="1C431B2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bookmarkStart w:id="0" w:name="_GoBack"/>
      <w:bookmarkEnd w:id="0"/>
    </w:p>
    <w:sectPr>
      <w:pgSz w:w="16838" w:h="11906" w:orient="landscape"/>
      <w:pgMar w:top="1463" w:right="1383" w:bottom="1463" w:left="138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50B8D4"/>
    <w:multiLevelType w:val="singleLevel"/>
    <w:tmpl w:val="9E50B8D4"/>
    <w:lvl w:ilvl="0" w:tentative="0">
      <w:start w:val="1"/>
      <w:numFmt w:val="decimal"/>
      <w:suff w:val="nothing"/>
      <w:lvlText w:val="%1、"/>
      <w:lvlJc w:val="left"/>
    </w:lvl>
  </w:abstractNum>
  <w:abstractNum w:abstractNumId="1">
    <w:nsid w:val="D94C6930"/>
    <w:multiLevelType w:val="singleLevel"/>
    <w:tmpl w:val="D94C6930"/>
    <w:lvl w:ilvl="0" w:tentative="0">
      <w:start w:val="7"/>
      <w:numFmt w:val="decimal"/>
      <w:suff w:val="nothing"/>
      <w:lvlText w:val="%1、"/>
      <w:lvlJc w:val="left"/>
    </w:lvl>
  </w:abstractNum>
  <w:abstractNum w:abstractNumId="2">
    <w:nsid w:val="DD17C9C5"/>
    <w:multiLevelType w:val="singleLevel"/>
    <w:tmpl w:val="DD17C9C5"/>
    <w:lvl w:ilvl="0" w:tentative="0">
      <w:start w:val="1"/>
      <w:numFmt w:val="decimal"/>
      <w:suff w:val="nothing"/>
      <w:lvlText w:val="%1、"/>
      <w:lvlJc w:val="left"/>
    </w:lvl>
  </w:abstractNum>
  <w:abstractNum w:abstractNumId="3">
    <w:nsid w:val="2CFC9BEA"/>
    <w:multiLevelType w:val="singleLevel"/>
    <w:tmpl w:val="2CFC9BEA"/>
    <w:lvl w:ilvl="0" w:tentative="0">
      <w:start w:val="12"/>
      <w:numFmt w:val="decimal"/>
      <w:suff w:val="nothing"/>
      <w:lvlText w:val="%1、"/>
      <w:lvlJc w:val="left"/>
    </w:lvl>
  </w:abstractNum>
  <w:abstractNum w:abstractNumId="4">
    <w:nsid w:val="41D7D048"/>
    <w:multiLevelType w:val="singleLevel"/>
    <w:tmpl w:val="41D7D048"/>
    <w:lvl w:ilvl="0" w:tentative="0">
      <w:start w:val="1"/>
      <w:numFmt w:val="decimal"/>
      <w:lvlText w:val="%1."/>
      <w:lvlJc w:val="left"/>
      <w:pPr>
        <w:tabs>
          <w:tab w:val="left" w:pos="312"/>
        </w:tabs>
      </w:pPr>
    </w:lvl>
  </w:abstractNum>
  <w:abstractNum w:abstractNumId="5">
    <w:nsid w:val="4ACC82AC"/>
    <w:multiLevelType w:val="singleLevel"/>
    <w:tmpl w:val="4ACC82AC"/>
    <w:lvl w:ilvl="0" w:tentative="0">
      <w:start w:val="1"/>
      <w:numFmt w:val="decimal"/>
      <w:suff w:val="nothing"/>
      <w:lvlText w:val="%1、"/>
      <w:lvlJc w:val="left"/>
    </w:lvl>
  </w:abstractNum>
  <w:abstractNum w:abstractNumId="6">
    <w:nsid w:val="4FDD80D1"/>
    <w:multiLevelType w:val="singleLevel"/>
    <w:tmpl w:val="4FDD80D1"/>
    <w:lvl w:ilvl="0" w:tentative="0">
      <w:start w:val="1"/>
      <w:numFmt w:val="chineseCounting"/>
      <w:suff w:val="nothing"/>
      <w:lvlText w:val="%1、"/>
      <w:lvlJc w:val="left"/>
      <w:rPr>
        <w:rFonts w:hint="eastAsia"/>
      </w:rPr>
    </w:lvl>
  </w:abstractNum>
  <w:abstractNum w:abstractNumId="7">
    <w:nsid w:val="6A9967EF"/>
    <w:multiLevelType w:val="singleLevel"/>
    <w:tmpl w:val="6A9967EF"/>
    <w:lvl w:ilvl="0" w:tentative="0">
      <w:start w:val="1"/>
      <w:numFmt w:val="decimal"/>
      <w:suff w:val="nothing"/>
      <w:lvlText w:val="%1、"/>
      <w:lvlJc w:val="left"/>
    </w:lvl>
  </w:abstractNum>
  <w:num w:numId="1">
    <w:abstractNumId w:val="6"/>
  </w:num>
  <w:num w:numId="2">
    <w:abstractNumId w:val="5"/>
  </w:num>
  <w:num w:numId="3">
    <w:abstractNumId w:val="3"/>
  </w:num>
  <w:num w:numId="4">
    <w:abstractNumId w:val="0"/>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152C8A"/>
    <w:rsid w:val="06152C8A"/>
    <w:rsid w:val="26770A4D"/>
    <w:rsid w:val="38AF222D"/>
    <w:rsid w:val="542E5A18"/>
    <w:rsid w:val="66676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9"/>
    <w:pPr>
      <w:keepNext/>
      <w:keepLines/>
      <w:spacing w:before="280" w:after="290" w:line="376" w:lineRule="auto"/>
      <w:outlineLvl w:val="3"/>
    </w:pPr>
    <w:rPr>
      <w:rFonts w:ascii="Cambria" w:hAnsi="Cambria"/>
      <w:b/>
      <w:bCs/>
      <w:sz w:val="28"/>
      <w:szCs w:val="28"/>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7606</Words>
  <Characters>8299</Characters>
  <Lines>0</Lines>
  <Paragraphs>0</Paragraphs>
  <TotalTime>6</TotalTime>
  <ScaleCrop>false</ScaleCrop>
  <LinksUpToDate>false</LinksUpToDate>
  <CharactersWithSpaces>8360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2026-06-16T08:26:00Z</dcterms:created>
  <dc:creator>杨</dc:creator>
  <cp:lastModifiedBy>蓝qiulian</cp:lastModifiedBy>
  <dcterms:modified xsi:type="dcterms:W3CDTF">2026-06-17T08:19:16Z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0CDA896C8FC74FE0B666E492BCACC28D_13</vt:lpwstr>
  </property>
  <property fmtid="{D5CDD505-2E9C-101B-9397-08002B2CF9AE}" pid="4" name="KSOTemplateDocerSaveRecord">
    <vt:lpwstr>eyJoZGlkIjoiMDgwNDViNDNiNGM3OGQ1MjI5ZTRiOTNhNmI1YTQyOTUiLCJ1c2VySWQiOiIxMTU1MTMzMDc1In0=</vt:lpwstr>
  </property>
</Properties>
</file>