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CFB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微软雅黑" w:hAnsi="微软雅黑" w:eastAsia="微软雅黑" w:cs="微软雅黑"/>
          <w:b/>
          <w:bCs/>
          <w:sz w:val="32"/>
          <w:szCs w:val="32"/>
          <w:lang w:val="en-US"/>
        </w:rPr>
      </w:pPr>
      <w:r>
        <w:rPr>
          <w:rFonts w:hint="eastAsia" w:ascii="楷体" w:hAnsi="楷体" w:eastAsia="楷体" w:cs="楷体"/>
          <w:b/>
          <w:bCs/>
          <w:sz w:val="28"/>
          <w:szCs w:val="28"/>
          <w:lang w:val="en-US" w:eastAsia="zh-CN"/>
        </w:rPr>
        <w:t>数智财税仿真实训室项目-税费核算与智能申报平台采购清单</w:t>
      </w:r>
    </w:p>
    <w:tbl>
      <w:tblPr>
        <w:tblStyle w:val="11"/>
        <w:tblW w:w="501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5"/>
        <w:gridCol w:w="655"/>
        <w:gridCol w:w="859"/>
        <w:gridCol w:w="4966"/>
        <w:gridCol w:w="774"/>
        <w:gridCol w:w="724"/>
      </w:tblGrid>
      <w:tr w14:paraId="6FB1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55"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9FC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41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货物名称</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4C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品牌(型号)</w:t>
            </w:r>
          </w:p>
        </w:tc>
        <w:tc>
          <w:tcPr>
            <w:tcW w:w="2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C9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技术参数及配置标准</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6E6FF">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数量及</w:t>
            </w:r>
          </w:p>
          <w:p w14:paraId="235C1D7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B06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金额（万元）</w:t>
            </w:r>
          </w:p>
        </w:tc>
      </w:tr>
      <w:tr w14:paraId="5261B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12" w:hRule="atLeast"/>
        </w:trPr>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F2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18"/>
                <w:szCs w:val="18"/>
                <w:u w:val="none"/>
                <w:lang w:val="en-US" w:eastAsia="zh-CN" w:bidi="ar"/>
              </w:rPr>
              <w:t>1</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F6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税费核算与智能申报平台V1.0</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D5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科云</w:t>
            </w:r>
            <w:r>
              <w:rPr>
                <w:rFonts w:hint="eastAsia" w:ascii="宋体" w:hAnsi="宋体" w:eastAsia="宋体" w:cs="宋体"/>
                <w:i w:val="0"/>
                <w:iCs w:val="0"/>
                <w:color w:val="000000"/>
                <w:kern w:val="0"/>
                <w:sz w:val="18"/>
                <w:szCs w:val="18"/>
                <w:u w:val="none"/>
                <w:lang w:val="en-US" w:eastAsia="zh-CN" w:bidi="ar"/>
              </w:rPr>
              <w:br w:type="textWrapping"/>
            </w:r>
          </w:p>
        </w:tc>
        <w:tc>
          <w:tcPr>
            <w:tcW w:w="2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8E936">
            <w:pPr>
              <w:bidi w:val="0"/>
              <w:rPr>
                <w:rFonts w:hint="eastAsia" w:ascii="宋体" w:hAnsi="宋体" w:eastAsia="宋体" w:cs="宋体"/>
                <w:sz w:val="18"/>
                <w:szCs w:val="21"/>
              </w:rPr>
            </w:pPr>
            <w:r>
              <w:rPr>
                <w:rFonts w:hint="eastAsia" w:ascii="宋体" w:hAnsi="宋体" w:eastAsia="宋体" w:cs="宋体"/>
                <w:sz w:val="18"/>
                <w:szCs w:val="21"/>
                <w:lang w:val="en-US" w:eastAsia="zh-CN"/>
              </w:rPr>
              <w:t>（一）技术参数</w:t>
            </w:r>
            <w:r>
              <w:rPr>
                <w:rFonts w:hint="eastAsia" w:ascii="宋体" w:hAnsi="宋体" w:eastAsia="宋体" w:cs="宋体"/>
                <w:sz w:val="18"/>
                <w:szCs w:val="21"/>
                <w:lang w:val="en-US" w:eastAsia="zh-CN"/>
              </w:rPr>
              <w:br w:type="textWrapping"/>
            </w:r>
            <w:r>
              <w:rPr>
                <w:rFonts w:hint="eastAsia" w:ascii="宋体" w:hAnsi="宋体" w:eastAsia="宋体" w:cs="宋体"/>
                <w:sz w:val="18"/>
                <w:szCs w:val="21"/>
              </w:rPr>
              <w:t>1. 软件采用互联网技术</w:t>
            </w:r>
            <w:r>
              <w:rPr>
                <w:rFonts w:hint="eastAsia" w:ascii="宋体" w:hAnsi="宋体" w:eastAsia="宋体" w:cs="宋体"/>
                <w:sz w:val="18"/>
                <w:szCs w:val="21"/>
                <w:lang w:eastAsia="zh-CN"/>
              </w:rPr>
              <w:t>，</w:t>
            </w:r>
            <w:r>
              <w:rPr>
                <w:rFonts w:hint="eastAsia" w:ascii="宋体" w:hAnsi="宋体" w:eastAsia="宋体" w:cs="宋体"/>
                <w:sz w:val="18"/>
                <w:szCs w:val="21"/>
              </w:rPr>
              <w:t>基于云模式</w:t>
            </w:r>
            <w:r>
              <w:rPr>
                <w:rFonts w:hint="eastAsia" w:ascii="宋体" w:hAnsi="宋体" w:eastAsia="宋体" w:cs="宋体"/>
                <w:sz w:val="18"/>
                <w:szCs w:val="21"/>
                <w:lang w:eastAsia="zh-CN"/>
              </w:rPr>
              <w:t>，</w:t>
            </w:r>
            <w:r>
              <w:rPr>
                <w:rFonts w:hint="eastAsia" w:ascii="宋体" w:hAnsi="宋体" w:eastAsia="宋体" w:cs="宋体"/>
                <w:sz w:val="18"/>
                <w:szCs w:val="21"/>
              </w:rPr>
              <w:t>在线提供云服务</w:t>
            </w:r>
            <w:r>
              <w:rPr>
                <w:rFonts w:hint="eastAsia" w:ascii="宋体" w:hAnsi="宋体" w:eastAsia="宋体" w:cs="宋体"/>
                <w:sz w:val="18"/>
                <w:szCs w:val="21"/>
                <w:lang w:eastAsia="zh-CN"/>
              </w:rPr>
              <w:t>，</w:t>
            </w:r>
            <w:r>
              <w:rPr>
                <w:rFonts w:hint="eastAsia" w:ascii="宋体" w:hAnsi="宋体" w:eastAsia="宋体" w:cs="宋体"/>
                <w:sz w:val="18"/>
                <w:szCs w:val="21"/>
              </w:rPr>
              <w:t>软件采用B/S架构</w:t>
            </w:r>
            <w:r>
              <w:rPr>
                <w:rFonts w:hint="eastAsia" w:ascii="宋体" w:hAnsi="宋体" w:eastAsia="宋体" w:cs="宋体"/>
                <w:sz w:val="18"/>
                <w:szCs w:val="21"/>
                <w:lang w:eastAsia="zh-CN"/>
              </w:rPr>
              <w:t>，</w:t>
            </w:r>
            <w:r>
              <w:rPr>
                <w:rFonts w:hint="eastAsia" w:ascii="宋体" w:hAnsi="宋体" w:eastAsia="宋体" w:cs="宋体"/>
                <w:sz w:val="18"/>
                <w:szCs w:val="21"/>
              </w:rPr>
              <w:t>基于流行的J2EE技术栈</w:t>
            </w:r>
            <w:r>
              <w:rPr>
                <w:rFonts w:hint="eastAsia" w:ascii="宋体" w:hAnsi="宋体" w:eastAsia="宋体" w:cs="宋体"/>
                <w:sz w:val="18"/>
                <w:szCs w:val="21"/>
                <w:lang w:eastAsia="zh-CN"/>
              </w:rPr>
              <w:t>，</w:t>
            </w:r>
            <w:r>
              <w:rPr>
                <w:rFonts w:hint="eastAsia" w:ascii="宋体" w:hAnsi="宋体" w:eastAsia="宋体" w:cs="宋体"/>
                <w:sz w:val="18"/>
                <w:szCs w:val="21"/>
              </w:rPr>
              <w:t>采用JDK1.8、Mysql、Spring Boot、Spring Cloud、MyBatis Plus、Vue、ElementUI、Redis等技术</w:t>
            </w:r>
            <w:r>
              <w:rPr>
                <w:rFonts w:hint="eastAsia" w:ascii="宋体" w:hAnsi="宋体" w:eastAsia="宋体" w:cs="宋体"/>
                <w:sz w:val="18"/>
                <w:szCs w:val="21"/>
                <w:lang w:eastAsia="zh-CN"/>
              </w:rPr>
              <w:t>，</w:t>
            </w:r>
            <w:r>
              <w:rPr>
                <w:rFonts w:hint="eastAsia" w:ascii="宋体" w:hAnsi="宋体" w:eastAsia="宋体" w:cs="宋体"/>
                <w:sz w:val="18"/>
                <w:szCs w:val="21"/>
              </w:rPr>
              <w:t>应用稳定的Spring Cloud微服务框架进行构建</w:t>
            </w:r>
            <w:r>
              <w:rPr>
                <w:rFonts w:hint="eastAsia" w:ascii="宋体" w:hAnsi="宋体" w:eastAsia="宋体" w:cs="宋体"/>
                <w:sz w:val="18"/>
                <w:szCs w:val="21"/>
                <w:lang w:eastAsia="zh-CN"/>
              </w:rPr>
              <w:t>，</w:t>
            </w:r>
            <w:r>
              <w:rPr>
                <w:rFonts w:hint="eastAsia" w:ascii="宋体" w:hAnsi="宋体" w:eastAsia="宋体" w:cs="宋体"/>
                <w:sz w:val="18"/>
                <w:szCs w:val="21"/>
              </w:rPr>
              <w:t>系统支持分布式的部署方式</w:t>
            </w:r>
            <w:r>
              <w:rPr>
                <w:rFonts w:hint="eastAsia" w:ascii="宋体" w:hAnsi="宋体" w:eastAsia="宋体" w:cs="宋体"/>
                <w:sz w:val="18"/>
                <w:szCs w:val="21"/>
                <w:lang w:eastAsia="zh-CN"/>
              </w:rPr>
              <w:t>，</w:t>
            </w:r>
            <w:r>
              <w:rPr>
                <w:rFonts w:hint="eastAsia" w:ascii="宋体" w:hAnsi="宋体" w:eastAsia="宋体" w:cs="宋体"/>
                <w:sz w:val="18"/>
                <w:szCs w:val="21"/>
              </w:rPr>
              <w:t>支持服务的无缝扩展和对接</w:t>
            </w:r>
            <w:r>
              <w:rPr>
                <w:rFonts w:hint="eastAsia" w:ascii="宋体" w:hAnsi="宋体" w:eastAsia="宋体" w:cs="宋体"/>
                <w:sz w:val="18"/>
                <w:szCs w:val="21"/>
                <w:lang w:eastAsia="zh-CN"/>
              </w:rPr>
              <w:t>，</w:t>
            </w:r>
            <w:r>
              <w:rPr>
                <w:rFonts w:hint="eastAsia" w:ascii="宋体" w:hAnsi="宋体" w:eastAsia="宋体" w:cs="宋体"/>
                <w:sz w:val="18"/>
                <w:szCs w:val="21"/>
              </w:rPr>
              <w:t>单个服务功能变更不影响整体系统的正常操作；</w:t>
            </w:r>
          </w:p>
          <w:p w14:paraId="6C109682">
            <w:pPr>
              <w:bidi w:val="0"/>
              <w:rPr>
                <w:rFonts w:hint="eastAsia" w:ascii="宋体" w:hAnsi="宋体" w:eastAsia="宋体" w:cs="宋体"/>
                <w:sz w:val="18"/>
                <w:szCs w:val="21"/>
              </w:rPr>
            </w:pPr>
            <w:r>
              <w:rPr>
                <w:rFonts w:hint="eastAsia" w:ascii="宋体" w:hAnsi="宋体" w:eastAsia="宋体" w:cs="宋体"/>
                <w:sz w:val="18"/>
                <w:szCs w:val="21"/>
                <w:lang w:val="en-US" w:eastAsia="zh-CN"/>
              </w:rPr>
              <w:t>1.1 拥有自主知识产权的产品，确保客户在使用系统服务的过程中不会产生侵权的风险；</w:t>
            </w:r>
            <w:r>
              <w:rPr>
                <w:rFonts w:hint="eastAsia" w:ascii="宋体" w:hAnsi="宋体" w:eastAsia="宋体" w:cs="宋体"/>
                <w:sz w:val="18"/>
                <w:szCs w:val="21"/>
                <w:lang w:val="en-US" w:eastAsia="zh-CN"/>
              </w:rPr>
              <w:br w:type="textWrapping"/>
            </w:r>
            <w:r>
              <w:rPr>
                <w:rFonts w:hint="eastAsia" w:ascii="宋体" w:hAnsi="宋体" w:eastAsia="宋体" w:cs="宋体"/>
                <w:sz w:val="18"/>
                <w:szCs w:val="21"/>
                <w:lang w:val="en-US" w:eastAsia="zh-CN"/>
              </w:rPr>
              <w:t>1.2</w:t>
            </w:r>
            <w:r>
              <w:rPr>
                <w:rFonts w:hint="eastAsia" w:ascii="宋体" w:hAnsi="宋体" w:eastAsia="宋体" w:cs="宋体"/>
                <w:sz w:val="18"/>
                <w:szCs w:val="21"/>
              </w:rPr>
              <w:t>提供五年内的免费云服务技术支持</w:t>
            </w:r>
            <w:r>
              <w:rPr>
                <w:rFonts w:hint="eastAsia" w:ascii="宋体" w:hAnsi="宋体" w:eastAsia="宋体" w:cs="宋体"/>
                <w:sz w:val="18"/>
                <w:szCs w:val="21"/>
                <w:lang w:eastAsia="zh-CN"/>
              </w:rPr>
              <w:t>，</w:t>
            </w:r>
            <w:r>
              <w:rPr>
                <w:rFonts w:hint="eastAsia" w:ascii="宋体" w:hAnsi="宋体" w:eastAsia="宋体" w:cs="宋体"/>
                <w:sz w:val="18"/>
                <w:szCs w:val="21"/>
              </w:rPr>
              <w:t>包含云平台运维服务及云平台内容服务；包含云服务器的硬件、软件、流量带宽及使用过程中发生的任何费用以及售后运维服务；包括因相关政策法规等相关因素引起的平台内容升级服务、平台供应商主动的内容升级服务、平台使用培训等服务；</w:t>
            </w:r>
          </w:p>
          <w:p w14:paraId="2BBD7FF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sz w:val="18"/>
                <w:szCs w:val="21"/>
                <w:lang w:val="en-US" w:eastAsia="zh-CN"/>
              </w:rPr>
              <w:t>2.智慧税务实训</w:t>
            </w:r>
            <w:r>
              <w:rPr>
                <w:rFonts w:hint="eastAsia" w:ascii="宋体" w:hAnsi="宋体" w:eastAsia="宋体" w:cs="宋体"/>
                <w:i w:val="0"/>
                <w:iCs w:val="0"/>
                <w:color w:val="000000"/>
                <w:kern w:val="0"/>
                <w:sz w:val="18"/>
                <w:szCs w:val="15"/>
                <w:u w:val="none"/>
                <w:lang w:val="en-US" w:eastAsia="zh-CN" w:bidi="ar"/>
              </w:rPr>
              <w:t>平台提供了任务中心、企业电子税务局、自然人电子税务局、会计核算系统、企业信息、销项管理、进项管理、智能算税中心、智能申报管理、智能税费核算、我的成绩等模块；</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2.1 任务中心提供实训任务、要求及相关操作事项；</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2.2 电子税务局包括税费申报及缴纳、开票业务、税务数字账户等模块；税费申报仿真金税四期国家税务总局电子税务局操作界面及功能，支持增值税及附加税费、消费税及附加税费、企业所得税、财产和行为税的申报与缴纳；开票业务支持数电发票开具，包括蓝字发票填开、红字发票填开、开票信息维护等操作；税务数字账户支持发票抵扣勾选、不抵扣勾选、抵扣勾选统计等功能；</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2.3 自然人电子税务局模拟自然人电子税务局（扣缴端），包括人员信息采集、专项附加扣除信息采集、综合所得申报、税款缴纳、查询统计等功能。人员信息采集支持人员的添加、导入及报送；专项附加扣除信息采集支持信息的添加、导入、报送及下载更新；综合所得申报支持工资薪金、劳务报酬、稿酬、特许权使用费等申报；</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2.4 会计核算系统支持基础设置、业务票据建模、凭证列表、填制凭证、审核凭证等功能，可实现智能生成凭证及手动录入凭证；</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2.5 企业信息支持企业基本信息、业务影像资料、合同台账、固定资产台账、财务报表等信息的查询，是平台操作的基础；</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2.6 销项管理包含销售订单、特殊业务、无票管理、销售发票池等功能模块，其中销售订单功能模块针对一般常规业务运用内置RPA开票机器人实现发票智能填开，并将发票信息回传到销售发票池，实现销项发票的统计及可视化分析；特殊业务则要求学生进入电子税务局进行手动开票；无票管理支持添加视同销售的无票业务资料，并支持汇总对应销项税额数据，同时系统将汇总以上各功能模块的销项税额数据并自动导入至智能算税中心；</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2.7 进项管理支持进项发票签收、进项发票认证、旅客运输抵扣台账、进项税额转出、进项发票池等功能，可以对收到的进项票据进行智能查验及签收，运用内置RPA认证机器人实现发票智能勾选认证。通过台账归集旅客运输发票抵扣及进项税额转出信息，并自动将归集后的数据导入到智能算税中心。进项发票池可以查看企业的进项发票管理状态、签收状态、勾选状态等信息，实现进项发票统计及可视化分析；</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2.8 智能算税中心支持基础配置、税源采集、智能算税等功能，通过各税种基础设置、计税规则的配置，智能采集税源，智能计算税费，最后生成申报表底稿；</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2.9智能申报管理提供税费申报及申报结果查询两个子模块，申报之前需要先进行税务风险检测，检测内容包括申报表间勾稽关系及税务风险指标预警等。最后，运用内置RPA纳税申报机器人实现一键智能税费申报及缴纳；</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2.10 智能税费核算提供销项业务核算、进项业务核算、税费业务核算等子模块，可以进行智能生成凭证及手动录入凭证，通过业务票据建模功能端进行设置凭证模板（包含分录模板设置，支持设置摘要、科目及科目匹配类型、借贷方向、金额取值公式及取值匹配），实现智能生成凭证；</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2.11 我的成绩提供查看题目总分、得分、每题得分情况功能，错误的地方显示红色标识，支持做题结果的详细比对；</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3. 管理端：</w:t>
            </w:r>
          </w:p>
          <w:p w14:paraId="4C8C678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3.1 教师管理功能：提供查找、新增、修改和删除教师账号功能，并支持批量操作如批量授权等；支持管理教师账号权限，包括课程、试卷等内容权限；提供设置教师账号有效期；</w:t>
            </w:r>
          </w:p>
          <w:p w14:paraId="62A0CCF5">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3.2 行政班级功能：提供查找、新增、修改、删除行政班的功能，支持行政班单个学生账号增加，也支持批量添加学生账号和文件导入学生账号；支持设置学生账号有效期限；行政班级可授权其他教师开展教学班授课；</w:t>
            </w:r>
          </w:p>
          <w:p w14:paraId="4F9C06A0">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 教学班级功能：提供查找、新增、修改、删除和查找教学班级的功能；支持设置课程和带班老师；提供学生管理、教学管理、考试管理和统计分析功能；</w:t>
            </w:r>
          </w:p>
          <w:p w14:paraId="1CA98937">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3.3.1 学生管理功能：提供新增、查询、移除学生等功能，提供批量移除功能；</w:t>
            </w:r>
          </w:p>
          <w:p w14:paraId="715F07BD">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3.3.2 教学管理功能：提供成绩总览、章节明细、进度控制、签到管理等功能；提供搜索查询学生、导出学生成绩功能，支持详细查看学生各个章节完成情况、学习进度和分数，支持详细查看和导出学生学习报告；支持锁定、隐藏章节节点，支持隐藏题目答案和答题结果，也支持隐藏题目答案但显示答题结果；提供发布签到活动，支持设置签到开始时间和结束时间，可跟踪学生签到状态及具体签到时间，支持修改学生签到状态（如正常、缺勤、迟到、早退、事假、病假等状态）；</w:t>
            </w:r>
          </w:p>
          <w:p w14:paraId="51F4D60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3.3.3 考试管理功能：支持发布考试，可设置考试名称、试卷选择、考试时间、成绩查看权限（无法查看、交卷后可看、结束后可看）、学生范围（全部学生、指定学生）、发布状态和考试描述；支持直接查看学生成绩（交卷状态、总分）、导出成绩、生成和下载班级考试总报告，支持查看和导出学生单人报告，可重置交卷；</w:t>
            </w:r>
          </w:p>
          <w:p w14:paraId="27976284">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3.3.4 成绩报告：支持生成班级所有学生的某个课程章节模块或某次考试的成绩报告，支持查看下载进度，支持下载报告文档可为Word或PDF格式，支持单独查看每位学生的成绩报告及单独下载某位学生的成绩报告；（需提供盖有CMA（中国计量认证）标志的软件测试报告复印件予以佐证，测试报告须完整体现本条参数内容）</w:t>
            </w:r>
          </w:p>
          <w:p w14:paraId="4AB7C5EF">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3.3.5 统计分析：支持查看学生课程模块得分率统计图，支持多级查看如按章-节-题，支持以不同的颜色显示不同的得分率区间，支持选择图例以单独显示某些指标信息；（需提供盖有CMA（中国计量认证）标志的软件测试报告复印件予以佐证，测试报告须完整体现本条参数内容）</w:t>
            </w:r>
          </w:p>
          <w:p w14:paraId="7E80CF2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3.3.6在线时长：支持查看学生的在线学习时间统计，包含登录时间点、在线总时长、今日在线时长和在线状态等信息，并支持通过图表展示在线时长统计情况，图表应包括学生的在线总时长、今日在线时长等数据信息，并支持按不同维度排序呈现，支持选择图例以单独显示某项数据信息，支持下载图表；（需提供盖有CMA（中国计量认证）标志的软件测试报告复印件予以佐证，测试报告须完整体现本条参数内容）</w:t>
            </w:r>
          </w:p>
          <w:p w14:paraId="366EFFB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3.4 公告管理功能：提供新增、修改和删除公告的功能，可指定公告的启用时间、截止时间、启用状态；公告内容支持普通本文模式和MarkDown模式；</w:t>
            </w:r>
          </w:p>
          <w:p w14:paraId="25EB2206">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3.5 日志记录功能：提供查看用户登录时间、退出时间等功能日志，可详细跟踪用户使用平台状态；</w:t>
            </w:r>
          </w:p>
          <w:p w14:paraId="6E7008F0">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3.6 课程管理：提供新增、查看、搜索课程功能，新增课程支持设置课程名称、课程描述、上传LOGO等；</w:t>
            </w:r>
          </w:p>
          <w:p w14:paraId="2F45BEDB">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3.7 试卷管理功能：提供新增、查看、搜索试卷功能，新增试卷包括设置试卷名称、备注等信息；试卷题目支持自主设计添加、支持复制已有题目并可修改、支持随机抽题等方式，查看试卷内题目类型、题数和总分情况，可预览和查看题目；</w:t>
            </w:r>
          </w:p>
          <w:p w14:paraId="7235C84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3.8 资源管理功能：提供新建资源库文件夹，整理资源数据功能，支持删除、移动、分享、上传、重命名等功能；</w:t>
            </w:r>
          </w:p>
          <w:p w14:paraId="03BD5E08">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3.9 统计分析：支持统计课程、微课、PPT、PDF、试卷、教师、学生、行政班、教学班等各项数据情况；支持以图表的方式展示课程资源汇总、教师开课情况、课程学习人数汇总、在线人数统计等数据；</w:t>
            </w:r>
          </w:p>
          <w:p w14:paraId="4A00C67D">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3.10 个人信息管理：提供账号姓名、头像和密码等修改功能；</w:t>
            </w:r>
          </w:p>
          <w:p w14:paraId="31995DE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3.11 帮助工具：提供帮助手册、帮助咨询功能，帮助咨询支持调用通讯工具如QQ跳转会话框进行咨询；</w:t>
            </w:r>
          </w:p>
          <w:p w14:paraId="6AD5C76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 学生端功能：</w:t>
            </w:r>
          </w:p>
          <w:p w14:paraId="7FE70587">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4.1个人信息管理功能：提供账号姓名、密码等修改功能；</w:t>
            </w:r>
          </w:p>
          <w:p w14:paraId="2450AC10">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4.2 学习统计功能：需提供学生在课程下的完成情况统计图，如可展示每个项目的总分、合格分和得分等信息，并支持交互操作，支持选择图例单独展示某项指标情况；还需提供包含每个项目的总分、得分和正确率等数据的的统计列表；</w:t>
            </w:r>
          </w:p>
          <w:p w14:paraId="5832466A">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4.3 章节进度功能：平台章节列表需提供学习进度条，进度条需具有百分比数值以及不同的颜色来展示学习进度；</w:t>
            </w:r>
          </w:p>
          <w:p w14:paraId="12E93A7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4.4 收藏题目功能：支持收藏题目，可在收藏列表中查看所有收藏的题目，方便针对性的学习；</w:t>
            </w:r>
          </w:p>
          <w:p w14:paraId="3DAAFB7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4.5 工具箱功能：提供如计算器等工具；</w:t>
            </w:r>
          </w:p>
          <w:p w14:paraId="5F47B29D">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4.6 嵌入式网页PPT功能：提供画笔标注功能，包括画笔、荧光笔、橡皮擦；提供上下翻页、单页单独打开功能；提供PPT导航、模糊搜索内容功能；提供场景对话交互功能；内置客观题，包括单选、多选、判断等题型，支持将PPT切换成PDF模式阅览；（需提供完整的功能操作截图予以佐证）</w:t>
            </w:r>
          </w:p>
          <w:p w14:paraId="1BEFC2ED">
            <w:pPr>
              <w:rPr>
                <w:rFonts w:hint="default"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4.7 答题（试卷）报告功能：系统可按章节课后练习、试卷答题情况，自动生成对应独立答题报告与试卷报告，展示整体正确率、各题型正确率统计图表，以及各题型做题情况统计表如包含总数、正确数等数据；支持查看学生答题详情、正确答案与题目解析等，支持导出报告文档可为WORD或PDF格式。</w:t>
            </w:r>
          </w:p>
          <w:p w14:paraId="60627A1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4.8 签到系统：内嵌签到模块，支持在指定时间内进行签到，支持查看统计签到记录情况图表；</w:t>
            </w:r>
          </w:p>
          <w:p w14:paraId="6AA37064">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4.9 排行榜：内嵌排行榜模块，支持查看同班同学的总分得分情况图表；</w:t>
            </w:r>
          </w:p>
          <w:p w14:paraId="2725E86A">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5.系统配套提供财会教学随身终端载体，要求支持在无网络状态使用，内置以下功能模块：（本条整体为1条，需提供完整的功能操作截图予以佐证）</w:t>
            </w:r>
          </w:p>
          <w:p w14:paraId="325CEAE4">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5.1互动小游戏功能模块，满足以下要求：要求游戏总数量不少于50个；具有支持拖拉拽操作、具有闯关模式；游戏内容与财会知识点相关，需随机抽取至少5个不同的游戏展示，游戏内容举例：企业经营沙盘游戏：模拟一家企业一年的经营，并且包含资产负债表的动态展示；支持创建游戏房间，可设置房间名称、游戏时间及重复次数限制等，支持勾选游戏内容，支持竞赛比拼并提供排行榜，支持学生可通过手机扫描系统中游戏二维码，实现在手机上进行操作游戏；</w:t>
            </w:r>
          </w:p>
          <w:p w14:paraId="7903A1A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5.2微课制作功能模块，要求具有以下功能：可直接导入PPT并保留PPT所有动画效果，制作过程可自动录音，微课制作时支持电脑自带摄像头以及外接摄像头两个摄像头切换录制；录制过程中支持板书操作，视频可选择添加背景音乐，背景音乐提供多种选择；</w:t>
            </w:r>
          </w:p>
          <w:p w14:paraId="65E23115">
            <w:pPr>
              <w:numPr>
                <w:ilvl w:val="0"/>
                <w:numId w:val="2"/>
              </w:num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平台配套提供云课堂手机APP：支持教师端自定义课堂签到手势，学生端按规定手势进行签到；支持教师端发布投票活动，支持教师编辑投票的标题、投票的内容；内置实务题支持签章划线，通过手势滑动确定位置完成签章画线操作，具有业务流程，支持提交下一步、退回上一步操作，支持智能答案判断，错误之处使用深色背景标识；</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7. 平台配套提供会计信息化账务处理手机APP：登录后可自定义创建账套，若已有账套，则直接进入角色登录界面；提供四个岗位角色登录，支持网络版管理员针对实际情况分配角色登录权限；包含凭证列表、审核凭证、记账、期末结账、结转损益、财务报表、查询/修改、明细账、总账、科目余额表等十个子功能模块；（需提供完整的功能操作截图予以佐证）</w:t>
            </w:r>
          </w:p>
          <w:p w14:paraId="5CFEA181">
            <w:pPr>
              <w:numPr>
                <w:ilvl w:val="0"/>
                <w:numId w:val="0"/>
              </w:num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8.平台配套提供电子游戏沙盘：以Unity引擎为核心，采用趣味小游戏的方式模拟财务共享推演，沙盘包含FSSC战略定位、建设模式设计、选址城市评估、职能调整、组织结构、人员测算、流程优化前提、流程职责切分、流程优化设计共9个关卡；游戏沙盘包含前情提要、集团背景、关卡任务资料、工具箱、自动判分、正确答案查看等功能，采用拖拽小旗、拖拽卡片、动态箭头指示等游戏互动操作方式完成沙盘推演；（需提供完整的功能操作截图予以佐证）</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（二）内容参数</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1. 主要内容：要求涵盖智慧化税务基础认知、增值税及附加税费、消费税及附加税费、企业所得税、个人所得税、土地增值税、房产税及土地使用税、印花税、其他税费、税收征收管理等不少于十个项目及不少于30个任务内容，如增值税及附加税费项目：需包含增值税及附加税费基础认知、增值税发票管理、增值税销项税额管理、增值税进项税额管理、增值税及附加税费计算与申报、增值税出口退税等不少于6个任务；</w:t>
            </w:r>
          </w:p>
          <w:p w14:paraId="4BBAD0A3">
            <w:pPr>
              <w:numPr>
                <w:ilvl w:val="0"/>
                <w:numId w:val="0"/>
              </w:num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综合案例演练：要求针对增值税及附加税费、消费税及附加税费、企业所得税等税种学习项目，每个项目需至少配备1个税费核算与智能申报案例演练，如增值税及附加税费案例：以一家一般纳税人制造业企业为背景，模拟企业增值税及附加税费智慧化申报与管理全过程，业务内容需包括：（1）了解企业信息：包括企业基本信息和业务影像资料；（2）销项管理：进行一般业务智能开票、特殊业务手动开票、销售发票统计分析及可视化呈现；（3）进项管理：自动采集进项发票，并进行风险检测和发票签收，对签收后的进项发票进行勾选认证抵扣，汇总进项税额转出，最后进行进项发票统计分析及可视化呈现；（4）智能算税中心：智能算税并生成申报表底稿；（5）智能税费核算：设置凭证模板、智能生成凭证、特殊业务手动填制凭证；（6）智能申报管理：对检测无误的申报表数据进行智能申报等内容；</w:t>
            </w:r>
          </w:p>
          <w:p w14:paraId="4DCAC57A">
            <w:pPr>
              <w:numPr>
                <w:ilvl w:val="0"/>
                <w:numId w:val="2"/>
              </w:num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综合实训：需至少提供不少于3套企业全税种税费申报与管理案例：案例需以企业采购-生产-销售全业务链条为核心脉络，深度融合发票管理（发票认证/发票开具）、多税种核算、全流程申报，构建“票-税-账-报”一体化实训闭环，并同步构建 “指标对比-风险识别-风险应对” 税务风险防控体系，配套税务优化方案和税务合规计划，最终实现“实操赋能+风险闭环+合规增效”三维税务管理目标，助力学生筑牢化工行业税务实操根基、提升风险防控能力、培育合规经营素养，提供专业化实训支撑；</w:t>
            </w:r>
          </w:p>
          <w:p w14:paraId="3DF678C1">
            <w:pPr>
              <w:numPr>
                <w:ilvl w:val="0"/>
                <w:numId w:val="0"/>
              </w:numPr>
              <w:ind w:leftChars="0"/>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 教学资源：PPT（不少于30个）；微课（不少于30个）；客观题（不少于700道）；案例题（不少于80道）；操作手册PDF文档（不少于15个）。</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（三）AIGC智教平台模块</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1.AIGC智教在线云平台，提供在线云服务，平台涵盖智能问答、课程设计、教学大纲、教案设计、智能出题、PPT 生成、财务分析七大核心模块。</w:t>
            </w:r>
          </w:p>
          <w:p w14:paraId="69DA512A">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1.1智能问答模块：包含会计助手、平台助手、出题助手、Python智能助手等功能，还支持自由提问交互。</w:t>
            </w:r>
          </w:p>
          <w:p w14:paraId="1E5E2C3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1.2课程设计模块：支持输入课程名称、专业年级、课程定位及其他构思详情等关键信息，在 AI 课程设计生成区输出一套完整的课程设计方案。</w:t>
            </w:r>
          </w:p>
          <w:p w14:paraId="4D658AE4">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1.3教学大纲模块：完成前置设计、教学内容以及考核设计三大关键步骤，快速生成逻辑严谨、内容详实的教学大纲。</w:t>
            </w:r>
          </w:p>
          <w:p w14:paraId="216E017C">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1.4教案设计模块:完成前置设计环节、教学过程环节两步骤关键信息设计，快速生成步骤详实、互动性强的教案。</w:t>
            </w:r>
          </w:p>
          <w:p w14:paraId="50E40DB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1.5智能出题模块:完成设置出题方式、题目数量、知识点及难易程度等参数，自动高效生成知识点覆盖率高、重复率低的优质题目。</w:t>
            </w:r>
          </w:p>
          <w:p w14:paraId="4797B775">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1.6 PPT生成模块：支持输入的 PPT 生成要求，迅速转化为结构清晰的大纲，提供丰富多样的主题样式供选择，一键生成图文并茂、排版美观的 PPT。</w:t>
            </w:r>
          </w:p>
          <w:p w14:paraId="486C775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1.7 财务分析模块：支持选定所属行业、企业名称、起止年份及分析维度等关键参数。一键生成财务分析报告，报告涵盖核心指标计算、趋势分析与同行业对比。</w:t>
            </w:r>
          </w:p>
          <w:p w14:paraId="5ACE1889">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2.课程思政资源库，划分为思政案例库、思政专题库和思政元素库等模块。</w:t>
            </w:r>
          </w:p>
          <w:p w14:paraId="5D798DF6">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2.1 思政案例库内容丰富，涵盖爱岗敬业、诚实守信、廉洁自律、法治精神等不少于10个核心主题，收录超过100个生动案例，旨在通过具体事例引导师生树立正确的价值观念。</w:t>
            </w:r>
          </w:p>
          <w:p w14:paraId="082E6E03">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2.2 思政专题库包含“向总书记学习”、“红色历史”、“时代楷模”、“科技强国”等不少于50个专题案例，深入挖掘时代主题，传承红色基因。</w:t>
            </w:r>
          </w:p>
          <w:p w14:paraId="681B1A3C">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2.3 思政元素库涵盖马克思主义基本观点与方法、社会主义核心价值观、乡村振兴等不少于250个元素案例，为教育教学提供了丰富的思政素材，助力全面提升师生的思想政治素养。</w:t>
            </w:r>
          </w:p>
          <w:p w14:paraId="62436FD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（四）线上共享记账平台（配套50个为期12个月在线共享记账平台账号）</w:t>
            </w:r>
            <w:r>
              <w:rPr>
                <w:rFonts w:hint="eastAsia" w:ascii="宋体" w:hAnsi="宋体" w:eastAsia="宋体" w:cs="宋体"/>
                <w:i w:val="0"/>
                <w:iCs w:val="0"/>
                <w:color w:val="000000"/>
                <w:kern w:val="0"/>
                <w:sz w:val="18"/>
                <w:szCs w:val="15"/>
                <w:u w:val="none"/>
                <w:lang w:val="en-US" w:eastAsia="zh-CN" w:bidi="ar"/>
              </w:rPr>
              <w:br w:type="textWrapping"/>
            </w:r>
            <w:r>
              <w:rPr>
                <w:rFonts w:hint="eastAsia" w:ascii="宋体" w:hAnsi="宋体" w:eastAsia="宋体" w:cs="宋体"/>
                <w:i w:val="0"/>
                <w:iCs w:val="0"/>
                <w:color w:val="000000"/>
                <w:kern w:val="0"/>
                <w:sz w:val="18"/>
                <w:szCs w:val="15"/>
                <w:u w:val="none"/>
                <w:lang w:val="en-US" w:eastAsia="zh-CN" w:bidi="ar"/>
              </w:rPr>
              <w:t>1.智能日记账：具备智能记账功能，录入一段文字就可智能分析出交易日期、交易金额、收支科目、对方单位、部门、经办人，并且根据部门分析收支科目为销售费用、管理费用等；（需提供完整的功能操作截图予以佐证）</w:t>
            </w:r>
          </w:p>
          <w:p w14:paraId="3F1C4FC0">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2.账面总览：展示总金额以及银行账户的余额并按照月份进行图表的呈现。根据需要进行本月收入小计、本月支出小计、本月收支差、本月应收余额、本月应付余额、全部应收余额、全部应付余额以及本月支出TOP5等项目的统计分析；（需提供盖有CMA（中国计量认证）标志的软件测试报告复印件予以佐证，测试报告须完整体现本条参数内容）</w:t>
            </w:r>
          </w:p>
          <w:p w14:paraId="751B9D1C">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3.应收应付：支持收款核销或付款核销，核销过程中允许抹零扣费，即抹掉零头、扣除手续费、其他扣费，支持两种核销方式，直接录入核销金额或者从已有的收</w:t>
            </w:r>
          </w:p>
          <w:p w14:paraId="18997160">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支账目中选取进行核销；</w:t>
            </w:r>
          </w:p>
          <w:p w14:paraId="7DAED205">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4.原材料、产成品、礼品管理：对企业的原材料、产成品、礼品进行入库、领用、库存等方面的管理，以及查看领用流水、原材料、产成品、礼品报表等功能，帮助掌握公司的原材料、产成品及礼品的实际情况；（需提供盖有CMA（中国计量认证）标志的软件测试报告复印件予以佐证，测试报告须完整体现本条参数内容）</w:t>
            </w:r>
          </w:p>
          <w:p w14:paraId="2150ABC7">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5.支持打印送货单，送货单可根据需要设置是否显示单价、金额，送货单上打印二维码，通过微信扫一扫查看电子送货单；（需提供完整的功能操作截图予以佐证）</w:t>
            </w:r>
          </w:p>
          <w:p w14:paraId="7A57CA08">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6.物品统计报表：按月份统计并列表显示出每一种物品的月初余额、本月入库、本月出库、月末库存余额；支持用曲线图表显示出某一种物品在多个月内入库、出库的曲线；（需提供盖有CMA（中国计量认证）标志的软件测试报告复印件予以佐证，测试报告须完整体现本条参数内容）</w:t>
            </w:r>
          </w:p>
          <w:p w14:paraId="1FB665DC">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7.费用报销：填写报销单时支持选择本地图片、QQ截图并直接粘贴在界面上、手机微信扫码无缝上传三种方式附上原始票据附，最多可附15张原始票据；（需提供完整的功能操作截图予以佐证）</w:t>
            </w:r>
          </w:p>
          <w:p w14:paraId="15DF1312">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8.项目（合同）管理：支持新增并管理项目合同内容，包括项目开始结束日期，项目类别、项目金额等，自动关联日记账数据或应收应付模块数据，自动计算出已付金额、应付余额或已收金额、应收余额；（需提供完整的功能操作截图予以佐证）</w:t>
            </w:r>
          </w:p>
          <w:p w14:paraId="290443C7">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9.项目（合同）利润计算方式，可设置为按已收金额减去已付金额、应收金额减去应付金额、应收金额-已付金额、已收金额-应付金额或者应收金额-应付金额-日记账支出金额等不少五种方式；（需提供完整的功能操作截图予以佐证）</w:t>
            </w:r>
          </w:p>
          <w:p w14:paraId="17EEAF16">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10.工资管理：支持添加、查询工资表。以工资模版的形式对工资表进行工资项目的调整。按年或者部门等方式进行工资的统计分析。工资表可以逐月进行调整、复核以及工资条发放以及工资条的导出备份，同时发放工资条时还可以以短信的方式进行通知；（需提供盖有CMA（中国计量认证）标志的软件测试报告复印件予以佐证，测试报告须完整体现本条参数内容）</w:t>
            </w:r>
          </w:p>
          <w:p w14:paraId="55341727">
            <w:pPr>
              <w:rPr>
                <w:rFonts w:hint="eastAsia" w:ascii="宋体" w:hAnsi="宋体" w:eastAsia="宋体" w:cs="宋体"/>
                <w:i w:val="0"/>
                <w:iCs w:val="0"/>
                <w:color w:val="000000"/>
                <w:kern w:val="0"/>
                <w:sz w:val="18"/>
                <w:szCs w:val="15"/>
                <w:u w:val="none"/>
                <w:lang w:val="en-US" w:eastAsia="zh-CN" w:bidi="ar"/>
              </w:rPr>
            </w:pPr>
            <w:r>
              <w:rPr>
                <w:rFonts w:hint="eastAsia" w:ascii="宋体" w:hAnsi="宋体" w:eastAsia="宋体" w:cs="宋体"/>
                <w:i w:val="0"/>
                <w:iCs w:val="0"/>
                <w:color w:val="000000"/>
                <w:kern w:val="0"/>
                <w:sz w:val="18"/>
                <w:szCs w:val="15"/>
                <w:u w:val="none"/>
                <w:lang w:val="en-US" w:eastAsia="zh-CN" w:bidi="ar"/>
              </w:rPr>
              <w:t>11.客户管理：支持客户的添加、收回、分配以及查询功能，并且支持excel的形式进行客户的导入与导出功能；</w:t>
            </w:r>
          </w:p>
          <w:p w14:paraId="2CE8256F">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5"/>
                <w:u w:val="none"/>
                <w:lang w:val="en-US" w:eastAsia="zh-CN" w:bidi="ar"/>
              </w:rPr>
              <w:t>12.工作周记：按照工作计划以及工作日记的形式进行记录，同时可以提供附加图片功能。管理员可以对每个用户进行权限管辖，以控制该用户查看周记的范围；（需提供完整的功能操作截图予以佐证）</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C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p w14:paraId="40B0F7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4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2B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w:t>
            </w:r>
          </w:p>
        </w:tc>
      </w:tr>
    </w:tbl>
    <w:p w14:paraId="191584ED">
      <w:pPr>
        <w:bidi w:val="0"/>
        <w:spacing w:line="240" w:lineRule="auto"/>
        <w:ind w:firstLine="480" w:firstLineChars="200"/>
        <w:rPr>
          <w:rFonts w:hint="eastAsia" w:ascii="宋体" w:hAnsi="宋体" w:eastAsia="宋体" w:cs="宋体"/>
          <w:b w:val="0"/>
          <w:bCs w:val="0"/>
          <w:highlight w:val="none"/>
          <w:lang w:val="en-US" w:eastAsia="zh-CN"/>
        </w:rPr>
      </w:pPr>
      <w:r>
        <w:rPr>
          <w:rFonts w:hint="eastAsia" w:ascii="仿宋" w:hAnsi="仿宋" w:eastAsia="仿宋"/>
          <w:bCs/>
          <w:color w:val="0000FF"/>
          <w:sz w:val="24"/>
          <w:szCs w:val="24"/>
        </w:rPr>
        <w:t>备注：本次采购仅限于采购需求所列品牌型号。</w:t>
      </w:r>
    </w:p>
    <w:p w14:paraId="31BCC63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b/>
          <w:bCs/>
          <w:kern w:val="0"/>
          <w:sz w:val="28"/>
          <w:szCs w:val="28"/>
          <w:lang w:val="en-US" w:eastAsia="zh-CN"/>
        </w:rPr>
      </w:pPr>
      <w:r>
        <w:rPr>
          <w:rFonts w:hint="default" w:ascii="黑体" w:hAnsi="黑体" w:eastAsia="黑体" w:cs="黑体"/>
          <w:b/>
          <w:bCs/>
          <w:kern w:val="0"/>
          <w:sz w:val="28"/>
          <w:szCs w:val="28"/>
          <w:lang w:val="en-US" w:eastAsia="zh-CN"/>
        </w:rPr>
        <w:t>商务与交付需求</w:t>
      </w:r>
    </w:p>
    <w:p w14:paraId="43ABA293">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中标人应在中标之日起7个工作日内提供核心产品（即“采购清单”内“货物名称”一栏的货物）的软件开发商或代理商开具给中标人的供货确认函（若为软件开发商投标则无需提供），经采购人查验后方可签订合同。</w:t>
      </w:r>
    </w:p>
    <w:p w14:paraId="3B6D12AC">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交货/部署</w:t>
      </w:r>
      <w:r>
        <w:rPr>
          <w:rFonts w:hint="eastAsia" w:ascii="仿宋" w:hAnsi="仿宋" w:eastAsia="仿宋" w:cs="仿宋"/>
          <w:b w:val="0"/>
          <w:bCs w:val="0"/>
          <w:sz w:val="24"/>
          <w:szCs w:val="24"/>
          <w:lang w:val="en-US" w:eastAsia="zh-CN"/>
        </w:rPr>
        <w:t>时间：合同签订后15个工作日内完成平台部署、调试、上线交付。</w:t>
      </w:r>
    </w:p>
    <w:p w14:paraId="2DFFAC0B">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3.验收时间：安装调试完毕交付采购人试用7个工作日（若遇寒暑假顺延）后,若货物运行正常，可提出验收申请。</w:t>
      </w:r>
    </w:p>
    <w:p w14:paraId="41945474">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4.验收标准：①中标人保证</w:t>
      </w:r>
      <w:bookmarkStart w:id="1" w:name="_GoBack"/>
      <w:bookmarkEnd w:id="1"/>
      <w:r>
        <w:rPr>
          <w:rFonts w:hint="eastAsia" w:ascii="仿宋" w:hAnsi="仿宋" w:eastAsia="仿宋" w:cs="仿宋"/>
          <w:b w:val="0"/>
          <w:bCs w:val="0"/>
          <w:sz w:val="24"/>
          <w:szCs w:val="24"/>
          <w:lang w:val="en-US" w:eastAsia="zh-CN"/>
        </w:rPr>
        <w:t>所提供的货物为全新（原装）的合格产品，软件为最新正版软件。</w:t>
      </w:r>
      <w:bookmarkStart w:id="0" w:name="_Hlk131491552"/>
      <w:r>
        <w:rPr>
          <w:rFonts w:hint="eastAsia" w:ascii="仿宋" w:hAnsi="仿宋" w:eastAsia="仿宋" w:cs="仿宋"/>
          <w:b w:val="0"/>
          <w:bCs w:val="0"/>
          <w:sz w:val="24"/>
          <w:szCs w:val="24"/>
          <w:lang w:val="en-US" w:eastAsia="zh-CN"/>
        </w:rPr>
        <w:t>②采购人与中标人按照采购文件、合同和有关附件的规定以及采购人验收管理办法对货物进行验收。</w:t>
      </w:r>
      <w:bookmarkEnd w:id="0"/>
      <w:r>
        <w:rPr>
          <w:rFonts w:hint="eastAsia" w:ascii="仿宋" w:hAnsi="仿宋" w:eastAsia="仿宋" w:cs="仿宋"/>
          <w:b w:val="0"/>
          <w:bCs w:val="0"/>
          <w:sz w:val="24"/>
          <w:szCs w:val="24"/>
          <w:lang w:val="en-US" w:eastAsia="zh-CN"/>
        </w:rPr>
        <w:t>中标人所提供的货物的技术参数、功能或技术要求必须是真实可靠的，如果采购人验收时发现货物达不到竞价文件规定的要求，则采购人有权单方面终止合同。</w:t>
      </w:r>
    </w:p>
    <w:p w14:paraId="223D0132">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培训服务：中标人须提供≥2次上门教师集中培训，由采购人确定接受培训人员和人数，分批分期进行，在验收前组织至少1次培训。提供操作手册、使用视频、全套教学资源包；额外提供课程建设专项支持，协助我校完成实训课程、实训教案、课程资源库建设。</w:t>
      </w:r>
    </w:p>
    <w:p w14:paraId="4C2F0CD4">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6.付款方式和期限：项目最终验收合格后15天内，采购人一次性支付全款（中标人在收取款项前，须提交相应款项的有效发票）。</w:t>
      </w:r>
    </w:p>
    <w:p w14:paraId="1F52BC6C">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质保与售后：提供5年免费质保、免费政策更新、免费版本升级；工作日1小时内响应，4小时内远程解决，重大问题24小时内上门；平台支持≥200个人在线同时使用，同时保障日常上课、集中考核、技能大赛高峰期使用需求；额外为我校会计类职业技能大赛提供专项技术支持，包含赛前系统调试、赛事题库更新、模拟赛环境搭建、实操指导等配套服务。</w:t>
      </w:r>
    </w:p>
    <w:p w14:paraId="0097CF71">
      <w:pPr>
        <w:pStyle w:val="14"/>
        <w:keepNext w:val="0"/>
        <w:keepLines w:val="0"/>
        <w:pageBreakBefore w:val="0"/>
        <w:widowControl/>
        <w:pBdr>
          <w:top w:val="single" w:color="auto" w:sz="4" w:space="0"/>
          <w:left w:val="single" w:color="auto" w:sz="4" w:space="0"/>
          <w:bottom w:val="single" w:color="auto" w:sz="4" w:space="0"/>
          <w:right w:val="single" w:color="auto" w:sz="4" w:space="0"/>
        </w:pBdr>
        <w:kinsoku/>
        <w:wordWrap/>
        <w:overflowPunct/>
        <w:topLinePunct w:val="0"/>
        <w:autoSpaceDE/>
        <w:autoSpaceDN/>
        <w:bidi w:val="0"/>
        <w:adjustRightInd/>
        <w:snapToGrid/>
        <w:spacing w:before="0" w:after="0" w:line="440" w:lineRule="exact"/>
        <w:ind w:left="0" w:firstLine="480" w:firstLineChars="200"/>
        <w:textAlignment w:val="auto"/>
        <w:rPr>
          <w:rFonts w:hint="default" w:ascii="仿宋" w:hAnsi="仿宋" w:eastAsia="仿宋" w:cs="仿宋"/>
          <w:b/>
          <w:bCs/>
          <w:sz w:val="28"/>
          <w:szCs w:val="28"/>
          <w:highlight w:val="green"/>
          <w:lang w:val="en-US" w:eastAsia="zh-CN"/>
        </w:rPr>
      </w:pPr>
      <w:r>
        <w:rPr>
          <w:rFonts w:hint="eastAsia" w:ascii="仿宋" w:hAnsi="仿宋" w:eastAsia="仿宋" w:cs="仿宋"/>
          <w:b w:val="0"/>
          <w:bCs w:val="0"/>
          <w:sz w:val="24"/>
          <w:szCs w:val="24"/>
          <w:lang w:val="en-US" w:eastAsia="zh-CN"/>
        </w:rPr>
        <w:t>8.报价要求：本次采购整体包含云服务器硬件、软件、流量带宽及5年运维服务，无任何额外云服务收费，云平台所有费用全部打包进16.8万元采购预算内，赛事技术支持、课程资源建设等所有费用。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131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1857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71857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DF19A"/>
    <w:multiLevelType w:val="singleLevel"/>
    <w:tmpl w:val="AA5DF19A"/>
    <w:lvl w:ilvl="0" w:tentative="0">
      <w:start w:val="6"/>
      <w:numFmt w:val="decimal"/>
      <w:suff w:val="space"/>
      <w:lvlText w:val="%1."/>
      <w:lvlJc w:val="left"/>
    </w:lvl>
  </w:abstractNum>
  <w:abstractNum w:abstractNumId="1">
    <w:nsid w:val="00000005"/>
    <w:multiLevelType w:val="multilevel"/>
    <w:tmpl w:val="00000005"/>
    <w:lvl w:ilvl="0" w:tentative="0">
      <w:start w:val="1"/>
      <w:numFmt w:val="decimal"/>
      <w:lvlText w:val="第 %1 章 "/>
      <w:lvlJc w:val="left"/>
      <w:pPr>
        <w:tabs>
          <w:tab w:val="left" w:pos="1800"/>
        </w:tabs>
        <w:ind w:left="425" w:hanging="425"/>
      </w:pPr>
      <w:rPr>
        <w:rFonts w:hint="eastAsia"/>
      </w:rPr>
    </w:lvl>
    <w:lvl w:ilvl="1" w:tentative="0">
      <w:start w:val="1"/>
      <w:numFmt w:val="decimal"/>
      <w:isLgl/>
      <w:lvlText w:val="%1.%2"/>
      <w:lvlJc w:val="left"/>
      <w:pPr>
        <w:tabs>
          <w:tab w:val="left" w:pos="720"/>
        </w:tabs>
        <w:ind w:left="567" w:hanging="567"/>
      </w:pPr>
      <w:rPr>
        <w:rFonts w:hint="eastAsia"/>
      </w:rPr>
    </w:lvl>
    <w:lvl w:ilvl="2" w:tentative="0">
      <w:start w:val="1"/>
      <w:numFmt w:val="decimal"/>
      <w:isLgl/>
      <w:lvlText w:val="%1.%2.%3"/>
      <w:lvlJc w:val="left"/>
      <w:pPr>
        <w:tabs>
          <w:tab w:val="left" w:pos="1080"/>
        </w:tabs>
        <w:ind w:left="709" w:hanging="709"/>
      </w:pPr>
      <w:rPr>
        <w:rFonts w:hint="eastAsia"/>
      </w:rPr>
    </w:lvl>
    <w:lvl w:ilvl="3" w:tentative="0">
      <w:start w:val="1"/>
      <w:numFmt w:val="decimal"/>
      <w:pStyle w:val="6"/>
      <w:isLgl/>
      <w:lvlText w:val="%1.%2.%3.%4"/>
      <w:lvlJc w:val="left"/>
      <w:pPr>
        <w:tabs>
          <w:tab w:val="left" w:pos="1440"/>
        </w:tabs>
        <w:ind w:left="851" w:hanging="851"/>
      </w:pPr>
      <w:rPr>
        <w:rFonts w:hint="eastAsia"/>
      </w:rPr>
    </w:lvl>
    <w:lvl w:ilvl="4" w:tentative="0">
      <w:start w:val="1"/>
      <w:numFmt w:val="decimal"/>
      <w:isLgl/>
      <w:lvlText w:val="%1.%2.%3.%4.%5"/>
      <w:lvlJc w:val="left"/>
      <w:pPr>
        <w:tabs>
          <w:tab w:val="left" w:pos="1800"/>
        </w:tabs>
        <w:ind w:left="992" w:hanging="992"/>
      </w:pPr>
      <w:rPr>
        <w:rFonts w:hint="eastAsia"/>
      </w:rPr>
    </w:lvl>
    <w:lvl w:ilvl="5" w:tentative="0">
      <w:start w:val="1"/>
      <w:numFmt w:val="decimal"/>
      <w:lvlText w:val="%1.%2.%3.%4.%5.%6"/>
      <w:lvlJc w:val="left"/>
      <w:pPr>
        <w:tabs>
          <w:tab w:val="left" w:pos="1440"/>
        </w:tabs>
        <w:ind w:left="992" w:hanging="992"/>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iODBlNzkzNWQ4NWNiMjExYmZmMGU4Y2NmNmE1MTEifQ=="/>
  </w:docVars>
  <w:rsids>
    <w:rsidRoot w:val="3CB5670B"/>
    <w:rsid w:val="000509A5"/>
    <w:rsid w:val="00065FC9"/>
    <w:rsid w:val="00082622"/>
    <w:rsid w:val="00110889"/>
    <w:rsid w:val="001C4CF4"/>
    <w:rsid w:val="00373E3A"/>
    <w:rsid w:val="004A22AE"/>
    <w:rsid w:val="004F08C2"/>
    <w:rsid w:val="00557E22"/>
    <w:rsid w:val="006215E6"/>
    <w:rsid w:val="006C7EBD"/>
    <w:rsid w:val="008C65C4"/>
    <w:rsid w:val="00926347"/>
    <w:rsid w:val="00937B43"/>
    <w:rsid w:val="009D12E4"/>
    <w:rsid w:val="00A037F1"/>
    <w:rsid w:val="00AF2242"/>
    <w:rsid w:val="00B204C8"/>
    <w:rsid w:val="00C050FC"/>
    <w:rsid w:val="00C07EA9"/>
    <w:rsid w:val="00E02CE0"/>
    <w:rsid w:val="00E8019F"/>
    <w:rsid w:val="00EA1420"/>
    <w:rsid w:val="00F13893"/>
    <w:rsid w:val="00F85EC0"/>
    <w:rsid w:val="01FB428E"/>
    <w:rsid w:val="022D16AD"/>
    <w:rsid w:val="02A96A32"/>
    <w:rsid w:val="03061AD8"/>
    <w:rsid w:val="0341020B"/>
    <w:rsid w:val="03EC51E7"/>
    <w:rsid w:val="040E27E3"/>
    <w:rsid w:val="042518DB"/>
    <w:rsid w:val="046B64B1"/>
    <w:rsid w:val="04E92477"/>
    <w:rsid w:val="05605E5E"/>
    <w:rsid w:val="05820AB1"/>
    <w:rsid w:val="05AD7DDA"/>
    <w:rsid w:val="05D41B5D"/>
    <w:rsid w:val="0620235A"/>
    <w:rsid w:val="067032E2"/>
    <w:rsid w:val="088E7A4F"/>
    <w:rsid w:val="08C01BD2"/>
    <w:rsid w:val="09994328"/>
    <w:rsid w:val="0A20181B"/>
    <w:rsid w:val="0A7669ED"/>
    <w:rsid w:val="0AE72C5A"/>
    <w:rsid w:val="0B5008C8"/>
    <w:rsid w:val="0D654F24"/>
    <w:rsid w:val="0E913503"/>
    <w:rsid w:val="0F6B4627"/>
    <w:rsid w:val="107813AE"/>
    <w:rsid w:val="110E3E23"/>
    <w:rsid w:val="1158509E"/>
    <w:rsid w:val="11E132E5"/>
    <w:rsid w:val="141C6857"/>
    <w:rsid w:val="14432035"/>
    <w:rsid w:val="14837884"/>
    <w:rsid w:val="15992A73"/>
    <w:rsid w:val="165C0979"/>
    <w:rsid w:val="16BF567A"/>
    <w:rsid w:val="16CF7BB0"/>
    <w:rsid w:val="178007EB"/>
    <w:rsid w:val="1B9C7C3F"/>
    <w:rsid w:val="1B9F593E"/>
    <w:rsid w:val="1BCF41AF"/>
    <w:rsid w:val="1CD13202"/>
    <w:rsid w:val="1D8A0DC8"/>
    <w:rsid w:val="1EDA17E8"/>
    <w:rsid w:val="21645399"/>
    <w:rsid w:val="21806CAD"/>
    <w:rsid w:val="22903D7B"/>
    <w:rsid w:val="22C115BB"/>
    <w:rsid w:val="23FA0B3C"/>
    <w:rsid w:val="2443130B"/>
    <w:rsid w:val="254276EE"/>
    <w:rsid w:val="25C67C84"/>
    <w:rsid w:val="260929B3"/>
    <w:rsid w:val="2668592C"/>
    <w:rsid w:val="270600DF"/>
    <w:rsid w:val="2A8E3487"/>
    <w:rsid w:val="2AAD433F"/>
    <w:rsid w:val="2B125E66"/>
    <w:rsid w:val="2B4F0E68"/>
    <w:rsid w:val="2CE331DC"/>
    <w:rsid w:val="2D7A3A3A"/>
    <w:rsid w:val="2E8C5F2F"/>
    <w:rsid w:val="2EFA78AF"/>
    <w:rsid w:val="2F902D06"/>
    <w:rsid w:val="2F981157"/>
    <w:rsid w:val="3037193D"/>
    <w:rsid w:val="30403475"/>
    <w:rsid w:val="311C7A3E"/>
    <w:rsid w:val="3239174D"/>
    <w:rsid w:val="33FF5D66"/>
    <w:rsid w:val="34C71A6F"/>
    <w:rsid w:val="352262AE"/>
    <w:rsid w:val="35C276B4"/>
    <w:rsid w:val="361A4E3E"/>
    <w:rsid w:val="39A0424E"/>
    <w:rsid w:val="3A23599A"/>
    <w:rsid w:val="3A8D375B"/>
    <w:rsid w:val="3CB5670B"/>
    <w:rsid w:val="3E2E4372"/>
    <w:rsid w:val="3F3F36A7"/>
    <w:rsid w:val="3F5B0661"/>
    <w:rsid w:val="3F746C97"/>
    <w:rsid w:val="41FD11C6"/>
    <w:rsid w:val="425C413F"/>
    <w:rsid w:val="42880A8A"/>
    <w:rsid w:val="42D444E7"/>
    <w:rsid w:val="43E837B0"/>
    <w:rsid w:val="44AB10CB"/>
    <w:rsid w:val="454A2974"/>
    <w:rsid w:val="45C75D73"/>
    <w:rsid w:val="46274A64"/>
    <w:rsid w:val="46B207D1"/>
    <w:rsid w:val="4722033B"/>
    <w:rsid w:val="4750669E"/>
    <w:rsid w:val="47A43906"/>
    <w:rsid w:val="47C250A1"/>
    <w:rsid w:val="47D46525"/>
    <w:rsid w:val="48C62E37"/>
    <w:rsid w:val="49B44860"/>
    <w:rsid w:val="4BF8322C"/>
    <w:rsid w:val="4C196BFC"/>
    <w:rsid w:val="4C714C8A"/>
    <w:rsid w:val="4C8C5BE6"/>
    <w:rsid w:val="4D007DBC"/>
    <w:rsid w:val="4D726A98"/>
    <w:rsid w:val="4D7F0CE1"/>
    <w:rsid w:val="4DFF6140"/>
    <w:rsid w:val="4E964FEA"/>
    <w:rsid w:val="4FFC4836"/>
    <w:rsid w:val="503736B8"/>
    <w:rsid w:val="51624BA2"/>
    <w:rsid w:val="52100AA2"/>
    <w:rsid w:val="53316F22"/>
    <w:rsid w:val="5349426B"/>
    <w:rsid w:val="5442353C"/>
    <w:rsid w:val="555F0CD9"/>
    <w:rsid w:val="558C043F"/>
    <w:rsid w:val="559515F3"/>
    <w:rsid w:val="559F6EAA"/>
    <w:rsid w:val="55BB40DC"/>
    <w:rsid w:val="56D26C7F"/>
    <w:rsid w:val="583F4AFD"/>
    <w:rsid w:val="5A753DA0"/>
    <w:rsid w:val="5AB3021C"/>
    <w:rsid w:val="5B4F731A"/>
    <w:rsid w:val="5B726329"/>
    <w:rsid w:val="5BCB697C"/>
    <w:rsid w:val="5D6A1ACC"/>
    <w:rsid w:val="5DEA664B"/>
    <w:rsid w:val="5E4A5EDE"/>
    <w:rsid w:val="60C70EC5"/>
    <w:rsid w:val="60DF4DDA"/>
    <w:rsid w:val="61537A55"/>
    <w:rsid w:val="61A45D19"/>
    <w:rsid w:val="62436329"/>
    <w:rsid w:val="62503A5C"/>
    <w:rsid w:val="63302D52"/>
    <w:rsid w:val="639130C5"/>
    <w:rsid w:val="63C23BEE"/>
    <w:rsid w:val="6501769D"/>
    <w:rsid w:val="660E4EA0"/>
    <w:rsid w:val="66D86074"/>
    <w:rsid w:val="67B1772D"/>
    <w:rsid w:val="67B65B7E"/>
    <w:rsid w:val="67CC0B6F"/>
    <w:rsid w:val="696F232C"/>
    <w:rsid w:val="6AB62A0E"/>
    <w:rsid w:val="6CFA6995"/>
    <w:rsid w:val="6ECE7E27"/>
    <w:rsid w:val="6EFD571C"/>
    <w:rsid w:val="6F3516F0"/>
    <w:rsid w:val="6FAA79E8"/>
    <w:rsid w:val="6FDD1B6A"/>
    <w:rsid w:val="7009483B"/>
    <w:rsid w:val="70310109"/>
    <w:rsid w:val="70AB68E0"/>
    <w:rsid w:val="71FE401B"/>
    <w:rsid w:val="736951D3"/>
    <w:rsid w:val="73D74A94"/>
    <w:rsid w:val="74060F2F"/>
    <w:rsid w:val="744E17E0"/>
    <w:rsid w:val="74E03C1D"/>
    <w:rsid w:val="75137DDD"/>
    <w:rsid w:val="75E16199"/>
    <w:rsid w:val="761D6488"/>
    <w:rsid w:val="76F61765"/>
    <w:rsid w:val="76FA41D7"/>
    <w:rsid w:val="7788090C"/>
    <w:rsid w:val="78941235"/>
    <w:rsid w:val="78CA10FB"/>
    <w:rsid w:val="7A9F42A7"/>
    <w:rsid w:val="7B03098F"/>
    <w:rsid w:val="7D390CA4"/>
    <w:rsid w:val="7E701027"/>
    <w:rsid w:val="7FA35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numPr>
        <w:ilvl w:val="3"/>
        <w:numId w:val="1"/>
      </w:numPr>
      <w:spacing w:before="280" w:after="290" w:line="300" w:lineRule="auto"/>
      <w:outlineLvl w:val="3"/>
    </w:pPr>
    <w:rPr>
      <w:rFonts w:ascii="Arial" w:hAnsi="Arial" w:eastAsia="黑体"/>
      <w:bCs/>
      <w:sz w:val="30"/>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Body Text Indent"/>
    <w:basedOn w:val="1"/>
    <w:next w:val="1"/>
    <w:qFormat/>
    <w:uiPriority w:val="0"/>
    <w:pPr>
      <w:spacing w:line="200" w:lineRule="exact"/>
      <w:ind w:firstLine="301"/>
    </w:pPr>
    <w:rPr>
      <w:rFonts w:ascii="宋体"/>
      <w:spacing w:val="-4"/>
      <w:sz w:val="18"/>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First Indent 2"/>
    <w:basedOn w:val="7"/>
    <w:next w:val="1"/>
    <w:qFormat/>
    <w:uiPriority w:val="0"/>
    <w:pPr>
      <w:ind w:firstLine="420" w:firstLineChars="20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8254</Words>
  <Characters>8604</Characters>
  <Lines>57</Lines>
  <Paragraphs>16</Paragraphs>
  <TotalTime>6</TotalTime>
  <ScaleCrop>false</ScaleCrop>
  <LinksUpToDate>false</LinksUpToDate>
  <CharactersWithSpaces>8662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2019-07-03T09:09:00Z</dcterms:created>
  <dc:creator>argo</dc:creator>
  <cp:lastModifiedBy>水</cp:lastModifiedBy>
  <cp:lastPrinted>2026-06-03T00:49:00Z</cp:lastPrinted>
  <dcterms:modified xsi:type="dcterms:W3CDTF">2026-07-17T02:31:25Z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4C90E15355DE43A8B7EE48AFEDD4909A_13</vt:lpwstr>
  </property>
  <property fmtid="{D5CDD505-2E9C-101B-9397-08002B2CF9AE}" pid="4" name="KSOTemplateDocerSaveRecord">
    <vt:lpwstr>eyJoZGlkIjoiNWU2ZmZjYTQ4NmU5ZGVkZDM5YWNlMGZlZTFkMjYxNjYiLCJ1c2VySWQiOiIzMTEyNjQ1NzAifQ==</vt:lpwstr>
  </property>
</Properties>
</file>