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238" w:type="dxa"/>
        <w:tblInd w:w="-1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3"/>
        <w:gridCol w:w="637"/>
        <w:gridCol w:w="638"/>
        <w:gridCol w:w="662"/>
        <w:gridCol w:w="3863"/>
        <w:gridCol w:w="500"/>
        <w:gridCol w:w="650"/>
        <w:gridCol w:w="737"/>
        <w:gridCol w:w="763"/>
        <w:gridCol w:w="1325"/>
      </w:tblGrid>
      <w:tr w14:paraId="67F9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238" w:type="dxa"/>
            <w:gridSpan w:val="10"/>
            <w:tcBorders>
              <w:top w:val="nil"/>
              <w:left w:val="nil"/>
              <w:bottom w:val="nil"/>
              <w:right w:val="nil"/>
            </w:tcBorders>
            <w:shd w:val="clear" w:color="auto" w:fill="auto"/>
            <w:vAlign w:val="center"/>
          </w:tcPr>
          <w:p w14:paraId="5F9A88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广西第一工业学校关于录播室（多功能教室）设施设备采购项目需求及商务要求询价竞价表</w:t>
            </w:r>
          </w:p>
        </w:tc>
      </w:tr>
      <w:tr w14:paraId="21D0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400" w:type="dxa"/>
            <w:gridSpan w:val="4"/>
            <w:tcBorders>
              <w:top w:val="nil"/>
              <w:left w:val="nil"/>
              <w:bottom w:val="nil"/>
              <w:right w:val="nil"/>
            </w:tcBorders>
            <w:shd w:val="clear" w:color="auto" w:fill="auto"/>
            <w:noWrap/>
            <w:vAlign w:val="bottom"/>
          </w:tcPr>
          <w:p w14:paraId="60093613">
            <w:pPr>
              <w:keepNext w:val="0"/>
              <w:keepLines w:val="0"/>
              <w:widowControl/>
              <w:suppressLineNumbers w:val="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采购参数如下表：</w:t>
            </w:r>
          </w:p>
        </w:tc>
        <w:tc>
          <w:tcPr>
            <w:tcW w:w="5750" w:type="dxa"/>
            <w:gridSpan w:val="4"/>
            <w:tcBorders>
              <w:top w:val="nil"/>
              <w:left w:val="nil"/>
              <w:bottom w:val="nil"/>
              <w:right w:val="nil"/>
            </w:tcBorders>
            <w:shd w:val="clear" w:color="auto" w:fill="auto"/>
            <w:noWrap/>
            <w:vAlign w:val="center"/>
          </w:tcPr>
          <w:p w14:paraId="55431B21">
            <w:pPr>
              <w:rPr>
                <w:rFonts w:hint="eastAsia" w:ascii="宋体" w:hAnsi="宋体" w:eastAsia="宋体" w:cs="宋体"/>
                <w:i w:val="0"/>
                <w:iCs w:val="0"/>
                <w:color w:val="000000"/>
                <w:sz w:val="21"/>
                <w:szCs w:val="21"/>
                <w:u w:val="none"/>
              </w:rPr>
            </w:pPr>
          </w:p>
        </w:tc>
        <w:tc>
          <w:tcPr>
            <w:tcW w:w="2088" w:type="dxa"/>
            <w:gridSpan w:val="2"/>
            <w:tcBorders>
              <w:top w:val="nil"/>
              <w:left w:val="nil"/>
              <w:bottom w:val="nil"/>
              <w:right w:val="nil"/>
            </w:tcBorders>
            <w:shd w:val="clear" w:color="auto" w:fill="auto"/>
            <w:noWrap/>
            <w:vAlign w:val="bottom"/>
          </w:tcPr>
          <w:p w14:paraId="2C84A3DE">
            <w:pPr>
              <w:keepNext w:val="0"/>
              <w:keepLines w:val="0"/>
              <w:widowControl/>
              <w:suppressLineNumbers w:val="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单位：元</w:t>
            </w:r>
          </w:p>
        </w:tc>
      </w:tr>
      <w:tr w14:paraId="74D7B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41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23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项目需求情况</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4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项目预算金额</w:t>
            </w:r>
          </w:p>
        </w:tc>
        <w:tc>
          <w:tcPr>
            <w:tcW w:w="1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B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样图</w:t>
            </w:r>
          </w:p>
        </w:tc>
      </w:tr>
      <w:tr w14:paraId="2A387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6C5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6A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采购品目</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DA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物品名称</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EBD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w:t>
            </w:r>
          </w:p>
        </w:tc>
        <w:tc>
          <w:tcPr>
            <w:tcW w:w="3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567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FC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26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C3D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预算合计</w:t>
            </w:r>
          </w:p>
        </w:tc>
        <w:tc>
          <w:tcPr>
            <w:tcW w:w="1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9011">
            <w:pPr>
              <w:jc w:val="center"/>
              <w:rPr>
                <w:rFonts w:hint="eastAsia" w:ascii="宋体" w:hAnsi="宋体" w:eastAsia="宋体" w:cs="宋体"/>
                <w:i w:val="0"/>
                <w:iCs w:val="0"/>
                <w:color w:val="000000"/>
                <w:sz w:val="21"/>
                <w:szCs w:val="21"/>
                <w:u w:val="none"/>
              </w:rPr>
            </w:pPr>
          </w:p>
        </w:tc>
      </w:tr>
      <w:tr w14:paraId="652DF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732A4">
            <w:pPr>
              <w:jc w:val="center"/>
              <w:rPr>
                <w:rFonts w:hint="eastAsia" w:ascii="宋体" w:hAnsi="宋体" w:eastAsia="宋体" w:cs="宋体"/>
                <w:i w:val="0"/>
                <w:iCs w:val="0"/>
                <w:color w:val="000000"/>
                <w:sz w:val="21"/>
                <w:szCs w:val="21"/>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10C87">
            <w:pPr>
              <w:jc w:val="center"/>
              <w:rPr>
                <w:rFonts w:hint="eastAsia" w:ascii="宋体" w:hAnsi="宋体" w:eastAsia="宋体" w:cs="宋体"/>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95607">
            <w:pPr>
              <w:jc w:val="center"/>
              <w:rPr>
                <w:rFonts w:hint="eastAsia" w:ascii="宋体" w:hAnsi="宋体" w:eastAsia="宋体" w:cs="宋体"/>
                <w:i w:val="0"/>
                <w:iCs w:val="0"/>
                <w:color w:val="000000"/>
                <w:sz w:val="21"/>
                <w:szCs w:val="21"/>
                <w:u w:val="none"/>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35335">
            <w:pPr>
              <w:jc w:val="center"/>
              <w:rPr>
                <w:rFonts w:hint="eastAsia" w:ascii="宋体" w:hAnsi="宋体" w:eastAsia="宋体" w:cs="宋体"/>
                <w:i w:val="0"/>
                <w:iCs w:val="0"/>
                <w:color w:val="000000"/>
                <w:sz w:val="21"/>
                <w:szCs w:val="21"/>
                <w:u w:val="none"/>
              </w:rPr>
            </w:pPr>
          </w:p>
        </w:tc>
        <w:tc>
          <w:tcPr>
            <w:tcW w:w="3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FF5F7">
            <w:pPr>
              <w:jc w:val="center"/>
              <w:rPr>
                <w:rFonts w:hint="eastAsia" w:ascii="宋体" w:hAnsi="宋体" w:eastAsia="宋体" w:cs="宋体"/>
                <w:i w:val="0"/>
                <w:iCs w:val="0"/>
                <w:color w:val="000000"/>
                <w:sz w:val="21"/>
                <w:szCs w:val="21"/>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AEC07">
            <w:pPr>
              <w:jc w:val="center"/>
              <w:rPr>
                <w:rFonts w:hint="eastAsia" w:ascii="宋体" w:hAnsi="宋体" w:eastAsia="宋体" w:cs="宋体"/>
                <w:i w:val="0"/>
                <w:iCs w:val="0"/>
                <w:color w:val="000000"/>
                <w:sz w:val="21"/>
                <w:szCs w:val="21"/>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25B59">
            <w:pPr>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97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参考单价</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E7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参考金额</w:t>
            </w:r>
          </w:p>
        </w:tc>
        <w:tc>
          <w:tcPr>
            <w:tcW w:w="1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69C5">
            <w:pPr>
              <w:jc w:val="center"/>
              <w:rPr>
                <w:rFonts w:hint="eastAsia" w:ascii="宋体" w:hAnsi="宋体" w:eastAsia="宋体" w:cs="宋体"/>
                <w:i w:val="0"/>
                <w:iCs w:val="0"/>
                <w:color w:val="000000"/>
                <w:sz w:val="21"/>
                <w:szCs w:val="21"/>
                <w:u w:val="none"/>
              </w:rPr>
            </w:pPr>
          </w:p>
        </w:tc>
      </w:tr>
      <w:tr w14:paraId="4F4E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4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A1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A[货物]</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8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条桌（折叠条桌）</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B3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铭泰 MT-TZA01</w:t>
            </w:r>
          </w:p>
        </w:tc>
        <w:tc>
          <w:tcPr>
            <w:tcW w:w="3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57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尺寸：1200mmX450mmX750mm  双人位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1、基材:采用E1级环保三聚氰胺饰面板面板25mm，耐酸碱、耐磨、防水、硬度高，符合国家标准；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2、封边：四周采用PVC封边条，物理性能佳，线条均匀，转角过渡自然，经过刨光干燥防虫防腐等处理，封边工艺采用全自动化机器封边技术，防潮、不易脱落、经久耐用、表面光滑平整。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3、五金件：采用优质五金配件，经防锈处理，达国家标准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★须按采购人要求的材质、款式、形状、色调供货</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8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C1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 </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F5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640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6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13440</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B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-45720</wp:posOffset>
                  </wp:positionH>
                  <wp:positionV relativeFrom="paragraph">
                    <wp:posOffset>-347345</wp:posOffset>
                  </wp:positionV>
                  <wp:extent cx="790575" cy="720725"/>
                  <wp:effectExtent l="0" t="0" r="9525" b="3175"/>
                  <wp:wrapNone/>
                  <wp:docPr id="24" name="图片_2"/>
                  <wp:cNvGraphicFramePr/>
                  <a:graphic xmlns:a="http://schemas.openxmlformats.org/drawingml/2006/main">
                    <a:graphicData uri="http://schemas.openxmlformats.org/drawingml/2006/picture">
                      <pic:pic xmlns:pic="http://schemas.openxmlformats.org/drawingml/2006/picture">
                        <pic:nvPicPr>
                          <pic:cNvPr id="24" name="图片_2"/>
                          <pic:cNvPicPr/>
                        </pic:nvPicPr>
                        <pic:blipFill>
                          <a:blip r:embed="rId5"/>
                          <a:stretch>
                            <a:fillRect/>
                          </a:stretch>
                        </pic:blipFill>
                        <pic:spPr>
                          <a:xfrm>
                            <a:off x="0" y="0"/>
                            <a:ext cx="790575" cy="720725"/>
                          </a:xfrm>
                          <a:prstGeom prst="rect">
                            <a:avLst/>
                          </a:prstGeom>
                          <a:noFill/>
                          <a:ln>
                            <a:noFill/>
                          </a:ln>
                        </pic:spPr>
                      </pic:pic>
                    </a:graphicData>
                  </a:graphic>
                </wp:anchor>
              </w:drawing>
            </w:r>
          </w:p>
        </w:tc>
      </w:tr>
      <w:tr w14:paraId="5D593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0" w:hRule="atLeast"/>
        </w:trPr>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A2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F8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A[货物]</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5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椅子</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42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铭泰 MT-BGYA01</w:t>
            </w:r>
          </w:p>
        </w:tc>
        <w:tc>
          <w:tcPr>
            <w:tcW w:w="3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E1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产品椅架采用圆足12厘实心钢筋的钢筋，经弯曲，焊接，打磨等工序精制而成，再经酸洗，氧化除锈，镀铬等工序令椅架结实耐用；椅背采用全新PP塑料，一次注塑而成，色泽鲜艳，外观漂亮，具有耐高温，抗极寒，高韧性等等特点，软包是塑料内板+1分纯棉扪弹力布，椅子承重达300斤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★须按采购人要求的材质、款式、形状、色调供货</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1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5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49 </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A6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265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6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12985 </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C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-38735</wp:posOffset>
                  </wp:positionH>
                  <wp:positionV relativeFrom="paragraph">
                    <wp:posOffset>-349885</wp:posOffset>
                  </wp:positionV>
                  <wp:extent cx="782955" cy="886460"/>
                  <wp:effectExtent l="0" t="0" r="4445" b="2540"/>
                  <wp:wrapNone/>
                  <wp:docPr id="25" name="图片_2_SpCnt_1"/>
                  <wp:cNvGraphicFramePr/>
                  <a:graphic xmlns:a="http://schemas.openxmlformats.org/drawingml/2006/main">
                    <a:graphicData uri="http://schemas.openxmlformats.org/drawingml/2006/picture">
                      <pic:pic xmlns:pic="http://schemas.openxmlformats.org/drawingml/2006/picture">
                        <pic:nvPicPr>
                          <pic:cNvPr id="25" name="图片_2_SpCnt_1"/>
                          <pic:cNvPicPr/>
                        </pic:nvPicPr>
                        <pic:blipFill>
                          <a:blip r:embed="rId6"/>
                          <a:stretch>
                            <a:fillRect/>
                          </a:stretch>
                        </pic:blipFill>
                        <pic:spPr>
                          <a:xfrm>
                            <a:off x="0" y="0"/>
                            <a:ext cx="782955" cy="886460"/>
                          </a:xfrm>
                          <a:prstGeom prst="rect">
                            <a:avLst/>
                          </a:prstGeom>
                          <a:noFill/>
                          <a:ln>
                            <a:noFill/>
                          </a:ln>
                        </pic:spPr>
                      </pic:pic>
                    </a:graphicData>
                  </a:graphic>
                </wp:anchor>
              </w:drawing>
            </w:r>
          </w:p>
        </w:tc>
      </w:tr>
      <w:tr w14:paraId="5786D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A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5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A[货物]</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0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教师讲台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7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铭泰 MT-JTA01 讲台</w:t>
            </w:r>
          </w:p>
        </w:tc>
        <w:tc>
          <w:tcPr>
            <w:tcW w:w="3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C1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尺寸：1120*650*1050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1、钢制多媒体讲台:采用E1级环保三聚氰胺饰面板面板25mm，耐酸碱、耐磨、防水、硬度高，符合国家标准；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2、封边：四周采用PVC封边条，物理性能佳，线条均匀，转角过渡自然，经过刨光干燥防虫防腐等处理，封边工艺采用全自动化机器封边技术，防潮、不易脱落、经久耐用、表面光滑平整。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3、五金件：采用优质五金配件，经防锈处理，达国家标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★须按采购人要求的材质、款式、形状、色调供货</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D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E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12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2500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5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2500 </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A7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2540</wp:posOffset>
                  </wp:positionH>
                  <wp:positionV relativeFrom="paragraph">
                    <wp:posOffset>-309245</wp:posOffset>
                  </wp:positionV>
                  <wp:extent cx="719455" cy="836930"/>
                  <wp:effectExtent l="0" t="0" r="4445" b="1270"/>
                  <wp:wrapNone/>
                  <wp:docPr id="26" name="图片_4"/>
                  <wp:cNvGraphicFramePr/>
                  <a:graphic xmlns:a="http://schemas.openxmlformats.org/drawingml/2006/main">
                    <a:graphicData uri="http://schemas.openxmlformats.org/drawingml/2006/picture">
                      <pic:pic xmlns:pic="http://schemas.openxmlformats.org/drawingml/2006/picture">
                        <pic:nvPicPr>
                          <pic:cNvPr id="26" name="图片_4"/>
                          <pic:cNvPicPr/>
                        </pic:nvPicPr>
                        <pic:blipFill>
                          <a:blip r:embed="rId7"/>
                          <a:stretch>
                            <a:fillRect/>
                          </a:stretch>
                        </pic:blipFill>
                        <pic:spPr>
                          <a:xfrm>
                            <a:off x="0" y="0"/>
                            <a:ext cx="719455" cy="836930"/>
                          </a:xfrm>
                          <a:prstGeom prst="rect">
                            <a:avLst/>
                          </a:prstGeom>
                          <a:noFill/>
                          <a:ln>
                            <a:noFill/>
                          </a:ln>
                        </pic:spPr>
                      </pic:pic>
                    </a:graphicData>
                  </a:graphic>
                </wp:anchor>
              </w:drawing>
            </w:r>
          </w:p>
        </w:tc>
      </w:tr>
      <w:tr w14:paraId="07A3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D2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89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A[货物]</w:t>
            </w:r>
          </w:p>
        </w:tc>
        <w:tc>
          <w:tcPr>
            <w:tcW w:w="638" w:type="dxa"/>
            <w:tcBorders>
              <w:top w:val="single" w:color="000000" w:sz="4" w:space="0"/>
              <w:left w:val="nil"/>
              <w:bottom w:val="single" w:color="000000" w:sz="4" w:space="0"/>
              <w:right w:val="single" w:color="000000" w:sz="4" w:space="0"/>
            </w:tcBorders>
            <w:shd w:val="clear" w:color="auto" w:fill="auto"/>
            <w:vAlign w:val="center"/>
          </w:tcPr>
          <w:p w14:paraId="2C10B7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教师椅子</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1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铭泰 MT-BGYA02 办公椅</w:t>
            </w:r>
          </w:p>
        </w:tc>
        <w:tc>
          <w:tcPr>
            <w:tcW w:w="3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76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教师椅子，带轮可转动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★须按采购人要求的材质、款式、形状、色调供货</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1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4E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3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485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B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485 </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D0C6">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-10795</wp:posOffset>
                  </wp:positionH>
                  <wp:positionV relativeFrom="paragraph">
                    <wp:posOffset>-27305</wp:posOffset>
                  </wp:positionV>
                  <wp:extent cx="712470" cy="1109980"/>
                  <wp:effectExtent l="0" t="0" r="11430" b="7620"/>
                  <wp:wrapNone/>
                  <wp:docPr id="27" name="图片_5"/>
                  <wp:cNvGraphicFramePr/>
                  <a:graphic xmlns:a="http://schemas.openxmlformats.org/drawingml/2006/main">
                    <a:graphicData uri="http://schemas.openxmlformats.org/drawingml/2006/picture">
                      <pic:pic xmlns:pic="http://schemas.openxmlformats.org/drawingml/2006/picture">
                        <pic:nvPicPr>
                          <pic:cNvPr id="27" name="图片_5"/>
                          <pic:cNvPicPr/>
                        </pic:nvPicPr>
                        <pic:blipFill>
                          <a:blip r:embed="rId8"/>
                          <a:stretch>
                            <a:fillRect/>
                          </a:stretch>
                        </pic:blipFill>
                        <pic:spPr>
                          <a:xfrm>
                            <a:off x="0" y="0"/>
                            <a:ext cx="712470" cy="1109980"/>
                          </a:xfrm>
                          <a:prstGeom prst="rect">
                            <a:avLst/>
                          </a:prstGeom>
                          <a:noFill/>
                          <a:ln>
                            <a:noFill/>
                          </a:ln>
                        </pic:spPr>
                      </pic:pic>
                    </a:graphicData>
                  </a:graphic>
                </wp:anchor>
              </w:drawing>
            </w:r>
          </w:p>
        </w:tc>
      </w:tr>
      <w:tr w14:paraId="5149C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4D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A6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A[货物]</w:t>
            </w:r>
          </w:p>
        </w:tc>
        <w:tc>
          <w:tcPr>
            <w:tcW w:w="638" w:type="dxa"/>
            <w:tcBorders>
              <w:top w:val="single" w:color="000000" w:sz="4" w:space="0"/>
              <w:left w:val="nil"/>
              <w:bottom w:val="single" w:color="000000" w:sz="4" w:space="0"/>
              <w:right w:val="single" w:color="000000" w:sz="4" w:space="0"/>
            </w:tcBorders>
            <w:shd w:val="clear" w:color="auto" w:fill="auto"/>
            <w:vAlign w:val="center"/>
          </w:tcPr>
          <w:p w14:paraId="461871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智能交互黑板</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A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希沃 BH86ED 86寸触控智慧黑板一体机</w:t>
            </w:r>
          </w:p>
        </w:tc>
        <w:tc>
          <w:tcPr>
            <w:tcW w:w="3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F9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一、内置OPS模块设计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★（一）核心技术参数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1、处理器要求：核心数≥8、线程数≥12、主频≥2.0Ghz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2、内存：≥8G 内存配置；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3、硬盘：≥256GB SSD 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4、和整机的连接接口针脚数≤40pin。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（二）OPS结构设计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1、采用按压式卡扣，无需工具即可快速拆卸电脑模块。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2、PC 模块可抽拉式插入整机，可实现无单独接线的拔插。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3、具有独立非外拓展的视频输出接口：≥1 路 HDMI。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4、具有独立非外拓展的电脑 USB 接口：至少具备 3 个 USB3.0 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5、具有标准 PC 防盗锁孔，确保电脑模块安全防盗。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6、和整机的连接采用万兆级接口，传输速率≥10Gbps。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二、智慧拼接设计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（一）屏显和拼接结构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★1、整机屏幕采用≥ 86 英寸液晶显示器，含副屏幕的整体外观尺寸：宽≥4200mm，高≥1200mm，厚≤111mm。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整机采用全金属外壳，三拼接平面一体化设计。无推拉式结构，外部无任何可见内部功能模块连接线。主副屏过渡平滑，中间无单独边框阻隔。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3、整机屏幕边缘采用金属圆角包边防护，整机背板采用金属材质，有效屏蔽内部电路器件辐射；防潮耐盐雾蚀锈，适应多种教学环境。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4、主屏支持普通粉笔直接书写。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5、整机两侧副屏可支持以下媒介（普通粉笔、液体粉笔、成膜笔）进行板书书写。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6、整机设备副屏支持磁吸附功能，可以满足带有磁吸的板擦教具进行吸附在副屏上。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8、整机采用超高清 LED 液晶显示屏，显示比例 16:9，分辨率：≥3840×2160。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（二）接口和其他功能设计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★1、侧置输入接口具备≥ 2 路 HDMI、≥1 路 RS232（RJ45 形态）、≥1 路 USB 接口。侧置输出接口具备 ≥1 路音频输出、≥1 路触控 USB 输出。前置输入接口具备≥ 3 路 USB 接口（包含 ≥1 路 Type-C、≥2 路 USB）。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★3、整机嵌入式系统版本≥Android 15，主频≥1.6GHz，内存≥2GB，存储空间≥32GB；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钢化玻璃表面硬度≥9H，透光率不低于 91%，雾度≤8%；采用全物理钢化玻璃，碎片状态、抗冲击性、霰弹袋冲击性能、耐热冲击性能均通过国家强制玻璃标准，表面应力≥100Mpa。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★5、整机Windows系统和Android系统均支持≥50点触控及书写划线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★6、整机电磁干扰 ITE 达到国标 GB/T 9254.1-2021 Class B 等级要求，满足教学环境多电子设备共用，无需采取任何电磁辐射防护措施，不接受 GB/T 9254.1-2021 ITE Class A 等级产品。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三、整机教学系统功能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1、整机设备开机启动后，自动进入教学桌面，支持账号登录、退出，自动获取个人云端教学课件列表、并可进入全部课件列表。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2、整机设备支持多种身份识别方式，支持通过账号登录、手机扫码登录、人脸识别登录、声纹识别登录、近场发现登录，并支持账号安全登录检测。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3、整机设备支持统一互通的用户身份认证服务，账号登录后，打开教学白板软件教学应用工具时无需再次输入账号密码重复登录。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★4、整机设备教学桌面支持教学白板软件和文件管理软件；教学桌面首页支持自定义桌面应用，支持展示 8 个应用入口，并提供进入本机所有应用的入口。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★5、整机设备可将应用编辑到教学桌面首页，编辑方式支持从教学桌面首页进入编辑，支持在全部应用列表中进入编辑 2 种方式。教学桌面首页应用支持无需进入应用编辑页面，在首页指定应用上长按进行移除。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6、整机设备教学桌面支持查看设备盘符，支持本地磁盘和外接 U 盘、移动硬盘，点击即可打开该磁盘查看磁盘文件。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教学桌面支持显示存储空间状态，当存储空间即将满载时候进行红色标记明显提示。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7、整机设备教学桌面支持推荐应用，推荐应用支持移除。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8、整机设备教学桌面支持进行应用卸载。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9、整机设备教学桌面的教师登录账号后，可自动获取并在桌面显示最近使用的教学课件，点击课件可直接进入授课模式；并支持查看所有个人教学课件资源。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10、整机设备教学桌面支持进行壁纸编辑，内置 10 张以上壁纸，支持自定义壁纸。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★11、整机设备教学桌面支持 U 盘、移动硬盘外接存储设备直接在桌面显示，无需打开文件浏览器即可查看文件列表，并且支持文件打开。支持查看全部文件列表以及按照文档、图片、音视频分类方式查看文件列表。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12、整机设备教学桌面 U 盘文件查看窗口支持使用文件浏览器打开 U 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13、整机设备教学桌面支持进行通道切换，当设备有其他输入源时，可在桌面点击信号源进行输入源切换。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14、整机设备教学桌面支持进行锁屏操作。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15、整机设备教学桌面支持进行重启、关机操作。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四、音视频教学功能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★1、整机设备内置2.2声道扬声器，前朝向发声，≥10W高音扬声器2个，上朝向≥20W中低音扬声器2个，最大功率≥60W。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2、整机可选择高级音效设置，支持在左右声道平衡显示范围中进行更改；中低频段显示调节范围 125Hz～1KHz，高频段显示调节范围 2KHz～16KHz，分贝显示 - 12dB～12dB 调节范围。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★3、整机内置非独立外扩展的8阵列麦克风，拾音角度≥180°，可用于对教室环境音频进行采集，拾音距离≥12m。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4、整机内置扬声器采用缝隙发声技术，喇叭采用槽式开口设计。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5、整机扬声器在 100% 音量下，可做到 1 米处声压级≥92dB，10 米处声压级≥82dB。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6、内置摄像头、麦克风无需外接线材连接，无任何可见外接线材及模块化拼接痕迹，未占用整机设备端口。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★7、支持标准、听力、观影和 AI 空间感知音效模式，AI 空间感知音效模式可通过内置麦克风采集教室物理环境声音，自动生成符合当前教室物理环境的频段、音量、音效；整机听力模式下具备 AI 人声语言增强功能，支持三挡强弱调节，扩声系统语言传输指数（STIPA）≥0.75；整机影院模式下具备 AI 环绕声功能，支持三挡强弱调节。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8、整机色域覆盖率（NTSC）≥72%。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9、整机背光系统支持 DC 调光方式，多级亮度调节，支持白颜色背景下最暗亮度≤100nit，用于提升显示对比度。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10、灰阶等级≥256 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11、整机屏幕蓝光占比（有害蓝光 415～455nm 能量综合）/（整体蓝光 400～500 能量综合）＜50%。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12、支持标准、多媒体和节能三种图像模式调节。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13、支持自定义图像设置，可对对比度、屏幕色温、图像亮度、亮度范围、色彩空间调节设置。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14、整机系统支持手势上滑调出人工智能画质调节模式（AI-PQ），开启 AIPQ 功能后，播放视频即可根据屏幕内容自动调节画质参数，当屏幕出现人物、建筑、夜景等元素时，自动调整对比度、饱和度、锐利度、色调色相值、高光 / 阴影。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15、整机视网膜蓝光危害（蓝光加权辐射亮度 LB）满足 IEC TR 62778:2014 蓝光危害 RG0 级别。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★16、整机全通道支持纸质护眼模式，可实现画面纹理的实时调整；支持纸质纹理：牛皮纸、素描纸、宣纸、水彩纸、水纹纸；支持透明度调节；支持色温调节。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纸质护眼模式下，显示画面各像素点灰度不规则，减少背景干扰。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五、按键与无线功能要求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1、三合一电源按键，同一电源物理按键完成 Android 系统和 Windows 系统的开机、节能熄屏、关机操作；关机状态下按按键开机；开机状态下按按键实现节能熄屏 / 唤醒，长按按键实现关机。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2、整机具备前置物理按键数量≧6，可实现开关机、音量＋－、护眼、录屏、设置功能。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3、支持经典护眼模式，可通过前置面板物理功能按键一键启用经典护眼模式。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4、设备支持通过前置面板物理按键一键启动录屏功能，可将屏幕中显示的课件、音频内容与人声同时录制。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6、整机无需外接无线网卡，在 Windows 系统下可实现 Wi-Fi 无线上网连接、AP 无线热点发射和 BT 蓝牙连接功能。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7、Wi-Fi 和 AP 热点工作距离≥12m。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8、整机支持蓝牙 Bluetooth 5.4 标准，固件版本号 HCI13.0/LMP13.0。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9、整机 PC 端支持主动发现蓝牙外设从而连接（无需整机进入发现模式），支持连接外部蓝牙音箱播放音频。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10、整机支持发出频率为 18kHz-22kHz 超声波信号，智能手机和笔记本电脑接收超声波信号后可以自动识别附近投屏设备，点击对应设备即可完成投屏操作。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13、整机内置双 WiFi6 无线网卡（不接受外接），在 Android 和 Windows 系统下，可实现 Wi-Fi 无线上网连接、AP 无线热点发射。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14、整机内置双 WiFi6 无线网卡（不接受外接），在 Android 下支持无线设备同时连接数量≥32 个，在 Windows 系统下支持无线设备同时连接≥8 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15、Wi-Fi 及 AP 热点支持频段 2.4GHz/5GHz。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16、Wi-Fi 制式支持 IEEE 802.11 a/b/g/n/ac/ax；支持版本 Wi-Fi6；整机 PC 通道及安卓通道各具备一颗 WiFi6 无线芯片，PC 和安卓通道均可通过大屏发送 WiFi6 热点以及连接 WiFi6 的路由器。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17、整机内置摄像头（非外扩），PC 通道下支持通过视频展台软件调用摄像头进行二维码扫码识别。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18、具备摄像头工作指示灯，摄像头运行时，有指示灯提示。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19、整机内置非独立摄像头，可拍摄≥5000万像素数的照片。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20、整机内置非独立广角高清摄像头，视场角≥135度且水平视场角≥120度，支持输出4:3、16:9比例的图片和视频；在清晰度为3840x2160（4K）分辨率下，支持30帧的视频输出，支持画面畸变矫正功能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21、整机内置非独立的高清摄像头，可用于远程巡课。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★22、整机摄像头支持人脸识别、清点人数、随机抽人；识别所有学生，显示标记，然后随机抽选，同时显示标记不少于 60 人；整机具备班级视力检测功能，学生站在距离屏幕前 5m 处，可通过手势识别方式来标识方向进行视力测试，测试完成后可直接生成视力检测结果，并建立学生视力档案。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★23、整机具备班级视力检测功能，学生站在距离屏幕前 5m 处，可通过手势识别方式来标识方向进行视力测试，测试完成后可直接生成视力检测结果，并建立学生视力档案。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24、整机支持通过人脸识别进行账号登录。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25、整机摄像头支持环境色温判断，根据环境调节合适的显示图像效果。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26、整机摄像头、麦克风采用一体化模块设计，无需拆卸整机后壳，即可针对整机摄像头、麦克风单独拆卸维护。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六、侧边栏快捷功能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1、整机内置全通道侧边栏快捷菜单，小工具、应用软件、快捷设置、亮度 / 音量调节、教室物联入口；可实时查看物联设备的连接情况，点击设备图标即可调出中控菜单进行管控。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2、整机全通道侧边栏支持展示学校名称、设备班级、场地信息。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3、整机全通道侧边栏快捷菜单包含如下小工具：批注、降半屏、截屏、放大镜、倒计时、日历、聚光灯、秒表、冻屏、倒数日、答题、节拍器。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4、整机全通道侧边栏快捷菜单小工具支持自定义，支持设置对应小工具的显示 / 隐藏；支持通过拖拽进行顺序自定义；可自定义侧边栏物联模块、进程管理、桌面文件模块的显示和隐藏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★5、整机全通道侧边栏支持使用批注小工具进行批注讲解，可切换书写笔颜色、截屏保存批注内容、清屏，可根据手与屏幕的接触面积自动调整板擦工具的大小。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整机全通道侧边栏支持将设备屏幕降低为半屏幕状态，点击上半屏幕可以返回全屏状态。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7、整机全通道侧边栏支持自行选择所需截取屏幕范围，点击截屏即可成功截取屏幕，并自动保存。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8、整机全通道侧边栏支持放大选中区域内容，并可支持对未选中区域关灯处理，实现聚光灯效果。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9、整机全通道侧边栏支持倒计时、正计时功能；倒计时，输入某特定时间值，可精确到秒，点击开始进入倒计时；正计时，点击开始计时便自动开始，并实时显示时间。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10、整机全通道侧边栏支持打开日历，查看日期。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11、整机全通道侧边栏支持聚光灯，支持聚光灯高亮区域大小调节、区域移动。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12、整机全通道侧边栏支持冻屏，将屏幕画面进行缩放。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13、整机安卓和外接通道 (2 路 HDMI) 下侧边栏支持设置倒数日。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14、整机安卓和外接通道 (2 路 HDMI)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15、整机安卓和外接通道 (2 路 HDMI) 下侧边栏支持节拍器，支持设置节拍、轻重、节拍播放速度。全通道下可支持通过自定义按键调出该功能。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16、整机支持在设备上通过摄像头获取教室内图像并自动识别图像内所有人员，并随机抽选 1 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17、整机支持在设备上通过摄像头获取教室内图像并自动识别图像内所有人员，并自动进行人数统计。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18、整机支持在设备上，通过侧边栏实现调用 windows 系统运行、打开文件夹、打开任务管理、打开 U 盘、录屏功能。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19、整机 Windows 通道支持在通过侧边栏调取软键盘。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20、整机 Windows 通道支持对当前运行中的应用进行窗口最大化、窗口最小化、应用强制关闭。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21、整机处于非内置 PC 通道下，支持通过侧边栏进入 PC 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22、侧边栏内置文件管理，可便捷打开存放在桌面上的文件、文件夹；支持快速打开桌面文件夹目录，以便查看更多文件。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23、侧边栏内置应用管理，可查看全部应用列表，并可点击其中应用进行快捷打开；支持 Windows 应用固定，可将应用固定后，在侧边栏进行快捷打开。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24、教学桌面支持增加网页快捷打开方式，数量≥8 个，并支持自定义网址命名。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25、整机全通道侧边栏快捷菜单支持简洁模式和常规模式切换，简洁模式下可进行打开批注、降半屏、主页的基础操作。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七、教学软件设计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（一）整体设计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1、为教师提供可扩展，易于学校管理，安全可靠的云存储空间，根据每名教师使用时长与教学资料制作频率提供可扩展升级至不小于 200G 的个人云空间。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教学软件为使用方全体教师配备个人账号，形成一体的信息化教学账号体系；根据教师账号信息将教师云空间匹配至对应学校、学科校本资源库。支持通过数字账号、微信二维码、硬件密钥方式登录教师个人账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互动教学课件支持定向精准分享：分享者可将互动课件、课件组精准推送至指定接收方账号云空间，接收方可在云空间接收并打开分享课件；支持多人在线协同编辑，支持以链接的形式进行课件分享、邀请协作，支持查看当前在线用户，针对邀请协同的用户可设置可编辑、可阅读权限，支持将 PPT 课件转化为交互式课件进行协同编辑。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4、上传下载一体化云存储：备课时支持将云空间中存储图片、音频、视频、Flash 等素材插入课件，同时支持将课件中的图片、音频、视频、Flash、PPT 等素材右键上传至云空间。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5、互动教学课件支持开放式云分享：分享者可将互动课件、课件组以公开或加密的 web 链接和二维码形式进行分享，分享链接可设置访问有效期。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6、互动教学课件支持分享至学校校本资源库，学段学科根据教师个人信息自动匹配，分享后课件全校教师可见，并可直接下载使用。校本资源库支持按学科、学段进行快速查找，同时支持关键词精准检索。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★7、胶囊式微课功能内置于交互式课件工具中，支持快速录制胶囊式微课，微课可录制保存音频和课件的互动操作；支持对全屏 / 区域的屏幕内容、整机声音、麦克风声音、摄像头内容进行录制，支持切换录制分辨率，支持录制过程中进行画笔标注与擦除；支持中途暂停录制和继续录制；微课录制结束后支持提取视频中的文字，按照提取出的文字对视频进行快速剪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（1）录制功能：录制过程中可对课件中的元素进行拖动、克隆、删除等操作，支持在录制过程中进行书写和擦除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（2）剪辑重录功能：支持按照课件页面片段剪辑和重录微课，支持一键上传至云端保存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（3）无课件录制：支持教师在空白页面录制胶囊式微课，支持自主添加不低于 100 页电子草稿进行讲解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（4）听课方式：微课录制结束后自动生成分享海报，学生扫码在即可在微信观看，无需下载额外 app 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（5）学生观看胶囊式微课时可进行多种互动，可在控制课件模式下移动、删除克隆课件内的元素，参与课堂活动互动练习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（6）系统后台自动统计胶囊式微课的观看次数，便于教师做教研管理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云教案设计：可在备课平台直接边写教案，教案为云端存储，支持文本、图片、视频、公式的插入。可将教案关联至教师课件，支持课件同时关联多份教案，关联后教师可在备课界面调用查看教案，便于教研工作开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9、支持移动授课，实现公网连接控制课件翻页、播放，支持手机拍照上传、投屏。手机端和电脑端登录同一账号后即可自动连接，拍照上传、控制课件支持公网。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10、采用备授课一体化框架设计，教师可根据教学场景自由切换类 PPT 界面的备课模式与触控交互教学模式，适用于教室、办公室等不同教学环境，便于教师教学使用。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互动课件与多媒体素材的云空间相互独立，互不干扰；教师可新建课件组或素材文件夹对教学资源进行个性化的分类与标记，便于管理；多媒体素材库内的素材可随时插入互动课件，互动课件内的多媒体素材可在课件内直接上传至多媒体素材存储空间，便于教师调用、采集教学素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12、整机内置 AI 作文批改工具，支持对视频展台所采集的内容进行识别，识别到英文作文类型后，支持作文内容进行批改；可根据作文的整体表现给出一个综合评分，并提供详细的评分依据；能够从作文的词汇词组、语法句子、内容连贯性多个维度进行分析和评价，对于存在的语法错误和错别字，能够指出并提供修改建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整机内置AI智能体（非第三方应用），根据教学和学习需求可创建，支持个性化设定角色信息包括角色性格、技能与头像信息，支持语音和文字两种方式与智能体进行对话交互，创建的智能体可上传到本校资源进行共享使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14、整机内置 AR 授课工具，支持对视频展台所采集的画面中叠加动态的 3D 模型，3D 模型包括动物、微生物、人体骨骼、乐器、星球、地形。（投标时须提供国家认可的第三方检测机构出具的关于该功能检测报告复印件）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15、整机内置 AI 授课工具，支持对整机页面显示的题目或视频展台所采集的题目内容进行识别，支持手动框选题目范围，能够对题目进行详细的讲解（包括解题步骤和注意事项）；可根据题目所涉及的知识点和难度级别推荐相似题目，推荐题目数量可根据用户需求进行设置（如 3 道、5 道、10 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（二）备课模式设计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1、教学软件具备图形自由创作工具，教师可自由绘制复杂的任意多边图形及曲边图形；教师自主创作的图形可存储至个人云空间便于后续使用。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2、教学软件内置图片处理功能，无需借助专业图片处理软件即可对课件内的图片进行快速抠图，图片主体处理后边缘无明显毛边，且处理后的图片可直接上传至教师云空间供后续复用。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3、教学软件兼容传统课件制作工具的组合快捷按键，支持如加粗（Ctrl+B）、文字居中（Ctrl+E）等教师熟悉的组合按键，鼠标悬停至功能按键时自动提示组合快捷键，内置组合快捷键数量不少于 50 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4、支持对任意课件元素自定义路径动画，可自由绘制动画移动轨迹使课件元素沿轨迹路径进行移动。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5、支持对音频、视频文件进行关键帧标记，可在音、视频进度条任意位置自由设置关键帧播放节点，便于快速定位讲解关键教学内容。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6、全文快速搜索：支持在课件中通过快捷键（Ctrl+F）调用搜索控件，输入文本即可查找课件内文本框、形状、表格中对应的文本匹配项。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7、整机白板软件支持智能图表绘制，可将手绘表格转化为智能表格，形成表格对象后表格中书写区域可根据书写内容自适应调整大小，支持将表格外书写内容一键拖动到表格中。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（三）授课模式设计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1、课堂互动游戏支持云储存，编辑完成的活动可一键存储至教师云空间，便于在不同课件中直接调用，无需反复编辑。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判断题竞赛游戏：支持创建判断题竞赛游戏，教师可设置正确项／干扰项，让两组学生进行判断对错游戏竞争。提供简单、中等、困难难度及多种预设游戏背景模版，模版样式支持自定义修改。支持记录和展示学生作答结果，便于课堂知识点对比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互动分类游戏：支持创建互动分类游戏，可自定义不同类别及相对应对象，将不同对象拖拽到对应类别容器中系统自动辨识分类，分类正误均有相应提示；竞争模式下可记录不同操作者的动作和用时并自动排名。类别和对象的样式、数量均支持自定义修改。系统需提供不少于 9 种游戏模板，直接选择并输入相应内容即可轻松生成互动分类游戏，提升课堂趣味性。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智能选词填空：支持创建智能选词填空游戏，填空选项支持并列选项，并列选项支持答案互换，教师可随意编辑填空题题干以及相应的答案选项，将选项拖到对应题干空白处，系统自动判断答案正误，系统需提供不少于 10 种游戏模板，且模板样式支持自定义修改。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5、智能配对游戏：支持创建配对游戏，教师可随意将知识点进行配对。当开始配对游戏时，拖动知识点进行配对，系统将自动判断是否正确。系统至少提供 10 种游戏模版，且模版样式支持自定义修改，同时支持设置干扰项。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6、分组竞争游戏：支持创建分组竞争游戏，教师可设置正确项／干扰项，让两组学生开展竞争游戏。提供不少于 3 种难度、10 种游戏模版供选择，且模版样式支持自定义修改。支持记录和展示学生作答结果，便于课堂知识点对比讲解。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整机侧边栏内置智能语音转文字工具，将整机内置麦克风拾取的语音进行文字转译，以悬浮字幕形式将转译文字显示在屏幕上；支持实时拾取整机系统播放的音视频源内容并进行文字转译，以悬浮字幕形式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8、整机自带 AI 书写美化能力，智能识别批注的书写轨迹，进行笔锋智能美化，模拟纸上书写的起笔、行笔和收笔效果。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（四）学科工具设计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1、英语学科：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（1）AI 智能纠错：软件内置的 AI 智能语义分析模块，可对输入的英文文本的拼写、句型、语法进行错误检查，并支持一键纠错。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不少于 6 种详解页背景模板供选择。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（3）四线三格：配置英语学科四线三格，可直接键入人教版英语辅助教材配套的手写字体。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（4）听写：配置英语学科听写工具，覆盖小初高不少于 8000 个英语单词，支持自定义选择单词。自定义听写频率和次数，一键生成听写卡；授课模式支持一键开启听写朗读。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2、语文学科：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（1）汉字生字卡：支持在田字格上手写输入汉字并自动识别为印刷体，可展示该汉字的部首、读音、笔画顺序、笔画数量等。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覆盖小学、初中、高中的古诗词、古文教学资源：包含原文、翻译、背景介绍、作者介绍、朗诵音频。内嵌诗词百科链接，一键跳转展示诗词及作者详细背景介绍；全部古诗词资源按照年级学段、朝代、诗人进行精细分类，教师仅需点击分类关键词即可快速跳转至对应诗词资源，无需输入诗词名称即可快速检索，支持教师直接搜索诗词、古文名称或作者名称进行查找；并自动保存至云端供教学复用。备课时可对原文进行注释、标重点等操作；提供原文朗读音频，全部诗词、古文均配备专业朗读配音，朗读音频支持关键帧打点标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（3）拼音工具：支持在拼音格中输入拼音字母，可展示该字母的标准四声读音以及笔画。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3、数学学科：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（1）立体几何工具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①可自由绘制长方体、立方体、圆柱体、圆锥等立体几何图形，支持几何图形按比例放大缩小和通过单独调整长宽高（半径 / 高）改变几何体大小。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②支持为长方体、圆柱体、圆锥等几何体的各面、棱分别填涂颜色，并且可通过 360° 旋转观察涂色面与未涂色面；几何体支持平面展开，预置长方体、立方体 “141、132、222、33” 型展开方式，展开后可对涂色面进行查看，有助于学生的空间想象。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③具备几何体智能吸附功能：同类几何体相互靠近时，可智能识别吸附。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（2）数学画板工具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①支持课件中插入在线数学画板，授课时一键打开使用。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②提供不少于 500 个数学画板资源，按照小学、初中、高中学段数学学科主要知识点分类，便于教师查找使用。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③内置画板课件展示生动直观，可动态展示平面几何的变化：如小学几何四边形，可动态演示四边形的不同形态间的变化；中学函数的平方差公式讲解，可将平方差公式通过图形具象展示其计算原理。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★（3）公式：支持中英文、数学公式的编辑输入，可快速输入方程组、脱式运算，提供总数不少于 30 个数学符号及模板；预置不少于 20 个常用数学公式，无需编辑一键插入，输入内容可用不同颜色标记及重复编辑。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平面几何工具：可自由绘制线条、线段及射线；可自由绘制任意边数及角度的图形，自动显示内角角度，支持编辑内角角度对图形进行精细调整；可自由绘制扇形及圆形，并显示圆心角、圆周角角度；可自由标注几何图形的顶点字母，支持大小写字母输入，便于授课讲解。提供具有智能吸附的辅助线工具，教师可快速自由绘制所需辅助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（5）尺规工具：提供直尺、三角板、量角器及圆规工具，尺工具支持旋转、伸缩，可实时显示绘制线条长度；圆规工具可更换笔触颜色，模拟真实圆规作图。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4、美术学科：内置专用美术画板工具，提供铅笔、毛笔、油画笔等笔触，具备符合绘画调色教学需求的模拟调色盘，可选择不同颜色混合调色，便于学生理解调色合成过程。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5、地理学科：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（1）书写工具具备地图图示（如铁路、城墙、山峰、港口、机场等）笔迹，可直接进行图示标注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（2）提供三维立体星球模型，内含太阳系全览模型、行星模型、卫星模型，支持 360° 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 / 立体转换，清晰展现地球表面的六大板块、降水分布、气温分布、表层洋流、陆地自然带、海平面等压线等内容，方便教学。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6、其他工具: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板中板：支持授课过程中调用板中板辅助教学，可进行批注、加页及背景色切换；板中板支持插入图片、音视频素材进行独立讲解，不影响课件主画面。板中板支持小窗口化，窗口可以自由移动和调整大小，配合课件讲解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（2）书写：支持多人同时书写，可自由调整笔迹颜色及笔触粗细，书写颜色及粗细设置面板支持浮窗模式，可自由调整至白板界面任意位置，便于教师授课使用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（3）图章笔：提供不少于 15 种图案样式。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（4）放大镜：支持调用放大镜工具进行局部画面放大，可设置放大比例及聚光灯效果。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（5）撤销重做：支持白板操作撤销和重做，防止误操作影响教学。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（6）文件导入：授课时可将图片、音频、视频等多媒体文件导入授课界面，系统自动识别外接移动储存设备并优先显示其中的内容。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（7）文件导出：支持授课时导出课件导出为图片，课件支持多种格式导出。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（8）整机内置计算器应用，支持多项式复杂计算，对多项式进行积分、求导、多项式展开和多项式分解，支持对多项式进行绘制图像，展示绘制结果。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（9）支持通过悬浮球调起元素周期表，支持对不同元素进行颜色区分，可通过点击对不同元素进行分类展示，展示样式支持按原子数 / 原子结构 / 相对原子质量 / 电子构型配置元素方式进行调整。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（10）整机内置交互式白板软件支持汉字语音测评功能，通过整机拾音麦进行用户声音采集分析，判断用户发音是否标准。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（11）整机内置趣味画板功能，支持自由画、涂色和拼图模式；保存绘画作品时，支持调用整机麦克风进行录音，并将录音和画作合成为作品保存在画廊；在画廊查看作品时支持录音回放功能。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（12）整机内置学生日历功能，支持全屏查看日历、显示法定节日；用户可以添加日历事件，设定特定时间并关联本机安卓应用，事件到期后，可以通过事件提醒打开关联的应用，如欢迎词、白板应用。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（五）教学资源设计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1、同步教学资源设计：提供互动式教学课件资源，包含学科教育各学段教材版本全部教学章节、专题教育多个主题教育、特殊教育三大分类的不少于 100000 份的交互式课件。课件支持直接预览并下载，预览时支持拖动课堂活动、形状、几何、文本等元素；下载时课件可同步至教师个人云课件存储空间；课件支持教师在线评分。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2、多学科题库：提供涵盖小学、初中、高中的总知识点不少于 9000 个，试题数量不少于 30 万道试题，中学题库需包含语文、数学、英语、物理、化学、生物、政治、历史、地理等多个学科，包含选择、填空、判断、诗歌阅读、完形填空、阅读理解、辨析题、材料题、实验题、作图题等丰富题型。可批量选择试题以交互试题卡的形式插入课件。试题卡包含题干、答案和解析，并可一键展开收起答案和解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3、课件库资源，涵盖 10w + 课件资源，支持整份课件页插入课件中；支持按照教学环节筛选对应课件页一键插入课件中，例如导入新课、作者简介等等按需所取，在查看部分课件的同时支持查看对应整份课件，了解作者整体教学思路，便于教师积木式补充课件缺失部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（六）其他功能设计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1、提供柱状图、扇形图、折线图等互动图表，每类图表预置不少于 5 种样式，支持图表文字、背景、透明度设置；柱状图、折线图可一键转置互换坐标轴类别；图表支持三维模式旋转展示，生动形象。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2、教学软件可自由插入表格，预置不少于 4 种表格样式，支持边框、底纹设置，自由合并单元格；表格支持自由输入文本，且根据文本内容可一键自动调整行列宽高；表格通过表格首行首列交接处的按键可一键精准增加行列；具备遮罩功能，表格中任一单元格可添加遮罩掩盖单元格内容，授课模式点击即可取消遮罩，便于教师交互式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3、支持对图形样式设置：图形颜色、阴影、倒影、透明度、边框等样式设置；支持图形旋转中心调整，便于教学使用。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4、教学软件内置图片裁切功能，无需调用截图工具即可直接对课件内的图片进行裁切，裁切面积可自由调整。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5、整机内置欢迎词应用，可自定义欢迎词或选择使用默认模板，欢迎词可展示、替换背景、添加文字、设置倒计时。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6、支持智能书写功能，书写文字自动识别为标准印刷体，支持图形识别功能，可将多种手绘图形转化为矩形、三角形、圆形标准图形。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7、整机侧边栏内置朗读工具，通过整机麦克风监测教室中学生的朗读情况，并以游戏化界面反馈学生朗读音量大小。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8、整机侧边栏内置自习工具，通过整机麦克风监测教室中学生音量大小，当学生音量大于阈值时，屏幕自动弹窗提醒进行自习纪律干预。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七、教学教研管理平台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 / 获取情况和集体备课的研讨情况。支持以时间、老师、教材章节进行数据筛选。支持导出备课组下全部成员的课程资源和集体备课数据。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2、可查看集体备课的开展统计情况及老师参与集体备课的记录。支持以时间、学科进行筛选，支持输入集体备课名称 / 主备人名称，进行全局搜索。支持查看集体备课名称，主备人、所属学科、年级、参备老师数、稿数、浏览数、评论数、批注数、评论点赞数、集体备课状态和创建时间等数据。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3、可查看课程的评价统计情况及教师对课程的评价记录。支持以时间、评课表、学科进行筛选，支持输入课程名称 / 老师名称，进行全局搜索。支持查看以课程维度的评价记录，包括课件名称、授课老师、所属学科、本节课的评课人数、总评价平均分及授课时间，通过点击操作 “详情” 可查看具体评价情况，支持管理员删除评价记录和导出课程评价记录数据表格。点击课程详情可以查看评课报告，可以查看该课程的总分和各板块得分，支持导出为 PDF 文件。支持查看课程下所有老师的评课表，可以批量导出为 Word 文件。支持查看以教师维度统计的评课记录，查看教师的所属学科，评课节数，点击操作 “详情”，可查看该教师详细的评课记录，包括课程名称，授课老师和评课时间，进入详情可查看该教师对该课程的评价记录。支持导出教师评课记录数据表格。支持自定义设置学校专属评课表，系统预置中央电教馆 “一师一优课，一课一名师”、“教师通用评课表 - 评分制” 模板供使用。点评支持评分题、主观题等评价及拍照上传图片等功能。支持发布多张评课表，同时开展多学科、多个评课活动。评课表支持在线预览和设置权限，听课老师权限可以选择公开，无需登录 / 需要登录用户账号 / 绑定本校且需登录用户账号等选项。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4、支持查看全校教案总数、教师课件总数、校本教案及校本课件总数。同时支持按本周、本月、自定义时间段查看教案、课件等制作数量的排行，查看全校教师的教案、课件、校本教案 / 课件 / 微课，进行教案、课件及校本教案 / 课件 / 微课检查，让管理者总览全校教案、课件、微课编写制作情况，支持一键导出资源统计数据表格。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5、全校听评课数据统一汇总，数据包含全校本月评课节数，本月评课次数，累计评课节数和累计评课次数，了解听评课教研活动的开展情况。支持按评课人数 / 评课平均分查看全校排行详细数据。支持对不同评课维度得分进行统计，计算平均分并找出评分薄弱项，同时支持查看全校的课程评价记录和得分详情、教师评价记录，并可一键导出 Excel 表格。支持导出课程的评课报告为 PDF 文件，支持批量导出课程下所有老师的评课表为 Word 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6、支持管理员在教研数字化管理平台后台移动、删除、重命名教师上传至校本库的课件、教案、微课及多媒体等资源。校本资源库提供学科目录模板 / 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支持树形结构目录，进行资源分类及查找，支持全局资源搜索，按年级、学科筛选资源，支持查找资源后定位到当前资源文件夹。支持查看资源文件夹的创建者，资源的上传作者，更新时间、校本容量等数据。校本资源支持在线预览。管理员可对校本资源进行分类移动，删除或重命名，资源目录在编辑的界面支持同级拖拽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八、产品售后保障服务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1、全国 24 小时免费 400 电话保修、二维码扫描保修、区域化驻地技术工程师专线保修。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2、微信售后报修服务：快速输入相关问题及所在区域进行在线保修，贴心服务人员实时在线提供客服专线报修，更好更快的解决售后故障问题带来的使用不便。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3、微信问题查询服务：提供八大模块的问题查询及解决方案，现场完成简单故障的快速修复指导。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九、其他要求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1、为确保货物质量及原厂品质，中标供应商在正式供货时必须提供生产厂家针对此项目的售后服务保证原件、供货证明原件，否则采购方将不予验收通过。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2、打 “★” 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2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9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8F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30640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B8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30640 </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8592">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-19685</wp:posOffset>
                  </wp:positionH>
                  <wp:positionV relativeFrom="paragraph">
                    <wp:posOffset>-89535</wp:posOffset>
                  </wp:positionV>
                  <wp:extent cx="769620" cy="1000125"/>
                  <wp:effectExtent l="0" t="0" r="5080" b="3175"/>
                  <wp:wrapNone/>
                  <wp:docPr id="22" name="图片_6"/>
                  <wp:cNvGraphicFramePr/>
                  <a:graphic xmlns:a="http://schemas.openxmlformats.org/drawingml/2006/main">
                    <a:graphicData uri="http://schemas.openxmlformats.org/drawingml/2006/picture">
                      <pic:pic xmlns:pic="http://schemas.openxmlformats.org/drawingml/2006/picture">
                        <pic:nvPicPr>
                          <pic:cNvPr id="22" name="图片_6"/>
                          <pic:cNvPicPr/>
                        </pic:nvPicPr>
                        <pic:blipFill>
                          <a:blip r:embed="rId9"/>
                          <a:stretch>
                            <a:fillRect/>
                          </a:stretch>
                        </pic:blipFill>
                        <pic:spPr>
                          <a:xfrm>
                            <a:off x="0" y="0"/>
                            <a:ext cx="769620" cy="1000125"/>
                          </a:xfrm>
                          <a:prstGeom prst="rect">
                            <a:avLst/>
                          </a:prstGeom>
                          <a:noFill/>
                          <a:ln>
                            <a:noFill/>
                          </a:ln>
                        </pic:spPr>
                      </pic:pic>
                    </a:graphicData>
                  </a:graphic>
                </wp:anchor>
              </w:drawing>
            </w:r>
          </w:p>
        </w:tc>
      </w:tr>
      <w:tr w14:paraId="409D7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1B0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1300" w:type="dxa"/>
            <w:gridSpan w:val="2"/>
            <w:tcBorders>
              <w:top w:val="single" w:color="000000" w:sz="4" w:space="0"/>
              <w:left w:val="nil"/>
              <w:bottom w:val="single" w:color="000000" w:sz="4" w:space="0"/>
              <w:right w:val="single" w:color="000000" w:sz="4" w:space="0"/>
            </w:tcBorders>
            <w:shd w:val="clear" w:color="auto" w:fill="auto"/>
            <w:noWrap/>
            <w:vAlign w:val="center"/>
          </w:tcPr>
          <w:p w14:paraId="7BEC15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人民币大写</w:t>
            </w:r>
          </w:p>
        </w:tc>
        <w:tc>
          <w:tcPr>
            <w:tcW w:w="501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F8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陆万零伍拾元整</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B202">
            <w:pPr>
              <w:jc w:val="left"/>
              <w:rPr>
                <w:rFonts w:hint="eastAsia" w:ascii="宋体" w:hAnsi="宋体" w:eastAsia="宋体" w:cs="宋体"/>
                <w:b/>
                <w:bCs/>
                <w:i w:val="0"/>
                <w:iCs w:val="0"/>
                <w:color w:val="000000"/>
                <w:sz w:val="21"/>
                <w:szCs w:val="21"/>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C40E">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60050</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5C2A">
            <w:pPr>
              <w:jc w:val="left"/>
              <w:rPr>
                <w:rFonts w:hint="eastAsia" w:ascii="宋体" w:hAnsi="宋体" w:eastAsia="宋体" w:cs="宋体"/>
                <w:i w:val="0"/>
                <w:iCs w:val="0"/>
                <w:color w:val="000000"/>
                <w:sz w:val="21"/>
                <w:szCs w:val="21"/>
                <w:u w:val="none"/>
              </w:rPr>
            </w:pPr>
          </w:p>
        </w:tc>
      </w:tr>
    </w:tbl>
    <w:p w14:paraId="4726321E">
      <w:bookmarkStart w:id="0" w:name="_GoBack"/>
      <w:bookmarkEnd w:id="0"/>
    </w:p>
    <w:sectPr>
      <w:footerReference r:id="rId3" w:type="default"/>
      <w:pgSz w:w="11906" w:h="16838"/>
      <w:pgMar w:top="1270" w:right="1123" w:bottom="1270"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21E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1E7E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E1E7E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65E29"/>
    <w:rsid w:val="00EF6499"/>
    <w:rsid w:val="01315704"/>
    <w:rsid w:val="06EB629C"/>
    <w:rsid w:val="111D4066"/>
    <w:rsid w:val="1288053C"/>
    <w:rsid w:val="24443260"/>
    <w:rsid w:val="2F542EF1"/>
    <w:rsid w:val="3244724D"/>
    <w:rsid w:val="45C1217F"/>
    <w:rsid w:val="4ABB39CC"/>
    <w:rsid w:val="51BB3521"/>
    <w:rsid w:val="5DD67616"/>
    <w:rsid w:val="5DFB46ED"/>
    <w:rsid w:val="61B74A96"/>
    <w:rsid w:val="61DE64C6"/>
    <w:rsid w:val="64065861"/>
    <w:rsid w:val="6AFC176B"/>
    <w:rsid w:val="6B3F3219"/>
    <w:rsid w:val="776E39F1"/>
    <w:rsid w:val="7D165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17316</Words>
  <Characters>18663</Characters>
  <Lines>0</Lines>
  <Paragraphs>0</Paragraphs>
  <TotalTime>10</TotalTime>
  <ScaleCrop>false</ScaleCrop>
  <LinksUpToDate>false</LinksUpToDate>
  <CharactersWithSpaces>19239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2026-07-03T01:48:00Z</dcterms:created>
  <dc:creator>dell</dc:creator>
  <cp:lastModifiedBy>蘇蘇</cp:lastModifiedBy>
  <dcterms:modified xsi:type="dcterms:W3CDTF">2026-07-09T03:53:20Z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F470EF38A12F40CF8FC0AE0034ECFE68_11</vt:lpwstr>
  </property>
  <property fmtid="{D5CDD505-2E9C-101B-9397-08002B2CF9AE}" pid="4" name="KSOTemplateDocerSaveRecord">
    <vt:lpwstr>eyJoZGlkIjoiMjJhMjRkZTlhY2RjNDQ5NGQ4ZDJjNWFjMWNjNGE2ZjQiLCJ1c2VySWQiOiIyNDI4MTg5MjYifQ==</vt:lpwstr>
  </property>
</Properties>
</file>