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44D9A4">
      <w:pPr>
        <w:jc w:val="center"/>
        <w:rPr>
          <w:rFonts w:ascii="仿宋" w:hAnsi="仿宋" w:eastAsia="仿宋" w:cs="仿宋"/>
        </w:rPr>
      </w:pPr>
    </w:p>
    <w:p w14:paraId="5F5E13BC">
      <w:pPr>
        <w:jc w:val="center"/>
        <w:rPr>
          <w:rFonts w:ascii="仿宋" w:hAnsi="仿宋" w:eastAsia="仿宋" w:cs="仿宋"/>
        </w:rPr>
      </w:pPr>
    </w:p>
    <w:p w14:paraId="3728051D">
      <w:pPr>
        <w:jc w:val="center"/>
        <w:rPr>
          <w:rFonts w:ascii="仿宋" w:hAnsi="仿宋" w:eastAsia="仿宋" w:cs="仿宋"/>
        </w:rPr>
      </w:pPr>
    </w:p>
    <w:p w14:paraId="15590001">
      <w:pPr>
        <w:jc w:val="center"/>
        <w:rPr>
          <w:rFonts w:ascii="仿宋" w:hAnsi="仿宋" w:eastAsia="仿宋" w:cs="仿宋"/>
        </w:rPr>
      </w:pPr>
    </w:p>
    <w:p w14:paraId="1261F15F">
      <w:pPr>
        <w:jc w:val="center"/>
        <w:rPr>
          <w:rFonts w:ascii="仿宋" w:hAnsi="仿宋" w:eastAsia="仿宋" w:cs="仿宋"/>
        </w:rPr>
      </w:pPr>
    </w:p>
    <w:p w14:paraId="5275762B">
      <w:pPr>
        <w:jc w:val="center"/>
        <w:rPr>
          <w:rFonts w:ascii="仿宋" w:hAnsi="仿宋" w:eastAsia="仿宋" w:cs="仿宋"/>
        </w:rPr>
      </w:pPr>
    </w:p>
    <w:p w14:paraId="7F433359">
      <w:pPr>
        <w:jc w:val="center"/>
        <w:rPr>
          <w:rFonts w:ascii="仿宋" w:hAnsi="仿宋" w:eastAsia="仿宋" w:cs="仿宋"/>
        </w:rPr>
      </w:pPr>
    </w:p>
    <w:p w14:paraId="5015D478">
      <w:pPr>
        <w:jc w:val="center"/>
        <w:rPr>
          <w:rFonts w:ascii="仿宋" w:hAnsi="仿宋" w:eastAsia="仿宋" w:cs="仿宋"/>
        </w:rPr>
      </w:pPr>
    </w:p>
    <w:p w14:paraId="7084D23D">
      <w:pPr>
        <w:pStyle w:val="6"/>
      </w:pPr>
    </w:p>
    <w:p w14:paraId="3282556A">
      <w:pPr>
        <w:jc w:val="center"/>
        <w:rPr>
          <w:rFonts w:ascii="仿宋" w:hAnsi="仿宋" w:eastAsia="仿宋" w:cs="仿宋"/>
        </w:rPr>
      </w:pPr>
    </w:p>
    <w:p w14:paraId="4D1382AC">
      <w:pPr>
        <w:spacing w:line="586" w:lineRule="exact"/>
        <w:jc w:val="center"/>
        <w:rPr>
          <w:rFonts w:ascii="黑体" w:hAnsi="黑体" w:eastAsia="黑体" w:cs="黑体"/>
          <w:sz w:val="44"/>
          <w:szCs w:val="44"/>
        </w:rPr>
      </w:pPr>
    </w:p>
    <w:p w14:paraId="0088DF0C">
      <w:pPr>
        <w:spacing w:line="586" w:lineRule="exact"/>
        <w:jc w:val="both"/>
        <w:rPr>
          <w:rFonts w:ascii="方正小标宋简体" w:hAnsi="方正小标宋简体" w:eastAsia="方正小标宋简体" w:cs="方正小标宋简体"/>
        </w:rPr>
      </w:pPr>
      <w:r>
        <w:rPr>
          <w:rFonts w:hint="eastAsia" w:ascii="方正小标宋简体" w:hAnsi="方正小标宋简体" w:eastAsia="方正小标宋简体" w:cs="方正小标宋简体"/>
          <w:spacing w:val="-20"/>
          <w:sz w:val="44"/>
          <w:szCs w:val="44"/>
        </w:rPr>
        <w:t>柳州监狱行政办公楼电梯采购及安装（含拆卸旧梯）</w:t>
      </w:r>
    </w:p>
    <w:p w14:paraId="1DE18BAE">
      <w:pPr>
        <w:rPr>
          <w:rFonts w:ascii="仿宋" w:hAnsi="仿宋" w:eastAsia="仿宋" w:cs="仿宋"/>
        </w:rPr>
      </w:pPr>
    </w:p>
    <w:p w14:paraId="70B84E27">
      <w:pPr>
        <w:rPr>
          <w:rFonts w:ascii="仿宋" w:hAnsi="仿宋" w:eastAsia="仿宋" w:cs="仿宋"/>
        </w:rPr>
      </w:pPr>
    </w:p>
    <w:p w14:paraId="699B1F7F">
      <w:pPr>
        <w:pStyle w:val="6"/>
        <w:rPr>
          <w:rFonts w:ascii="仿宋" w:hAnsi="仿宋" w:eastAsia="仿宋" w:cs="仿宋"/>
        </w:rPr>
      </w:pPr>
    </w:p>
    <w:p w14:paraId="7F142DF7">
      <w:pPr>
        <w:rPr>
          <w:rFonts w:ascii="仿宋" w:hAnsi="仿宋" w:eastAsia="仿宋" w:cs="仿宋"/>
        </w:rPr>
      </w:pPr>
    </w:p>
    <w:p w14:paraId="44344CF9">
      <w:pPr>
        <w:pStyle w:val="6"/>
        <w:rPr>
          <w:rFonts w:ascii="仿宋" w:hAnsi="仿宋" w:eastAsia="仿宋" w:cs="仿宋"/>
        </w:rPr>
      </w:pPr>
    </w:p>
    <w:p w14:paraId="2579CA32">
      <w:pPr>
        <w:rPr>
          <w:rFonts w:ascii="仿宋" w:hAnsi="仿宋" w:eastAsia="仿宋" w:cs="仿宋"/>
        </w:rPr>
      </w:pPr>
    </w:p>
    <w:p w14:paraId="7ED8DCDB">
      <w:pPr>
        <w:pStyle w:val="6"/>
        <w:jc w:val="both"/>
        <w:rPr>
          <w:rFonts w:hint="eastAsia" w:ascii="仿宋" w:hAnsi="仿宋" w:eastAsia="仿宋" w:cs="仿宋"/>
        </w:rPr>
      </w:pPr>
    </w:p>
    <w:p w14:paraId="609DC5A0">
      <w:pPr>
        <w:rPr>
          <w:rFonts w:ascii="仿宋" w:hAnsi="仿宋" w:eastAsia="仿宋" w:cs="仿宋"/>
        </w:rPr>
      </w:pPr>
    </w:p>
    <w:p w14:paraId="1FB385EF">
      <w:pPr>
        <w:jc w:val="center"/>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 xml:space="preserve">   </w:t>
      </w:r>
      <w:r>
        <w:rPr>
          <w:rFonts w:hint="eastAsia" w:ascii="仿宋_GB2312" w:hAnsi="仿宋_GB2312" w:eastAsia="仿宋_GB2312" w:cs="仿宋_GB2312"/>
          <w:sz w:val="30"/>
          <w:szCs w:val="30"/>
        </w:rPr>
        <w:t>采购单位：广西</w:t>
      </w:r>
      <w:r>
        <w:rPr>
          <w:rFonts w:hint="eastAsia" w:ascii="仿宋_GB2312" w:hAnsi="仿宋_GB2312" w:eastAsia="仿宋_GB2312" w:cs="仿宋_GB2312"/>
          <w:sz w:val="30"/>
          <w:szCs w:val="30"/>
          <w:lang w:val="en-US" w:eastAsia="zh-CN"/>
        </w:rPr>
        <w:t>壮族自治区柳州监狱</w:t>
      </w:r>
    </w:p>
    <w:p w14:paraId="306C9D62">
      <w:pPr>
        <w:ind w:firstLine="2100" w:firstLineChars="700"/>
        <w:jc w:val="both"/>
        <w:rPr>
          <w:rFonts w:hint="default"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采购时间：2026年7月</w:t>
      </w:r>
    </w:p>
    <w:p w14:paraId="4525F080">
      <w:pPr>
        <w:rPr>
          <w:rFonts w:ascii="仿宋" w:hAnsi="仿宋" w:eastAsia="仿宋" w:cs="仿宋"/>
        </w:rPr>
      </w:pPr>
    </w:p>
    <w:p w14:paraId="5B882DB3">
      <w:pPr>
        <w:rPr>
          <w:rFonts w:ascii="仿宋" w:hAnsi="仿宋" w:eastAsia="仿宋" w:cs="仿宋"/>
        </w:rPr>
      </w:pPr>
    </w:p>
    <w:p w14:paraId="124E05A5">
      <w:pPr>
        <w:jc w:val="center"/>
        <w:rPr>
          <w:rFonts w:ascii="仿宋" w:hAnsi="仿宋" w:eastAsia="仿宋" w:cs="仿宋"/>
          <w:b/>
          <w:bCs/>
          <w:sz w:val="32"/>
          <w:szCs w:val="32"/>
        </w:rPr>
        <w:sectPr>
          <w:footerReference r:id="rId3" w:type="default"/>
          <w:pgSz w:w="11906" w:h="16838"/>
          <w:pgMar w:top="1440" w:right="1486" w:bottom="1440" w:left="1800" w:header="851" w:footer="992" w:gutter="0"/>
          <w:cols w:space="425" w:num="1"/>
          <w:docGrid w:type="lines" w:linePitch="312" w:charSpace="0"/>
        </w:sectPr>
      </w:pPr>
    </w:p>
    <w:p w14:paraId="563B47B5">
      <w:pPr>
        <w:jc w:val="center"/>
        <w:rPr>
          <w:rFonts w:ascii="仿宋" w:hAnsi="仿宋" w:eastAsia="仿宋" w:cs="仿宋"/>
          <w:b/>
          <w:bCs/>
        </w:rPr>
      </w:pPr>
      <w:r>
        <w:rPr>
          <w:rFonts w:hint="eastAsia" w:ascii="仿宋" w:hAnsi="仿宋" w:eastAsia="仿宋" w:cs="仿宋"/>
          <w:b/>
          <w:bCs/>
          <w:sz w:val="32"/>
          <w:szCs w:val="32"/>
        </w:rPr>
        <w:t>采购需求表</w:t>
      </w:r>
    </w:p>
    <w:tbl>
      <w:tblPr>
        <w:tblStyle w:val="1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
        <w:gridCol w:w="1220"/>
        <w:gridCol w:w="803"/>
        <w:gridCol w:w="7420"/>
      </w:tblGrid>
      <w:tr w14:paraId="5A5DD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75" w:type="dxa"/>
            <w:gridSpan w:val="4"/>
          </w:tcPr>
          <w:p w14:paraId="3B3AD082">
            <w:pPr>
              <w:rPr>
                <w:rFonts w:ascii="宋体" w:hAnsi="宋体" w:eastAsia="宋体" w:cs="宋体"/>
                <w:b/>
                <w:bCs/>
              </w:rPr>
            </w:pPr>
            <w:r>
              <w:rPr>
                <w:rFonts w:hint="eastAsia" w:ascii="宋体" w:hAnsi="宋体" w:eastAsia="宋体" w:cs="宋体"/>
                <w:b/>
                <w:bCs/>
              </w:rPr>
              <w:t>注：本表价格单位为人民币元。</w:t>
            </w:r>
          </w:p>
        </w:tc>
      </w:tr>
      <w:tr w14:paraId="1D97A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75" w:type="dxa"/>
            <w:gridSpan w:val="4"/>
          </w:tcPr>
          <w:p w14:paraId="5D40E4D5">
            <w:pPr>
              <w:rPr>
                <w:rFonts w:ascii="宋体" w:hAnsi="宋体" w:eastAsia="宋体" w:cs="宋体"/>
                <w:b/>
                <w:bCs/>
              </w:rPr>
            </w:pPr>
            <w:r>
              <w:rPr>
                <w:rFonts w:hint="eastAsia"/>
                <w:b/>
              </w:rPr>
              <w:t>采购</w:t>
            </w:r>
            <w:r>
              <w:rPr>
                <w:b/>
              </w:rPr>
              <w:t>需求表中标注</w:t>
            </w:r>
            <w:r>
              <w:rPr>
                <w:rFonts w:hint="eastAsia" w:hAnsi="宋体" w:cs="宋体"/>
                <w:b/>
                <w:bCs/>
                <w:kern w:val="0"/>
              </w:rPr>
              <w:t>▲</w:t>
            </w:r>
            <w:r>
              <w:rPr>
                <w:b/>
              </w:rPr>
              <w:t>号的内容为实质性要求和条件，必须完全响应，否则按无效投标处理。</w:t>
            </w:r>
          </w:p>
        </w:tc>
      </w:tr>
      <w:tr w14:paraId="09F72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75" w:type="dxa"/>
            <w:gridSpan w:val="4"/>
          </w:tcPr>
          <w:p w14:paraId="5D4DBA76">
            <w:pPr>
              <w:rPr>
                <w:b/>
              </w:rPr>
            </w:pPr>
            <w:r>
              <w:rPr>
                <w:rFonts w:hint="eastAsia" w:ascii="宋体" w:hAnsi="宋体"/>
                <w:b/>
                <w:bCs/>
              </w:rPr>
              <w:t>本次采购内容主要包括：旧梯拆除工程、新梯采购、安装维护服务等</w:t>
            </w:r>
          </w:p>
        </w:tc>
      </w:tr>
      <w:tr w14:paraId="1B299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9975" w:type="dxa"/>
            <w:gridSpan w:val="4"/>
            <w:vAlign w:val="center"/>
          </w:tcPr>
          <w:p w14:paraId="692713A5">
            <w:pPr>
              <w:jc w:val="center"/>
              <w:rPr>
                <w:rFonts w:ascii="宋体" w:hAnsi="宋体" w:eastAsia="宋体" w:cs="宋体"/>
                <w:b/>
                <w:bCs/>
              </w:rPr>
            </w:pPr>
            <w:r>
              <w:rPr>
                <w:rFonts w:hint="eastAsia" w:ascii="宋体" w:hAnsi="宋体" w:eastAsia="宋体" w:cs="宋体"/>
                <w:b/>
                <w:bCs/>
              </w:rPr>
              <w:t>一、项目要求及技术需求</w:t>
            </w:r>
          </w:p>
        </w:tc>
      </w:tr>
      <w:tr w14:paraId="00969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9975" w:type="dxa"/>
            <w:gridSpan w:val="4"/>
          </w:tcPr>
          <w:p w14:paraId="266B61E0">
            <w:pPr>
              <w:spacing w:line="360" w:lineRule="auto"/>
              <w:jc w:val="left"/>
              <w:rPr>
                <w:rFonts w:ascii="宋体" w:hAnsi="宋体" w:eastAsia="宋体" w:cs="宋体"/>
                <w:b/>
                <w:bCs/>
                <w:sz w:val="28"/>
                <w:szCs w:val="28"/>
              </w:rPr>
            </w:pPr>
            <w:r>
              <w:rPr>
                <w:rFonts w:hint="eastAsia" w:ascii="宋体" w:hAnsi="宋体" w:eastAsia="宋体" w:cs="宋体"/>
                <w:b/>
                <w:bCs/>
                <w:sz w:val="22"/>
                <w:szCs w:val="22"/>
              </w:rPr>
              <w:t>预算总价：</w:t>
            </w:r>
            <w:r>
              <w:rPr>
                <w:rFonts w:hint="eastAsia" w:ascii="宋体" w:hAnsi="宋体" w:eastAsia="宋体" w:cs="宋体"/>
                <w:b/>
                <w:bCs/>
                <w:szCs w:val="21"/>
              </w:rPr>
              <w:t>￥ 499435.6</w:t>
            </w:r>
            <w:r>
              <w:rPr>
                <w:rFonts w:hint="eastAsia" w:ascii="宋体" w:hAnsi="宋体" w:eastAsia="宋体" w:cs="宋体"/>
                <w:b/>
                <w:bCs/>
                <w:szCs w:val="21"/>
                <w:lang w:val="en-US" w:eastAsia="zh-CN"/>
              </w:rPr>
              <w:t>0</w:t>
            </w:r>
            <w:r>
              <w:rPr>
                <w:rFonts w:hint="eastAsia" w:ascii="宋体" w:hAnsi="宋体" w:eastAsia="宋体" w:cs="宋体"/>
                <w:b/>
                <w:bCs/>
                <w:szCs w:val="21"/>
              </w:rPr>
              <w:t>元</w:t>
            </w:r>
          </w:p>
        </w:tc>
      </w:tr>
      <w:tr w14:paraId="7420C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532" w:type="dxa"/>
            <w:vAlign w:val="center"/>
          </w:tcPr>
          <w:p w14:paraId="2B7E7D29">
            <w:pPr>
              <w:spacing w:line="300" w:lineRule="exact"/>
              <w:jc w:val="center"/>
              <w:rPr>
                <w:rFonts w:ascii="宋体" w:hAnsi="宋体" w:eastAsia="宋体" w:cs="宋体"/>
                <w:b/>
                <w:bCs/>
              </w:rPr>
            </w:pPr>
            <w:r>
              <w:rPr>
                <w:rFonts w:hint="eastAsia" w:ascii="宋体" w:hAnsi="宋体" w:eastAsia="宋体" w:cs="宋体"/>
                <w:b/>
                <w:bCs/>
              </w:rPr>
              <w:t>序号</w:t>
            </w:r>
          </w:p>
        </w:tc>
        <w:tc>
          <w:tcPr>
            <w:tcW w:w="1220" w:type="dxa"/>
            <w:vAlign w:val="center"/>
          </w:tcPr>
          <w:p w14:paraId="2E9446C5">
            <w:pPr>
              <w:spacing w:line="300" w:lineRule="exact"/>
              <w:jc w:val="center"/>
              <w:rPr>
                <w:rFonts w:ascii="宋体" w:hAnsi="宋体" w:eastAsia="宋体" w:cs="宋体"/>
                <w:b/>
                <w:bCs/>
              </w:rPr>
            </w:pPr>
            <w:r>
              <w:rPr>
                <w:rFonts w:hint="eastAsia" w:ascii="宋体" w:hAnsi="宋体" w:eastAsia="宋体" w:cs="宋体"/>
                <w:b/>
                <w:bCs/>
              </w:rPr>
              <w:t>产品名称</w:t>
            </w:r>
          </w:p>
        </w:tc>
        <w:tc>
          <w:tcPr>
            <w:tcW w:w="803" w:type="dxa"/>
            <w:vAlign w:val="center"/>
          </w:tcPr>
          <w:p w14:paraId="096BAD61">
            <w:pPr>
              <w:spacing w:line="300" w:lineRule="exact"/>
              <w:jc w:val="center"/>
              <w:rPr>
                <w:rFonts w:ascii="宋体" w:hAnsi="宋体" w:eastAsia="宋体" w:cs="宋体"/>
                <w:b/>
                <w:bCs/>
              </w:rPr>
            </w:pPr>
            <w:r>
              <w:rPr>
                <w:rFonts w:hint="eastAsia" w:ascii="宋体" w:hAnsi="宋体" w:eastAsia="宋体" w:cs="宋体"/>
                <w:b/>
                <w:bCs/>
              </w:rPr>
              <w:t>数量</w:t>
            </w:r>
          </w:p>
        </w:tc>
        <w:tc>
          <w:tcPr>
            <w:tcW w:w="7420" w:type="dxa"/>
            <w:vAlign w:val="center"/>
          </w:tcPr>
          <w:p w14:paraId="02E707BE">
            <w:pPr>
              <w:jc w:val="center"/>
              <w:rPr>
                <w:rFonts w:ascii="宋体" w:hAnsi="宋体" w:eastAsia="宋体" w:cs="宋体"/>
                <w:b/>
                <w:bCs/>
              </w:rPr>
            </w:pPr>
            <w:r>
              <w:rPr>
                <w:rFonts w:hint="eastAsia" w:ascii="宋体" w:hAnsi="宋体" w:eastAsia="宋体" w:cs="宋体"/>
                <w:b/>
                <w:bCs/>
              </w:rPr>
              <w:t>技术参数及性能配置要求</w:t>
            </w:r>
          </w:p>
        </w:tc>
      </w:tr>
      <w:tr w14:paraId="09886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2" w:type="dxa"/>
            <w:vAlign w:val="center"/>
          </w:tcPr>
          <w:p w14:paraId="28898FF4">
            <w:pPr>
              <w:jc w:val="center"/>
              <w:rPr>
                <w:rFonts w:hint="eastAsia" w:ascii="宋体" w:hAnsi="宋体" w:eastAsia="宋体" w:cs="宋体"/>
                <w:lang w:eastAsia="zh-CN"/>
              </w:rPr>
            </w:pPr>
            <w:r>
              <w:rPr>
                <w:rFonts w:hint="eastAsia" w:ascii="宋体" w:hAnsi="宋体" w:eastAsia="宋体" w:cs="宋体"/>
                <w:b/>
                <w:bCs/>
                <w:lang w:val="en-US" w:eastAsia="zh-CN"/>
              </w:rPr>
              <w:t>1</w:t>
            </w:r>
          </w:p>
        </w:tc>
        <w:tc>
          <w:tcPr>
            <w:tcW w:w="1220" w:type="dxa"/>
            <w:vAlign w:val="center"/>
          </w:tcPr>
          <w:p w14:paraId="40644966">
            <w:pPr>
              <w:rPr>
                <w:rFonts w:ascii="宋体" w:hAnsi="宋体" w:eastAsia="宋体" w:cs="宋体"/>
              </w:rPr>
            </w:pPr>
          </w:p>
          <w:p w14:paraId="6260AC03">
            <w:pPr>
              <w:jc w:val="center"/>
              <w:rPr>
                <w:rFonts w:ascii="宋体" w:hAnsi="宋体" w:eastAsia="宋体" w:cs="宋体"/>
              </w:rPr>
            </w:pPr>
          </w:p>
          <w:p w14:paraId="5DA830A9">
            <w:pPr>
              <w:spacing w:line="360" w:lineRule="auto"/>
              <w:jc w:val="center"/>
              <w:rPr>
                <w:rFonts w:ascii="宋体" w:hAnsi="宋体" w:eastAsia="宋体" w:cs="宋体"/>
                <w:b/>
                <w:bCs/>
              </w:rPr>
            </w:pPr>
            <w:r>
              <w:rPr>
                <w:rFonts w:hint="eastAsia" w:ascii="宋体" w:hAnsi="宋体" w:eastAsia="宋体" w:cs="宋体"/>
                <w:b/>
                <w:bCs/>
              </w:rPr>
              <w:t>有机房乘客电梯</w:t>
            </w:r>
          </w:p>
          <w:p w14:paraId="185FA63A">
            <w:pPr>
              <w:spacing w:line="100" w:lineRule="exact"/>
              <w:jc w:val="center"/>
              <w:rPr>
                <w:rFonts w:ascii="宋体" w:hAnsi="宋体" w:eastAsia="宋体" w:cs="宋体"/>
                <w:b/>
                <w:bCs/>
              </w:rPr>
            </w:pPr>
          </w:p>
          <w:p w14:paraId="771BC61A">
            <w:pPr>
              <w:jc w:val="center"/>
              <w:rPr>
                <w:rFonts w:ascii="宋体" w:hAnsi="宋体" w:eastAsia="宋体" w:cs="宋体"/>
                <w:b/>
                <w:bCs/>
              </w:rPr>
            </w:pPr>
          </w:p>
          <w:p w14:paraId="7F8BC4F5">
            <w:pPr>
              <w:jc w:val="center"/>
              <w:rPr>
                <w:rFonts w:ascii="宋体" w:hAnsi="宋体" w:eastAsia="宋体" w:cs="宋体"/>
              </w:rPr>
            </w:pPr>
          </w:p>
        </w:tc>
        <w:tc>
          <w:tcPr>
            <w:tcW w:w="803" w:type="dxa"/>
            <w:vAlign w:val="center"/>
          </w:tcPr>
          <w:p w14:paraId="300FF267">
            <w:pPr>
              <w:jc w:val="center"/>
              <w:rPr>
                <w:rFonts w:ascii="宋体" w:hAnsi="宋体" w:eastAsia="宋体" w:cs="宋体"/>
              </w:rPr>
            </w:pPr>
            <w:r>
              <w:rPr>
                <w:rFonts w:hint="eastAsia" w:ascii="宋体" w:hAnsi="宋体" w:eastAsia="宋体" w:cs="宋体"/>
                <w:b/>
                <w:bCs/>
                <w:lang w:val="en-US" w:eastAsia="zh-CN"/>
              </w:rPr>
              <w:t>2</w:t>
            </w:r>
            <w:r>
              <w:rPr>
                <w:rFonts w:hint="eastAsia" w:ascii="宋体" w:hAnsi="宋体" w:eastAsia="宋体" w:cs="宋体"/>
                <w:b/>
                <w:bCs/>
              </w:rPr>
              <w:t>台</w:t>
            </w:r>
          </w:p>
        </w:tc>
        <w:tc>
          <w:tcPr>
            <w:tcW w:w="7420" w:type="dxa"/>
          </w:tcPr>
          <w:p w14:paraId="6ED31595">
            <w:pPr>
              <w:spacing w:line="420" w:lineRule="exact"/>
              <w:rPr>
                <w:rFonts w:asciiTheme="minorEastAsia" w:hAnsiTheme="minorEastAsia" w:cstheme="minorEastAsia"/>
                <w:b/>
                <w:bCs/>
                <w:szCs w:val="21"/>
              </w:rPr>
            </w:pPr>
            <w:r>
              <w:rPr>
                <w:rFonts w:hint="eastAsia" w:asciiTheme="minorEastAsia" w:hAnsiTheme="minorEastAsia" w:cstheme="minorEastAsia"/>
                <w:b/>
                <w:bCs/>
                <w:szCs w:val="21"/>
              </w:rPr>
              <w:t>（一）技术规格参数要求：</w:t>
            </w:r>
          </w:p>
          <w:p w14:paraId="1DE02A2A">
            <w:pPr>
              <w:spacing w:line="420" w:lineRule="exact"/>
              <w:rPr>
                <w:rFonts w:hint="eastAsia" w:asciiTheme="minorEastAsia" w:hAnsiTheme="minorEastAsia" w:cstheme="minorEastAsia"/>
                <w:bCs/>
                <w:szCs w:val="21"/>
              </w:rPr>
            </w:pPr>
            <w:r>
              <w:rPr>
                <w:rFonts w:hint="eastAsia" w:asciiTheme="minorEastAsia" w:hAnsiTheme="minorEastAsia" w:cstheme="minorEastAsia"/>
                <w:bCs/>
                <w:szCs w:val="21"/>
              </w:rPr>
              <w:t>品牌：日立</w:t>
            </w:r>
          </w:p>
          <w:p w14:paraId="258EBFA1">
            <w:pPr>
              <w:spacing w:line="420" w:lineRule="exact"/>
              <w:rPr>
                <w:rFonts w:hint="eastAsia" w:asciiTheme="minorEastAsia" w:hAnsiTheme="minorEastAsia" w:cstheme="minorEastAsia"/>
                <w:bCs/>
                <w:szCs w:val="21"/>
              </w:rPr>
            </w:pPr>
            <w:r>
              <w:rPr>
                <w:rFonts w:hint="eastAsia" w:asciiTheme="minorEastAsia" w:hAnsiTheme="minorEastAsia" w:cstheme="minorEastAsia"/>
                <w:bCs/>
                <w:szCs w:val="21"/>
              </w:rPr>
              <w:t>型号：HGE-1050-CO60</w:t>
            </w:r>
          </w:p>
          <w:p w14:paraId="4F660524">
            <w:pPr>
              <w:spacing w:line="420" w:lineRule="exact"/>
              <w:rPr>
                <w:rFonts w:hint="eastAsia" w:asciiTheme="minorEastAsia" w:hAnsiTheme="minorEastAsia" w:cstheme="minorEastAsia"/>
                <w:bCs/>
                <w:szCs w:val="21"/>
              </w:rPr>
            </w:pPr>
            <w:r>
              <w:rPr>
                <w:rFonts w:hint="eastAsia" w:asciiTheme="minorEastAsia" w:hAnsiTheme="minorEastAsia" w:cstheme="minorEastAsia"/>
                <w:bCs/>
                <w:szCs w:val="21"/>
              </w:rPr>
              <w:t>载重量：1050kg</w:t>
            </w:r>
          </w:p>
          <w:p w14:paraId="36E6F8E3">
            <w:pPr>
              <w:spacing w:line="420" w:lineRule="exact"/>
              <w:rPr>
                <w:rFonts w:hint="eastAsia" w:asciiTheme="minorEastAsia" w:hAnsiTheme="minorEastAsia" w:cstheme="minorEastAsia"/>
                <w:bCs/>
                <w:szCs w:val="21"/>
              </w:rPr>
            </w:pPr>
            <w:r>
              <w:rPr>
                <w:rFonts w:hint="eastAsia" w:asciiTheme="minorEastAsia" w:hAnsiTheme="minorEastAsia" w:cstheme="minorEastAsia"/>
                <w:bCs/>
                <w:szCs w:val="21"/>
              </w:rPr>
              <w:t>速度：1m/s</w:t>
            </w:r>
          </w:p>
          <w:p w14:paraId="2CC2EC0F">
            <w:pPr>
              <w:spacing w:line="420" w:lineRule="exact"/>
              <w:rPr>
                <w:rFonts w:hint="eastAsia" w:asciiTheme="minorEastAsia" w:hAnsiTheme="minorEastAsia" w:cstheme="minorEastAsia"/>
                <w:bCs/>
                <w:szCs w:val="21"/>
              </w:rPr>
            </w:pPr>
            <w:r>
              <w:rPr>
                <w:rFonts w:hint="eastAsia" w:asciiTheme="minorEastAsia" w:hAnsiTheme="minorEastAsia" w:cstheme="minorEastAsia"/>
                <w:bCs/>
                <w:szCs w:val="21"/>
              </w:rPr>
              <w:t>层站门：7/7/7</w:t>
            </w:r>
          </w:p>
          <w:p w14:paraId="767787B1">
            <w:pPr>
              <w:spacing w:line="420" w:lineRule="exact"/>
              <w:rPr>
                <w:rFonts w:hint="eastAsia" w:asciiTheme="minorEastAsia" w:hAnsiTheme="minorEastAsia" w:cstheme="minorEastAsia"/>
                <w:bCs/>
                <w:szCs w:val="21"/>
              </w:rPr>
            </w:pPr>
            <w:r>
              <w:rPr>
                <w:rFonts w:hint="eastAsia" w:asciiTheme="minorEastAsia" w:hAnsiTheme="minorEastAsia" w:cstheme="minorEastAsia"/>
                <w:bCs/>
                <w:szCs w:val="21"/>
              </w:rPr>
              <w:t>驱动方式：微机控制交流变频调压调速（VVVF）</w:t>
            </w:r>
          </w:p>
          <w:p w14:paraId="060783CD">
            <w:pPr>
              <w:spacing w:line="420" w:lineRule="exact"/>
              <w:rPr>
                <w:rFonts w:hint="eastAsia" w:asciiTheme="minorEastAsia" w:hAnsiTheme="minorEastAsia" w:cstheme="minorEastAsia"/>
                <w:bCs/>
                <w:szCs w:val="21"/>
              </w:rPr>
            </w:pPr>
            <w:r>
              <w:rPr>
                <w:rFonts w:hint="eastAsia" w:asciiTheme="minorEastAsia" w:hAnsiTheme="minorEastAsia" w:cstheme="minorEastAsia"/>
                <w:bCs/>
                <w:szCs w:val="21"/>
              </w:rPr>
              <w:t>动力电源：三相五线制，交流380伏50赫兹</w:t>
            </w:r>
          </w:p>
          <w:p w14:paraId="693F1DB6">
            <w:pPr>
              <w:spacing w:line="420" w:lineRule="exact"/>
              <w:rPr>
                <w:rFonts w:hint="eastAsia" w:asciiTheme="minorEastAsia" w:hAnsiTheme="minorEastAsia" w:cstheme="minorEastAsia"/>
                <w:bCs/>
                <w:szCs w:val="21"/>
              </w:rPr>
            </w:pPr>
            <w:r>
              <w:rPr>
                <w:rFonts w:hint="eastAsia" w:asciiTheme="minorEastAsia" w:hAnsiTheme="minorEastAsia" w:cstheme="minorEastAsia"/>
                <w:bCs/>
                <w:szCs w:val="21"/>
              </w:rPr>
              <w:t>制作标准：国标</w:t>
            </w:r>
          </w:p>
          <w:p w14:paraId="65B5CAFD">
            <w:pPr>
              <w:spacing w:line="420" w:lineRule="exact"/>
              <w:rPr>
                <w:rFonts w:hint="eastAsia" w:asciiTheme="minorEastAsia" w:hAnsiTheme="minorEastAsia" w:cstheme="minorEastAsia"/>
                <w:bCs/>
                <w:szCs w:val="21"/>
              </w:rPr>
            </w:pPr>
            <w:r>
              <w:rPr>
                <w:rFonts w:hint="eastAsia" w:asciiTheme="minorEastAsia" w:hAnsiTheme="minorEastAsia" w:cstheme="minorEastAsia"/>
                <w:bCs/>
                <w:szCs w:val="21"/>
              </w:rPr>
              <w:t>井道尺寸(宽×深)：2200*2000mm</w:t>
            </w:r>
          </w:p>
          <w:p w14:paraId="6B081115">
            <w:pPr>
              <w:spacing w:line="420" w:lineRule="exact"/>
              <w:rPr>
                <w:rFonts w:hint="eastAsia" w:asciiTheme="minorEastAsia" w:hAnsiTheme="minorEastAsia" w:cstheme="minorEastAsia"/>
                <w:bCs/>
                <w:szCs w:val="21"/>
              </w:rPr>
            </w:pPr>
            <w:r>
              <w:rPr>
                <w:rFonts w:hint="eastAsia" w:asciiTheme="minorEastAsia" w:hAnsiTheme="minorEastAsia" w:cstheme="minorEastAsia"/>
                <w:bCs/>
                <w:szCs w:val="21"/>
              </w:rPr>
              <w:t>井道总高：27.5m</w:t>
            </w:r>
          </w:p>
          <w:p w14:paraId="1BB00C58">
            <w:pPr>
              <w:spacing w:line="420" w:lineRule="exact"/>
              <w:rPr>
                <w:rFonts w:hint="eastAsia" w:asciiTheme="minorEastAsia" w:hAnsiTheme="minorEastAsia" w:cstheme="minorEastAsia"/>
                <w:bCs/>
                <w:szCs w:val="21"/>
              </w:rPr>
            </w:pPr>
            <w:r>
              <w:rPr>
                <w:rFonts w:hint="eastAsia" w:asciiTheme="minorEastAsia" w:hAnsiTheme="minorEastAsia" w:cstheme="minorEastAsia"/>
                <w:bCs/>
                <w:szCs w:val="21"/>
              </w:rPr>
              <w:t>提升高度：21.9m</w:t>
            </w:r>
          </w:p>
          <w:p w14:paraId="1A6D561C">
            <w:pPr>
              <w:spacing w:line="420" w:lineRule="exact"/>
              <w:rPr>
                <w:rFonts w:hint="eastAsia" w:asciiTheme="minorEastAsia" w:hAnsiTheme="minorEastAsia" w:cstheme="minorEastAsia"/>
                <w:bCs/>
                <w:szCs w:val="21"/>
              </w:rPr>
            </w:pPr>
            <w:r>
              <w:rPr>
                <w:rFonts w:hint="eastAsia" w:asciiTheme="minorEastAsia" w:hAnsiTheme="minorEastAsia" w:cstheme="minorEastAsia"/>
                <w:bCs/>
                <w:szCs w:val="21"/>
              </w:rPr>
              <w:t>顶层净高：4050mm</w:t>
            </w:r>
          </w:p>
          <w:p w14:paraId="5BC0CEA3">
            <w:pPr>
              <w:spacing w:line="420" w:lineRule="exact"/>
              <w:rPr>
                <w:rFonts w:hint="eastAsia" w:asciiTheme="minorEastAsia" w:hAnsiTheme="minorEastAsia" w:cstheme="minorEastAsia"/>
                <w:bCs/>
                <w:szCs w:val="21"/>
              </w:rPr>
            </w:pPr>
            <w:r>
              <w:rPr>
                <w:rFonts w:hint="eastAsia" w:asciiTheme="minorEastAsia" w:hAnsiTheme="minorEastAsia" w:cstheme="minorEastAsia"/>
                <w:bCs/>
                <w:szCs w:val="21"/>
              </w:rPr>
              <w:t>底坑净深：1550mm</w:t>
            </w:r>
          </w:p>
          <w:p w14:paraId="11A53280">
            <w:pPr>
              <w:spacing w:line="420" w:lineRule="exact"/>
              <w:rPr>
                <w:rFonts w:hint="eastAsia" w:asciiTheme="minorEastAsia" w:hAnsiTheme="minorEastAsia" w:cstheme="minorEastAsia"/>
                <w:bCs/>
                <w:szCs w:val="21"/>
              </w:rPr>
            </w:pPr>
            <w:r>
              <w:rPr>
                <w:rFonts w:hint="eastAsia" w:asciiTheme="minorEastAsia" w:hAnsiTheme="minorEastAsia" w:cstheme="minorEastAsia"/>
                <w:bCs/>
                <w:szCs w:val="21"/>
              </w:rPr>
              <w:t>轿厢高度：2300mm</w:t>
            </w:r>
          </w:p>
          <w:p w14:paraId="25C29A28">
            <w:pPr>
              <w:spacing w:line="420" w:lineRule="exact"/>
              <w:rPr>
                <w:rFonts w:asciiTheme="minorEastAsia" w:hAnsiTheme="minorEastAsia" w:cstheme="minorEastAsia"/>
                <w:bCs/>
                <w:szCs w:val="21"/>
              </w:rPr>
            </w:pPr>
            <w:r>
              <w:rPr>
                <w:rFonts w:hint="eastAsia" w:asciiTheme="minorEastAsia" w:hAnsiTheme="minorEastAsia" w:cstheme="minorEastAsia"/>
                <w:bCs/>
                <w:szCs w:val="21"/>
              </w:rPr>
              <w:t>开门尺寸(宽×高)：900*2100mm</w:t>
            </w:r>
          </w:p>
          <w:p w14:paraId="35A0ACC6">
            <w:pPr>
              <w:autoSpaceDE w:val="0"/>
              <w:autoSpaceDN w:val="0"/>
              <w:spacing w:line="420" w:lineRule="exact"/>
              <w:rPr>
                <w:rFonts w:asciiTheme="minorEastAsia" w:hAnsiTheme="minorEastAsia" w:cstheme="minorEastAsia"/>
                <w:b/>
                <w:szCs w:val="21"/>
              </w:rPr>
            </w:pPr>
            <w:r>
              <w:rPr>
                <w:rFonts w:hint="eastAsia" w:asciiTheme="minorEastAsia" w:hAnsiTheme="minorEastAsia" w:cstheme="minorEastAsia"/>
                <w:b/>
                <w:szCs w:val="21"/>
              </w:rPr>
              <w:t>※具体安装技术参数，以实地测量尺寸为准。</w:t>
            </w:r>
          </w:p>
          <w:p w14:paraId="70110344">
            <w:pPr>
              <w:spacing w:line="420" w:lineRule="exact"/>
              <w:rPr>
                <w:rFonts w:asciiTheme="minorEastAsia" w:hAnsiTheme="minorEastAsia" w:cstheme="minorEastAsia"/>
                <w:szCs w:val="21"/>
              </w:rPr>
            </w:pPr>
            <w:r>
              <w:rPr>
                <w:rFonts w:hint="eastAsia" w:asciiTheme="minorEastAsia" w:hAnsiTheme="minorEastAsia" w:cstheme="minorEastAsia"/>
                <w:b/>
                <w:bCs/>
                <w:szCs w:val="21"/>
              </w:rPr>
              <w:t xml:space="preserve">（二）旧梯拆除及井道整改  </w:t>
            </w:r>
            <w:r>
              <w:rPr>
                <w:rFonts w:hint="eastAsia" w:asciiTheme="minorEastAsia" w:hAnsiTheme="minorEastAsia" w:cstheme="minorEastAsia"/>
                <w:szCs w:val="21"/>
              </w:rPr>
              <w:t xml:space="preserve">                                        </w:t>
            </w:r>
          </w:p>
          <w:p w14:paraId="6186C034">
            <w:pPr>
              <w:numPr>
                <w:ilvl w:val="0"/>
                <w:numId w:val="0"/>
              </w:numPr>
              <w:ind w:leftChars="0"/>
              <w:rPr>
                <w:rFonts w:hint="eastAsia" w:ascii="宋体" w:hAnsi="宋体" w:eastAsia="宋体" w:cs="宋体"/>
                <w:szCs w:val="21"/>
                <w:lang w:eastAsia="zh-CN"/>
              </w:rPr>
            </w:pPr>
            <w:r>
              <w:rPr>
                <w:rFonts w:hint="eastAsia" w:ascii="宋体" w:hAnsi="宋体" w:eastAsia="宋体" w:cs="宋体"/>
                <w:szCs w:val="21"/>
              </w:rPr>
              <w:t>工作内容：旧梯拆除到指定地点，机房、井道、底坑土建整改；孔洞打凿回填，门缝封补；厅门门槛石；304发纹不锈钢大门套</w:t>
            </w:r>
            <w:bookmarkStart w:id="4" w:name="_GoBack"/>
            <w:bookmarkEnd w:id="4"/>
            <w:r>
              <w:rPr>
                <w:rFonts w:hint="eastAsia" w:ascii="宋体" w:hAnsi="宋体" w:eastAsia="宋体" w:cs="宋体"/>
                <w:szCs w:val="21"/>
              </w:rPr>
              <w:t>等相关井道整改施工</w:t>
            </w:r>
            <w:r>
              <w:rPr>
                <w:rFonts w:hint="eastAsia" w:ascii="宋体" w:hAnsi="宋体" w:eastAsia="宋体" w:cs="宋体"/>
                <w:szCs w:val="21"/>
                <w:lang w:eastAsia="zh-CN"/>
              </w:rPr>
              <w:t>。</w:t>
            </w:r>
          </w:p>
        </w:tc>
      </w:tr>
      <w:tr w14:paraId="603A8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9975" w:type="dxa"/>
            <w:gridSpan w:val="4"/>
            <w:vAlign w:val="center"/>
          </w:tcPr>
          <w:p w14:paraId="43F6702F">
            <w:pPr>
              <w:rPr>
                <w:rFonts w:ascii="宋体" w:hAnsi="宋体" w:eastAsia="宋体" w:cs="宋体"/>
                <w:b/>
                <w:bCs/>
              </w:rPr>
            </w:pPr>
            <w:r>
              <w:rPr>
                <w:rFonts w:hint="eastAsia" w:ascii="宋体" w:hAnsi="宋体" w:eastAsia="宋体" w:cs="宋体"/>
                <w:b/>
                <w:bCs/>
              </w:rPr>
              <w:t>二、商务要求</w:t>
            </w:r>
          </w:p>
        </w:tc>
      </w:tr>
      <w:tr w14:paraId="7AAD0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2555" w:type="dxa"/>
            <w:gridSpan w:val="3"/>
            <w:vAlign w:val="center"/>
          </w:tcPr>
          <w:p w14:paraId="406A3DF5">
            <w:pPr>
              <w:rPr>
                <w:rFonts w:ascii="宋体" w:hAnsi="宋体" w:eastAsia="宋体" w:cs="宋体"/>
                <w:b/>
                <w:bCs/>
              </w:rPr>
            </w:pPr>
            <w:r>
              <w:rPr>
                <w:rFonts w:hint="eastAsia" w:ascii="宋体" w:hAnsi="宋体" w:eastAsia="宋体" w:cs="宋体"/>
                <w:b/>
                <w:bCs/>
                <w:szCs w:val="21"/>
              </w:rPr>
              <w:t>▲</w:t>
            </w:r>
            <w:r>
              <w:rPr>
                <w:rFonts w:hint="eastAsia" w:ascii="宋体" w:hAnsi="宋体" w:eastAsia="宋体" w:cs="宋体"/>
                <w:b/>
                <w:bCs/>
              </w:rPr>
              <w:t>竞价供应商资格要求</w:t>
            </w:r>
          </w:p>
        </w:tc>
        <w:tc>
          <w:tcPr>
            <w:tcW w:w="7420" w:type="dxa"/>
            <w:vAlign w:val="center"/>
          </w:tcPr>
          <w:p w14:paraId="46D7C648">
            <w:pPr>
              <w:spacing w:line="420" w:lineRule="exact"/>
              <w:rPr>
                <w:rFonts w:ascii="宋体" w:hAnsi="宋体" w:eastAsia="宋体" w:cs="宋体"/>
              </w:rPr>
            </w:pPr>
            <w:r>
              <w:rPr>
                <w:rFonts w:hint="eastAsia" w:ascii="宋体" w:hAnsi="宋体" w:eastAsia="宋体" w:cs="宋体"/>
              </w:rPr>
              <w:t>1、具备《中华人民共和国政府采购法》第二十二条规定的条件；</w:t>
            </w:r>
          </w:p>
          <w:p w14:paraId="5EDE8FAC">
            <w:pPr>
              <w:spacing w:line="420" w:lineRule="exact"/>
              <w:rPr>
                <w:rFonts w:ascii="宋体" w:hAnsi="宋体" w:eastAsia="宋体" w:cs="宋体"/>
              </w:rPr>
            </w:pPr>
            <w:r>
              <w:rPr>
                <w:rFonts w:hint="eastAsia" w:ascii="宋体" w:hAnsi="宋体" w:eastAsia="宋体" w:cs="宋体"/>
              </w:rPr>
              <w:t>2、被列入失信被执行人、重大税收违法案件当事人名单、政府采购严重违法失信行为记录名单及其他不符合《中华人民共和国政府采购法》第二十二条规定条件的供应商，将被拒绝其参与本次政府采购活动。供应商可在“信用中国”网站（www.creditchina.gov.cn）、中国政府采购网（www.ccgp.gov.cn）查询相关供应商主体信用记录。</w:t>
            </w:r>
          </w:p>
          <w:p w14:paraId="1B3A9952">
            <w:pPr>
              <w:spacing w:line="420" w:lineRule="exact"/>
              <w:rPr>
                <w:rFonts w:ascii="宋体" w:hAnsi="宋体" w:eastAsia="宋体" w:cs="宋体"/>
              </w:rPr>
            </w:pPr>
            <w:r>
              <w:rPr>
                <w:rFonts w:hint="eastAsia" w:ascii="宋体" w:hAnsi="宋体" w:eastAsia="宋体" w:cs="宋体"/>
              </w:rPr>
              <w:t>3、竞价供应商必须具有《中华人民共和国特种设备安装改造维修许可证（电梯）》安装、维修B级及以上的资质（需提供相关证书复印件，原件备查）。</w:t>
            </w:r>
          </w:p>
          <w:p w14:paraId="7584974B">
            <w:pPr>
              <w:spacing w:line="420" w:lineRule="exact"/>
              <w:rPr>
                <w:rFonts w:ascii="宋体" w:hAnsi="宋体" w:eastAsia="宋体" w:cs="宋体"/>
                <w:b/>
                <w:bCs/>
              </w:rPr>
            </w:pPr>
            <w:r>
              <w:rPr>
                <w:rFonts w:hint="eastAsia" w:ascii="宋体" w:hAnsi="宋体" w:eastAsia="宋体" w:cs="宋体"/>
              </w:rPr>
              <w:t>4、本项目不接受联合体竞价。</w:t>
            </w:r>
          </w:p>
        </w:tc>
      </w:tr>
      <w:tr w14:paraId="42B57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55" w:type="dxa"/>
            <w:gridSpan w:val="3"/>
            <w:vAlign w:val="center"/>
          </w:tcPr>
          <w:p w14:paraId="5A9047FA">
            <w:pPr>
              <w:spacing w:line="420" w:lineRule="exact"/>
              <w:jc w:val="center"/>
              <w:rPr>
                <w:rFonts w:ascii="宋体" w:hAnsi="宋体" w:eastAsia="宋体" w:cs="宋体"/>
              </w:rPr>
            </w:pPr>
            <w:r>
              <w:rPr>
                <w:rFonts w:hint="eastAsia" w:ascii="宋体" w:hAnsi="宋体" w:eastAsia="宋体" w:cs="宋体"/>
                <w:b/>
                <w:bCs/>
                <w:szCs w:val="21"/>
              </w:rPr>
              <w:t>▲</w:t>
            </w:r>
            <w:r>
              <w:rPr>
                <w:rFonts w:hint="eastAsia" w:ascii="宋体" w:hAnsi="宋体" w:eastAsia="宋体" w:cs="宋体"/>
                <w:b/>
                <w:bCs/>
              </w:rPr>
              <w:t>售后服务要求及免费保修期</w:t>
            </w:r>
          </w:p>
        </w:tc>
        <w:tc>
          <w:tcPr>
            <w:tcW w:w="7420" w:type="dxa"/>
          </w:tcPr>
          <w:p w14:paraId="6C26356F">
            <w:pPr>
              <w:spacing w:line="420" w:lineRule="exact"/>
              <w:jc w:val="left"/>
              <w:rPr>
                <w:rFonts w:ascii="宋体" w:hAnsi="宋体" w:eastAsia="宋体" w:cs="宋体"/>
              </w:rPr>
            </w:pPr>
            <w:r>
              <w:rPr>
                <w:rFonts w:hint="eastAsia" w:ascii="宋体" w:hAnsi="宋体" w:eastAsia="宋体" w:cs="宋体"/>
              </w:rPr>
              <w:t>1、</w:t>
            </w:r>
            <w:r>
              <w:rPr>
                <w:rFonts w:hint="eastAsia" w:ascii="宋体" w:hAnsi="宋体" w:eastAsia="宋体" w:cs="宋体"/>
                <w:szCs w:val="21"/>
              </w:rPr>
              <w:t>合同签订期：自成交通知书发出之日起</w:t>
            </w:r>
            <w:r>
              <w:rPr>
                <w:rFonts w:hint="eastAsia" w:ascii="宋体" w:hAnsi="宋体" w:eastAsia="宋体" w:cs="宋体"/>
                <w:szCs w:val="21"/>
                <w:u w:val="single"/>
              </w:rPr>
              <w:t xml:space="preserve"> 10 </w:t>
            </w:r>
            <w:r>
              <w:rPr>
                <w:rFonts w:hint="eastAsia" w:ascii="宋体" w:hAnsi="宋体" w:eastAsia="宋体" w:cs="宋体"/>
                <w:szCs w:val="21"/>
              </w:rPr>
              <w:t>个工作日内；</w:t>
            </w:r>
          </w:p>
          <w:p w14:paraId="10DCC795">
            <w:pPr>
              <w:spacing w:line="420" w:lineRule="exact"/>
              <w:jc w:val="left"/>
              <w:rPr>
                <w:rFonts w:ascii="宋体" w:hAnsi="宋体" w:eastAsia="宋体" w:cs="宋体"/>
              </w:rPr>
            </w:pPr>
            <w:r>
              <w:rPr>
                <w:rFonts w:hint="eastAsia" w:ascii="宋体" w:hAnsi="宋体" w:eastAsia="宋体" w:cs="宋体"/>
              </w:rPr>
              <w:t>2、交付使用时间：自合同签订之日起</w:t>
            </w:r>
            <w:r>
              <w:rPr>
                <w:rFonts w:hint="eastAsia" w:ascii="宋体" w:hAnsi="宋体" w:eastAsia="宋体" w:cs="宋体"/>
                <w:lang w:val="en-US" w:eastAsia="zh-CN"/>
              </w:rPr>
              <w:t>7</w:t>
            </w:r>
            <w:r>
              <w:rPr>
                <w:rFonts w:hint="eastAsia" w:ascii="宋体" w:hAnsi="宋体" w:eastAsia="宋体" w:cs="宋体"/>
              </w:rPr>
              <w:t xml:space="preserve">0个日历日内完成设备交付、安装及验收（因采购人书面要求调整工期的除外，工期相应顺延）； </w:t>
            </w:r>
          </w:p>
          <w:p w14:paraId="00E1541B">
            <w:pPr>
              <w:spacing w:line="420" w:lineRule="exact"/>
              <w:jc w:val="left"/>
              <w:rPr>
                <w:rFonts w:ascii="宋体" w:hAnsi="宋体" w:eastAsia="宋体" w:cs="宋体"/>
              </w:rPr>
            </w:pPr>
            <w:r>
              <w:rPr>
                <w:rFonts w:hint="eastAsia" w:ascii="宋体" w:hAnsi="宋体" w:eastAsia="宋体" w:cs="宋体"/>
              </w:rPr>
              <w:t>3、交货地点：</w:t>
            </w:r>
            <w:r>
              <w:rPr>
                <w:rFonts w:hint="eastAsia" w:ascii="宋体" w:hAnsi="宋体" w:eastAsia="宋体" w:cs="宋体"/>
                <w:lang w:val="en-US" w:eastAsia="zh-CN"/>
              </w:rPr>
              <w:t>柳州监狱</w:t>
            </w:r>
            <w:r>
              <w:rPr>
                <w:rFonts w:hint="eastAsia" w:ascii="宋体" w:hAnsi="宋体" w:eastAsia="宋体" w:cs="宋体"/>
              </w:rPr>
              <w:t>。</w:t>
            </w:r>
          </w:p>
          <w:p w14:paraId="5F645364">
            <w:pPr>
              <w:spacing w:line="420" w:lineRule="exact"/>
              <w:jc w:val="left"/>
              <w:rPr>
                <w:rFonts w:ascii="宋体" w:hAnsi="宋体" w:eastAsia="宋体" w:cs="宋体"/>
                <w:szCs w:val="21"/>
              </w:rPr>
            </w:pPr>
            <w:r>
              <w:rPr>
                <w:rFonts w:hint="eastAsia" w:ascii="宋体" w:hAnsi="宋体" w:eastAsia="宋体" w:cs="宋体"/>
                <w:bCs/>
                <w:szCs w:val="21"/>
              </w:rPr>
              <w:t>4、交货方式：现场交货。</w:t>
            </w:r>
          </w:p>
          <w:p w14:paraId="26E01D64">
            <w:pPr>
              <w:widowControl/>
              <w:spacing w:line="420" w:lineRule="exact"/>
              <w:jc w:val="left"/>
              <w:rPr>
                <w:rFonts w:ascii="宋体" w:hAnsi="宋体" w:eastAsia="宋体" w:cs="宋体"/>
                <w:kern w:val="0"/>
              </w:rPr>
            </w:pPr>
            <w:r>
              <w:rPr>
                <w:rFonts w:hint="eastAsia" w:ascii="宋体" w:hAnsi="宋体" w:eastAsia="宋体" w:cs="宋体"/>
                <w:kern w:val="0"/>
              </w:rPr>
              <w:t>5、售后技术服务要求：</w:t>
            </w:r>
          </w:p>
          <w:p w14:paraId="7ED44025">
            <w:pPr>
              <w:widowControl/>
              <w:spacing w:line="420" w:lineRule="exact"/>
              <w:jc w:val="left"/>
              <w:rPr>
                <w:rFonts w:ascii="宋体" w:hAnsi="宋体" w:eastAsia="宋体" w:cs="宋体"/>
                <w:kern w:val="0"/>
              </w:rPr>
            </w:pPr>
            <w:r>
              <w:rPr>
                <w:rFonts w:hint="eastAsia" w:ascii="宋体" w:hAnsi="宋体" w:eastAsia="宋体" w:cs="宋体"/>
                <w:kern w:val="0"/>
              </w:rPr>
              <w:t>（1）质保期：自安装、调试验收合格并交付使用之日起</w:t>
            </w:r>
            <w:r>
              <w:rPr>
                <w:rFonts w:hint="eastAsia" w:ascii="宋体" w:hAnsi="宋体" w:eastAsia="宋体" w:cs="宋体"/>
                <w:b/>
                <w:szCs w:val="21"/>
                <w:u w:val="single"/>
              </w:rPr>
              <w:t>1</w:t>
            </w:r>
            <w:r>
              <w:rPr>
                <w:rFonts w:hint="eastAsia" w:ascii="宋体" w:hAnsi="宋体" w:eastAsia="宋体" w:cs="宋体"/>
                <w:b/>
                <w:kern w:val="0"/>
              </w:rPr>
              <w:t>年</w:t>
            </w:r>
            <w:r>
              <w:rPr>
                <w:rFonts w:hint="eastAsia" w:ascii="宋体" w:hAnsi="宋体" w:eastAsia="宋体" w:cs="宋体"/>
                <w:kern w:val="0"/>
              </w:rPr>
              <w:t>免费保修。</w:t>
            </w:r>
          </w:p>
          <w:p w14:paraId="2FADBBD6">
            <w:pPr>
              <w:widowControl/>
              <w:spacing w:line="420" w:lineRule="exact"/>
              <w:jc w:val="left"/>
              <w:outlineLvl w:val="0"/>
              <w:rPr>
                <w:rFonts w:ascii="宋体" w:hAnsi="宋体" w:eastAsia="宋体" w:cs="宋体"/>
                <w:kern w:val="0"/>
              </w:rPr>
            </w:pPr>
            <w:r>
              <w:rPr>
                <w:rFonts w:hint="eastAsia" w:ascii="宋体" w:hAnsi="宋体" w:eastAsia="宋体" w:cs="宋体"/>
                <w:kern w:val="0"/>
              </w:rPr>
              <w:t>（2）售后</w:t>
            </w:r>
            <w:r>
              <w:rPr>
                <w:rFonts w:hint="eastAsia" w:ascii="宋体" w:hAnsi="宋体" w:eastAsia="宋体" w:cs="宋体"/>
              </w:rPr>
              <w:t>维修保养</w:t>
            </w:r>
            <w:r>
              <w:rPr>
                <w:rFonts w:hint="eastAsia" w:ascii="宋体" w:hAnsi="宋体" w:eastAsia="宋体" w:cs="宋体"/>
                <w:kern w:val="0"/>
              </w:rPr>
              <w:t>承诺</w:t>
            </w:r>
            <w:r>
              <w:rPr>
                <w:rFonts w:hint="eastAsia" w:ascii="宋体" w:hAnsi="宋体" w:eastAsia="宋体" w:cs="宋体"/>
              </w:rPr>
              <w:t>由成交供应商负责，成交供应商</w:t>
            </w:r>
            <w:r>
              <w:rPr>
                <w:rFonts w:hint="eastAsia" w:ascii="宋体" w:hAnsi="宋体" w:eastAsia="宋体" w:cs="宋体"/>
                <w:lang w:val="en-US" w:eastAsia="zh-CN"/>
              </w:rPr>
              <w:t>具备本地</w:t>
            </w:r>
            <w:r>
              <w:rPr>
                <w:rFonts w:hint="eastAsia" w:ascii="宋体" w:hAnsi="宋体" w:eastAsia="宋体" w:cs="宋体"/>
              </w:rPr>
              <w:t>维保服务</w:t>
            </w:r>
            <w:r>
              <w:rPr>
                <w:rFonts w:hint="eastAsia" w:ascii="宋体" w:hAnsi="宋体" w:eastAsia="宋体" w:cs="宋体"/>
                <w:lang w:val="en-US" w:eastAsia="zh-CN"/>
              </w:rPr>
              <w:t>能力</w:t>
            </w:r>
            <w:r>
              <w:rPr>
                <w:rFonts w:hint="eastAsia" w:ascii="宋体" w:hAnsi="宋体" w:eastAsia="宋体" w:cs="宋体"/>
              </w:rPr>
              <w:t>。</w:t>
            </w:r>
            <w:r>
              <w:rPr>
                <w:rFonts w:hint="eastAsia" w:ascii="宋体" w:hAnsi="宋体" w:eastAsia="宋体" w:cs="宋体"/>
                <w:kern w:val="0"/>
              </w:rPr>
              <w:t>质保期内每季度进行一次全面的免费检修，每月两次免费保养服务（检测、清洁、加油、调整、校正），提供24小时的急修服务，一旦电梯出现故障，接到报修电话后30分钟内有维修人员到达现场排除故障；一般故障修复时间不超过2小时，重大故障修复时间不超过24小时；质保期内发生故障需更换零配件的，必须保证零配件为原厂配件；质保期满后，需提供终身有偿维护保养服务，并承诺以优于市场价格收取维保费。</w:t>
            </w:r>
          </w:p>
          <w:p w14:paraId="370BC5E7">
            <w:pPr>
              <w:pStyle w:val="9"/>
              <w:widowControl/>
              <w:spacing w:line="420" w:lineRule="exact"/>
              <w:jc w:val="left"/>
              <w:outlineLvl w:val="0"/>
              <w:rPr>
                <w:rFonts w:hAnsi="宋体" w:eastAsia="宋体" w:cs="宋体"/>
                <w:kern w:val="0"/>
              </w:rPr>
            </w:pPr>
            <w:bookmarkStart w:id="0" w:name="_Toc474596506"/>
            <w:bookmarkEnd w:id="0"/>
            <w:bookmarkStart w:id="1" w:name="_Toc7259"/>
            <w:r>
              <w:rPr>
                <w:rFonts w:hint="eastAsia" w:hAnsi="宋体" w:eastAsia="宋体" w:cs="宋体"/>
                <w:kern w:val="0"/>
              </w:rPr>
              <w:t>（3）负责为采购人免费培训电梯管理人员（1-2名）；</w:t>
            </w:r>
            <w:bookmarkEnd w:id="1"/>
          </w:p>
          <w:p w14:paraId="59B3FB7E">
            <w:pPr>
              <w:pStyle w:val="9"/>
              <w:widowControl/>
              <w:spacing w:line="420" w:lineRule="exact"/>
              <w:jc w:val="left"/>
              <w:outlineLvl w:val="0"/>
              <w:rPr>
                <w:rFonts w:hAnsi="宋体" w:eastAsia="宋体" w:cs="宋体"/>
                <w:kern w:val="0"/>
              </w:rPr>
            </w:pPr>
            <w:bookmarkStart w:id="2" w:name="_Toc10627"/>
            <w:r>
              <w:rPr>
                <w:rFonts w:hint="eastAsia" w:hAnsi="宋体" w:eastAsia="宋体" w:cs="宋体"/>
                <w:kern w:val="0"/>
              </w:rPr>
              <w:t>（4）免费为采购人建立电梯设备管理档案。</w:t>
            </w:r>
            <w:bookmarkEnd w:id="2"/>
          </w:p>
          <w:p w14:paraId="68C40309">
            <w:pPr>
              <w:pStyle w:val="9"/>
              <w:widowControl/>
              <w:spacing w:line="420" w:lineRule="exact"/>
              <w:jc w:val="left"/>
              <w:outlineLvl w:val="0"/>
              <w:rPr>
                <w:rFonts w:hAnsi="宋体" w:eastAsia="宋体" w:cs="宋体"/>
              </w:rPr>
            </w:pPr>
            <w:bookmarkStart w:id="3" w:name="_Toc26276"/>
            <w:r>
              <w:rPr>
                <w:rFonts w:hint="eastAsia" w:hAnsi="宋体" w:eastAsia="宋体" w:cs="宋体"/>
                <w:kern w:val="0"/>
              </w:rPr>
              <w:t>（5）零部件、配件及安装材料必须是未经使用的全新的并符合国家有关质量安全标准的合格产品。</w:t>
            </w:r>
            <w:bookmarkEnd w:id="3"/>
          </w:p>
        </w:tc>
      </w:tr>
      <w:tr w14:paraId="6B70D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55" w:type="dxa"/>
            <w:gridSpan w:val="3"/>
            <w:vAlign w:val="center"/>
          </w:tcPr>
          <w:p w14:paraId="45AB8380">
            <w:pPr>
              <w:spacing w:line="420" w:lineRule="exact"/>
              <w:jc w:val="center"/>
              <w:rPr>
                <w:rFonts w:ascii="宋体" w:hAnsi="宋体" w:eastAsia="宋体" w:cs="宋体"/>
                <w:b/>
                <w:bCs/>
                <w:szCs w:val="21"/>
              </w:rPr>
            </w:pPr>
            <w:r>
              <w:rPr>
                <w:rFonts w:hint="eastAsia" w:ascii="宋体" w:hAnsi="宋体" w:eastAsia="宋体" w:cs="宋体"/>
                <w:b/>
                <w:bCs/>
                <w:szCs w:val="21"/>
              </w:rPr>
              <w:t>▲旧电梯拆除、</w:t>
            </w:r>
            <w:r>
              <w:rPr>
                <w:rFonts w:hint="eastAsia" w:asciiTheme="minorEastAsia" w:hAnsiTheme="minorEastAsia" w:cstheme="minorEastAsia"/>
                <w:b/>
              </w:rPr>
              <w:t>安装、验收及其它要求：</w:t>
            </w:r>
          </w:p>
        </w:tc>
        <w:tc>
          <w:tcPr>
            <w:tcW w:w="7420" w:type="dxa"/>
          </w:tcPr>
          <w:p w14:paraId="5FE09AC4">
            <w:pPr>
              <w:spacing w:line="420" w:lineRule="exact"/>
              <w:jc w:val="left"/>
              <w:rPr>
                <w:rFonts w:ascii="宋体" w:hAnsi="宋体" w:eastAsia="宋体" w:cs="宋体"/>
                <w:kern w:val="0"/>
              </w:rPr>
            </w:pPr>
            <w:r>
              <w:rPr>
                <w:rFonts w:hint="eastAsia" w:ascii="宋体" w:hAnsi="宋体" w:eastAsia="宋体" w:cs="宋体"/>
                <w:kern w:val="0"/>
              </w:rPr>
              <w:t>1、旧电梯拆除内容：</w:t>
            </w:r>
          </w:p>
          <w:p w14:paraId="469E462B">
            <w:pPr>
              <w:pStyle w:val="17"/>
              <w:spacing w:line="420" w:lineRule="exact"/>
              <w:rPr>
                <w:rFonts w:asciiTheme="minorEastAsia" w:hAnsiTheme="minorEastAsia" w:cstheme="minorEastAsia"/>
                <w:sz w:val="21"/>
                <w:szCs w:val="21"/>
              </w:rPr>
            </w:pPr>
            <w:r>
              <w:rPr>
                <w:rFonts w:hint="eastAsia" w:asciiTheme="minorEastAsia" w:hAnsiTheme="minorEastAsia" w:cstheme="minorEastAsia"/>
                <w:sz w:val="21"/>
                <w:szCs w:val="21"/>
              </w:rPr>
              <w:t>（1）成交供应商负责拆除原有电梯及配件。</w:t>
            </w:r>
          </w:p>
          <w:p w14:paraId="40F6A7DA">
            <w:pPr>
              <w:pStyle w:val="17"/>
              <w:spacing w:line="420" w:lineRule="exact"/>
              <w:rPr>
                <w:rFonts w:asciiTheme="minorEastAsia" w:hAnsiTheme="minorEastAsia" w:cstheme="minorEastAsia"/>
                <w:sz w:val="21"/>
                <w:szCs w:val="21"/>
              </w:rPr>
            </w:pPr>
            <w:r>
              <w:rPr>
                <w:rFonts w:hint="eastAsia" w:asciiTheme="minorEastAsia" w:hAnsiTheme="minorEastAsia" w:cstheme="minorEastAsia"/>
                <w:sz w:val="21"/>
                <w:szCs w:val="21"/>
              </w:rPr>
              <w:t>（2）成交供应商负责现场整理、垃圾清理、将拆除的电梯及配件搬至采购人指定堆放点。</w:t>
            </w:r>
          </w:p>
          <w:p w14:paraId="519233EE">
            <w:pPr>
              <w:pStyle w:val="17"/>
              <w:spacing w:line="420" w:lineRule="exact"/>
              <w:rPr>
                <w:rFonts w:asciiTheme="minorEastAsia" w:hAnsiTheme="minorEastAsia" w:cstheme="minorEastAsia"/>
                <w:sz w:val="21"/>
                <w:szCs w:val="21"/>
              </w:rPr>
            </w:pPr>
            <w:r>
              <w:rPr>
                <w:rFonts w:hint="eastAsia" w:asciiTheme="minorEastAsia" w:hAnsiTheme="minorEastAsia" w:cstheme="minorEastAsia"/>
                <w:sz w:val="21"/>
                <w:szCs w:val="21"/>
              </w:rPr>
              <w:t>（3）成交供应商负责协助旧梯原资产方办理旧电梯的报废程序。</w:t>
            </w:r>
          </w:p>
          <w:p w14:paraId="70DF1437">
            <w:pPr>
              <w:spacing w:line="420" w:lineRule="exact"/>
              <w:jc w:val="left"/>
              <w:rPr>
                <w:rFonts w:ascii="宋体" w:hAnsi="宋体" w:eastAsia="宋体" w:cs="宋体"/>
                <w:kern w:val="0"/>
              </w:rPr>
            </w:pPr>
            <w:r>
              <w:rPr>
                <w:rFonts w:hint="eastAsia" w:ascii="宋体" w:hAnsi="宋体" w:eastAsia="宋体" w:cs="宋体"/>
                <w:kern w:val="0"/>
              </w:rPr>
              <w:t xml:space="preserve">2、安装施工及调试要求： </w:t>
            </w:r>
          </w:p>
          <w:p w14:paraId="39176B41">
            <w:pPr>
              <w:spacing w:line="420" w:lineRule="exact"/>
              <w:jc w:val="left"/>
              <w:rPr>
                <w:rFonts w:ascii="宋体" w:hAnsi="宋体" w:eastAsia="宋体" w:cs="宋体"/>
                <w:kern w:val="0"/>
              </w:rPr>
            </w:pPr>
            <w:r>
              <w:rPr>
                <w:rFonts w:hint="eastAsia" w:ascii="宋体" w:hAnsi="宋体" w:eastAsia="宋体" w:cs="宋体"/>
                <w:kern w:val="0"/>
              </w:rPr>
              <w:t>（1）成交供应商负责全套设备的安装调试，不允许分包或转包。</w:t>
            </w:r>
          </w:p>
          <w:p w14:paraId="527A7E65">
            <w:pPr>
              <w:spacing w:line="420" w:lineRule="exact"/>
              <w:jc w:val="left"/>
              <w:rPr>
                <w:rFonts w:ascii="宋体" w:hAnsi="宋体" w:eastAsia="宋体" w:cs="宋体"/>
                <w:kern w:val="0"/>
              </w:rPr>
            </w:pPr>
            <w:r>
              <w:rPr>
                <w:rFonts w:hint="eastAsia" w:ascii="宋体" w:hAnsi="宋体" w:eastAsia="宋体" w:cs="宋体"/>
                <w:kern w:val="0"/>
              </w:rPr>
              <w:t>（2）成交供应商要对预埋件安装及井道整改负责施工指导。</w:t>
            </w:r>
          </w:p>
          <w:p w14:paraId="404FC41B">
            <w:pPr>
              <w:spacing w:line="420" w:lineRule="exact"/>
              <w:jc w:val="left"/>
              <w:rPr>
                <w:rFonts w:ascii="宋体" w:hAnsi="宋体" w:eastAsia="宋体" w:cs="宋体"/>
                <w:kern w:val="0"/>
              </w:rPr>
            </w:pPr>
            <w:r>
              <w:rPr>
                <w:rFonts w:hint="eastAsia" w:ascii="宋体" w:hAnsi="宋体" w:eastAsia="宋体" w:cs="宋体"/>
                <w:kern w:val="0"/>
              </w:rPr>
              <w:t>（3）设备安装调试必须严格执行国家有关技术标准，成交供应商自负施工人身、设备安全责任。</w:t>
            </w:r>
          </w:p>
          <w:p w14:paraId="4F230A5D">
            <w:pPr>
              <w:spacing w:line="420" w:lineRule="exact"/>
              <w:jc w:val="left"/>
              <w:rPr>
                <w:rFonts w:ascii="宋体" w:hAnsi="宋体" w:eastAsia="宋体" w:cs="宋体"/>
                <w:kern w:val="0"/>
              </w:rPr>
            </w:pPr>
            <w:r>
              <w:rPr>
                <w:rFonts w:hint="eastAsia" w:ascii="宋体" w:hAnsi="宋体" w:eastAsia="宋体" w:cs="宋体"/>
                <w:kern w:val="0"/>
              </w:rPr>
              <w:t>（4）安装调试过程中，成交供应商应派专业技术人员对施工进行同步指导，并负责全套机组的调试运行，达到验收要求。</w:t>
            </w:r>
          </w:p>
          <w:p w14:paraId="0E51615D">
            <w:pPr>
              <w:spacing w:line="420" w:lineRule="exact"/>
              <w:jc w:val="left"/>
              <w:rPr>
                <w:rFonts w:ascii="宋体" w:hAnsi="宋体" w:eastAsia="宋体" w:cs="宋体"/>
                <w:kern w:val="0"/>
              </w:rPr>
            </w:pPr>
            <w:r>
              <w:rPr>
                <w:rFonts w:hint="eastAsia" w:ascii="宋体" w:hAnsi="宋体" w:eastAsia="宋体" w:cs="宋体"/>
                <w:kern w:val="0"/>
              </w:rPr>
              <w:t>（5）成交供应商负责办理电梯设备安装的开工报装和竣工报验手续。</w:t>
            </w:r>
          </w:p>
          <w:p w14:paraId="6310DC83">
            <w:pPr>
              <w:spacing w:line="420" w:lineRule="exact"/>
              <w:jc w:val="left"/>
              <w:rPr>
                <w:rFonts w:ascii="宋体" w:hAnsi="宋体" w:eastAsia="宋体" w:cs="宋体"/>
                <w:kern w:val="0"/>
              </w:rPr>
            </w:pPr>
            <w:r>
              <w:rPr>
                <w:rFonts w:hint="eastAsia" w:ascii="宋体" w:hAnsi="宋体" w:eastAsia="宋体" w:cs="宋体"/>
                <w:kern w:val="0"/>
              </w:rPr>
              <w:t>（6）设备验收费用由成交供应商负责。</w:t>
            </w:r>
          </w:p>
          <w:p w14:paraId="18E8827B">
            <w:pPr>
              <w:spacing w:line="420" w:lineRule="exact"/>
              <w:jc w:val="left"/>
              <w:rPr>
                <w:rFonts w:ascii="宋体" w:hAnsi="宋体" w:eastAsia="宋体" w:cs="宋体"/>
                <w:kern w:val="0"/>
              </w:rPr>
            </w:pPr>
            <w:r>
              <w:rPr>
                <w:rFonts w:hint="eastAsia" w:ascii="宋体" w:hAnsi="宋体" w:eastAsia="宋体" w:cs="宋体"/>
                <w:kern w:val="0"/>
              </w:rPr>
              <w:t>3、</w:t>
            </w:r>
            <w:r>
              <w:rPr>
                <w:rFonts w:hint="eastAsia" w:asciiTheme="minorEastAsia" w:hAnsiTheme="minorEastAsia" w:cstheme="minorEastAsia"/>
              </w:rPr>
              <w:t>验收方式：</w:t>
            </w:r>
          </w:p>
          <w:p w14:paraId="2AE269F3">
            <w:pPr>
              <w:spacing w:line="420" w:lineRule="exact"/>
              <w:jc w:val="left"/>
              <w:rPr>
                <w:rFonts w:ascii="宋体" w:hAnsi="宋体" w:eastAsia="宋体" w:cs="宋体"/>
                <w:kern w:val="0"/>
              </w:rPr>
            </w:pPr>
            <w:r>
              <w:rPr>
                <w:rFonts w:hint="eastAsia" w:ascii="宋体" w:hAnsi="宋体" w:eastAsia="宋体" w:cs="宋体"/>
                <w:kern w:val="0"/>
              </w:rPr>
              <w:t>（1）安装验收应按以下标准与规定执行：《电梯安装验收规范》（GB10060）；《电气装置安装工程电梯电气装置施工与验收规范》（GB50182）；《电梯工程施工质量验收规范》（GB50310）；电力、消防、安监部门的有关规定等。</w:t>
            </w:r>
          </w:p>
          <w:p w14:paraId="4B074AC5">
            <w:pPr>
              <w:spacing w:line="420" w:lineRule="exact"/>
              <w:jc w:val="left"/>
              <w:rPr>
                <w:rFonts w:asciiTheme="minorEastAsia" w:hAnsiTheme="minorEastAsia" w:cstheme="minorEastAsia"/>
                <w:szCs w:val="21"/>
              </w:rPr>
            </w:pPr>
            <w:r>
              <w:rPr>
                <w:rFonts w:hint="eastAsia" w:asciiTheme="minorEastAsia" w:hAnsiTheme="minorEastAsia" w:cstheme="minorEastAsia"/>
                <w:szCs w:val="21"/>
              </w:rPr>
              <w:t>（2）出厂检验：交货时，成交供应商应随同货物提供出厂检验报告，产品合格证。</w:t>
            </w:r>
          </w:p>
          <w:p w14:paraId="71CC49F2">
            <w:pPr>
              <w:spacing w:line="420" w:lineRule="exact"/>
              <w:jc w:val="left"/>
              <w:rPr>
                <w:rFonts w:asciiTheme="minorEastAsia" w:hAnsiTheme="minorEastAsia" w:cstheme="minorEastAsia"/>
                <w:szCs w:val="21"/>
              </w:rPr>
            </w:pPr>
            <w:r>
              <w:rPr>
                <w:rFonts w:hint="eastAsia" w:asciiTheme="minorEastAsia" w:hAnsiTheme="minorEastAsia" w:cstheme="minorEastAsia"/>
                <w:szCs w:val="21"/>
              </w:rPr>
              <w:t>（3）安装调试检验：电梯安装调试（包括整机性能测试）过程，成交供应商应作详细检验记录。安装调试检验结果应符合制造厂产品标准和采购文件规定的技术要求。检验记录应提交给采购人。</w:t>
            </w:r>
          </w:p>
          <w:p w14:paraId="453DB5B6">
            <w:pPr>
              <w:spacing w:line="420" w:lineRule="exact"/>
              <w:jc w:val="left"/>
            </w:pPr>
            <w:r>
              <w:rPr>
                <w:rFonts w:hint="eastAsia" w:asciiTheme="minorEastAsia" w:hAnsiTheme="minorEastAsia" w:cstheme="minorEastAsia"/>
                <w:szCs w:val="21"/>
              </w:rPr>
              <w:t>（4）项目验收：电梯安装调试结束后，由成交供应商负责联系质量技术监督局等部门，进行联合验收并办理准用许可证，验收费用由成交供应商承担。</w:t>
            </w:r>
          </w:p>
        </w:tc>
      </w:tr>
      <w:tr w14:paraId="07744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55" w:type="dxa"/>
            <w:gridSpan w:val="3"/>
            <w:vAlign w:val="center"/>
          </w:tcPr>
          <w:p w14:paraId="62F779BF">
            <w:pPr>
              <w:spacing w:line="420" w:lineRule="exact"/>
              <w:jc w:val="center"/>
              <w:rPr>
                <w:rFonts w:ascii="宋体" w:hAnsi="宋体" w:cs="宋体"/>
                <w:b/>
                <w:bCs/>
                <w:szCs w:val="21"/>
              </w:rPr>
            </w:pPr>
            <w:r>
              <w:rPr>
                <w:rFonts w:hint="eastAsia" w:asciiTheme="minorEastAsia" w:hAnsiTheme="minorEastAsia" w:cstheme="minorEastAsia"/>
                <w:b/>
                <w:bCs/>
              </w:rPr>
              <w:t>报价要求</w:t>
            </w:r>
          </w:p>
        </w:tc>
        <w:tc>
          <w:tcPr>
            <w:tcW w:w="7420" w:type="dxa"/>
          </w:tcPr>
          <w:p w14:paraId="4B0674D2">
            <w:pPr>
              <w:pStyle w:val="5"/>
              <w:keepNext w:val="0"/>
              <w:keepLines w:val="0"/>
              <w:spacing w:before="0" w:after="0" w:line="420" w:lineRule="exact"/>
              <w:rPr>
                <w:rFonts w:asciiTheme="minorEastAsia" w:hAnsiTheme="minorEastAsia" w:cstheme="minorEastAsia"/>
                <w:b w:val="0"/>
                <w:bCs w:val="0"/>
                <w:sz w:val="21"/>
                <w:szCs w:val="21"/>
              </w:rPr>
            </w:pPr>
            <w:r>
              <w:rPr>
                <w:rFonts w:hint="eastAsia" w:asciiTheme="minorEastAsia" w:hAnsiTheme="minorEastAsia" w:cstheme="minorEastAsia"/>
                <w:b w:val="0"/>
                <w:bCs w:val="0"/>
                <w:sz w:val="21"/>
                <w:szCs w:val="21"/>
              </w:rPr>
              <w:t>1、本项目报价须包含货物及服务采购、运输、保管、安装、安装所需所有辅材、调试、验收、培训、拆除等各种费用和售后服务、税金及其它所有成本费用的总和。</w:t>
            </w:r>
          </w:p>
          <w:p w14:paraId="51BC6D5C">
            <w:pPr>
              <w:pStyle w:val="5"/>
              <w:keepNext w:val="0"/>
              <w:keepLines w:val="0"/>
              <w:spacing w:before="0" w:after="0" w:line="420" w:lineRule="exact"/>
              <w:rPr>
                <w:rFonts w:asciiTheme="minorEastAsia" w:hAnsiTheme="minorEastAsia" w:cstheme="minorEastAsia"/>
                <w:b w:val="0"/>
                <w:bCs w:val="0"/>
                <w:sz w:val="21"/>
                <w:szCs w:val="21"/>
              </w:rPr>
            </w:pPr>
            <w:r>
              <w:rPr>
                <w:rFonts w:hint="eastAsia" w:asciiTheme="minorEastAsia" w:hAnsiTheme="minorEastAsia" w:cstheme="minorEastAsia"/>
                <w:b w:val="0"/>
                <w:bCs w:val="0"/>
                <w:sz w:val="21"/>
                <w:szCs w:val="21"/>
              </w:rPr>
              <w:t>（1）货物的价格：包括设备费、安装费、验收费、检定费、相关行政部门验收及办理使用登记证的费用；（2）货物的标准附件、备品备件、专用工具的价格；（3）运输、装卸、调试、培训、技术支持、售后服务费；（4）原旧电梯拆除、搬运、运输、清理、报废、注销等产生的一切处理费用。</w:t>
            </w:r>
          </w:p>
          <w:p w14:paraId="44BC50CB">
            <w:pPr>
              <w:spacing w:line="420" w:lineRule="exact"/>
            </w:pPr>
            <w:r>
              <w:rPr>
                <w:rFonts w:hint="eastAsia" w:asciiTheme="minorEastAsia" w:hAnsiTheme="minorEastAsia" w:cstheme="minorEastAsia"/>
              </w:rPr>
              <w:t>2、本项目采用总承包模式，合同成交价包含了电梯相关的安装、验收及相关手续等全部费用</w:t>
            </w:r>
            <w:r>
              <w:rPr>
                <w:rFonts w:hint="eastAsia" w:asciiTheme="minorEastAsia" w:hAnsiTheme="minorEastAsia" w:cstheme="minorEastAsia"/>
                <w:szCs w:val="22"/>
              </w:rPr>
              <w:t>。</w:t>
            </w:r>
          </w:p>
        </w:tc>
      </w:tr>
      <w:tr w14:paraId="42300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2555" w:type="dxa"/>
            <w:gridSpan w:val="3"/>
            <w:vAlign w:val="center"/>
          </w:tcPr>
          <w:p w14:paraId="1277AA86">
            <w:pPr>
              <w:spacing w:line="420" w:lineRule="exact"/>
              <w:jc w:val="center"/>
              <w:rPr>
                <w:rFonts w:ascii="宋体" w:hAnsi="宋体" w:eastAsia="宋体" w:cs="宋体"/>
                <w:bCs/>
              </w:rPr>
            </w:pPr>
            <w:r>
              <w:rPr>
                <w:rFonts w:hint="eastAsia" w:ascii="宋体" w:hAnsi="宋体" w:eastAsia="宋体" w:cs="宋体"/>
                <w:b/>
                <w:bCs/>
                <w:szCs w:val="21"/>
              </w:rPr>
              <w:t>▲</w:t>
            </w:r>
            <w:r>
              <w:rPr>
                <w:rFonts w:hint="eastAsia" w:ascii="宋体" w:hAnsi="宋体" w:eastAsia="宋体" w:cs="宋体"/>
                <w:b/>
              </w:rPr>
              <w:t>付款方式</w:t>
            </w:r>
          </w:p>
        </w:tc>
        <w:tc>
          <w:tcPr>
            <w:tcW w:w="7420" w:type="dxa"/>
          </w:tcPr>
          <w:p w14:paraId="13D59878">
            <w:pPr>
              <w:spacing w:line="420" w:lineRule="exact"/>
              <w:rPr>
                <w:rFonts w:asciiTheme="minorEastAsia" w:hAnsiTheme="minorEastAsia" w:cstheme="minorEastAsia"/>
              </w:rPr>
            </w:pPr>
            <w:r>
              <w:rPr>
                <w:rFonts w:hint="eastAsia" w:asciiTheme="minorEastAsia" w:hAnsiTheme="minorEastAsia" w:cstheme="minorEastAsia"/>
              </w:rPr>
              <w:t>1、合同签署盖章后10日内，</w:t>
            </w:r>
            <w:r>
              <w:rPr>
                <w:rFonts w:hint="eastAsia" w:asciiTheme="minorEastAsia" w:hAnsiTheme="minorEastAsia" w:cstheme="minorEastAsia"/>
                <w:lang w:val="en-US" w:eastAsia="zh-CN"/>
              </w:rPr>
              <w:t>采购人</w:t>
            </w:r>
            <w:r>
              <w:rPr>
                <w:rFonts w:hint="eastAsia" w:asciiTheme="minorEastAsia" w:hAnsiTheme="minorEastAsia" w:cstheme="minorEastAsia"/>
              </w:rPr>
              <w:t>支付合同总价的30%作为设备定金，</w:t>
            </w:r>
            <w:r>
              <w:rPr>
                <w:rFonts w:hint="eastAsia" w:asciiTheme="minorEastAsia" w:hAnsiTheme="minorEastAsia" w:cstheme="minorEastAsia"/>
                <w:lang w:val="en-US" w:eastAsia="zh-CN"/>
              </w:rPr>
              <w:t>成交人</w:t>
            </w:r>
            <w:r>
              <w:rPr>
                <w:rFonts w:hint="eastAsia" w:asciiTheme="minorEastAsia" w:hAnsiTheme="minorEastAsia" w:cstheme="minorEastAsia"/>
              </w:rPr>
              <w:t>在收到定金后，开始实施排产。</w:t>
            </w:r>
          </w:p>
          <w:p w14:paraId="0446F981">
            <w:pPr>
              <w:spacing w:line="420" w:lineRule="exact"/>
              <w:rPr>
                <w:rFonts w:asciiTheme="minorEastAsia" w:hAnsiTheme="minorEastAsia" w:cstheme="minorEastAsia"/>
              </w:rPr>
            </w:pPr>
            <w:r>
              <w:rPr>
                <w:rFonts w:hint="eastAsia" w:asciiTheme="minorEastAsia" w:hAnsiTheme="minorEastAsia" w:cstheme="minorEastAsia"/>
              </w:rPr>
              <w:t>2、设备到货后5日内，</w:t>
            </w:r>
            <w:r>
              <w:rPr>
                <w:rFonts w:hint="eastAsia" w:asciiTheme="minorEastAsia" w:hAnsiTheme="minorEastAsia" w:cstheme="minorEastAsia"/>
                <w:lang w:val="en-US" w:eastAsia="zh-CN"/>
              </w:rPr>
              <w:t>采购人</w:t>
            </w:r>
            <w:r>
              <w:rPr>
                <w:rFonts w:hint="eastAsia" w:asciiTheme="minorEastAsia" w:hAnsiTheme="minorEastAsia" w:cstheme="minorEastAsia"/>
              </w:rPr>
              <w:t>支付合同总价的50%作为到货款。</w:t>
            </w:r>
          </w:p>
          <w:p w14:paraId="31DE8F66">
            <w:pPr>
              <w:spacing w:line="420" w:lineRule="exact"/>
              <w:rPr>
                <w:rFonts w:hint="eastAsia" w:asciiTheme="minorEastAsia" w:hAnsiTheme="minorEastAsia" w:cstheme="minorEastAsia"/>
              </w:rPr>
            </w:pPr>
            <w:r>
              <w:rPr>
                <w:rFonts w:hint="eastAsia" w:asciiTheme="minorEastAsia" w:hAnsiTheme="minorEastAsia" w:cstheme="minorEastAsia"/>
              </w:rPr>
              <w:t>3、安装完毕并经经政府相关部门验收合格后10日内，</w:t>
            </w:r>
            <w:r>
              <w:rPr>
                <w:rFonts w:hint="eastAsia" w:asciiTheme="minorEastAsia" w:hAnsiTheme="minorEastAsia" w:cstheme="minorEastAsia"/>
                <w:lang w:val="en-US" w:eastAsia="zh-CN"/>
              </w:rPr>
              <w:t>采购人</w:t>
            </w:r>
            <w:r>
              <w:rPr>
                <w:rFonts w:hint="eastAsia" w:asciiTheme="minorEastAsia" w:hAnsiTheme="minorEastAsia" w:cstheme="minorEastAsia"/>
              </w:rPr>
              <w:t>支付合同</w:t>
            </w:r>
            <w:r>
              <w:rPr>
                <w:rFonts w:hint="eastAsia" w:asciiTheme="minorEastAsia" w:hAnsiTheme="minorEastAsia" w:cstheme="minorEastAsia"/>
                <w:lang w:val="en-US" w:eastAsia="zh-CN"/>
              </w:rPr>
              <w:t>尾款</w:t>
            </w:r>
            <w:r>
              <w:rPr>
                <w:rFonts w:hint="eastAsia" w:asciiTheme="minorEastAsia" w:hAnsiTheme="minorEastAsia" w:cstheme="minorEastAsia"/>
              </w:rPr>
              <w:t>。</w:t>
            </w:r>
          </w:p>
          <w:p w14:paraId="70B6042D">
            <w:pPr>
              <w:spacing w:line="420" w:lineRule="exact"/>
              <w:rPr>
                <w:rFonts w:hint="default" w:eastAsia="黑体"/>
                <w:lang w:val="en-US" w:eastAsia="zh-CN"/>
              </w:rPr>
            </w:pPr>
            <w:r>
              <w:rPr>
                <w:rFonts w:hint="eastAsia" w:asciiTheme="minorEastAsia" w:hAnsiTheme="minorEastAsia" w:cstheme="minorEastAsia"/>
                <w:lang w:val="en-US" w:eastAsia="zh-CN"/>
              </w:rPr>
              <w:t>4、所有款项凭合法发票支付。成交人未按要求开具发票的，采购人有权不予支付，且不承担任何责任。</w:t>
            </w:r>
          </w:p>
        </w:tc>
      </w:tr>
      <w:tr w14:paraId="2DFF0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2555" w:type="dxa"/>
            <w:gridSpan w:val="3"/>
            <w:vAlign w:val="center"/>
          </w:tcPr>
          <w:p w14:paraId="4740E0D5">
            <w:pPr>
              <w:spacing w:line="420" w:lineRule="exact"/>
              <w:jc w:val="center"/>
              <w:rPr>
                <w:rFonts w:ascii="宋体" w:hAnsi="宋体" w:eastAsia="宋体" w:cs="宋体"/>
                <w:b/>
                <w:bCs/>
              </w:rPr>
            </w:pPr>
            <w:r>
              <w:rPr>
                <w:rFonts w:hint="eastAsia" w:ascii="宋体" w:hAnsi="宋体" w:eastAsia="宋体" w:cs="宋体"/>
                <w:b/>
                <w:bCs/>
              </w:rPr>
              <w:t>其他要求</w:t>
            </w:r>
          </w:p>
        </w:tc>
        <w:tc>
          <w:tcPr>
            <w:tcW w:w="7420" w:type="dxa"/>
            <w:vAlign w:val="center"/>
          </w:tcPr>
          <w:p w14:paraId="1EFE272B">
            <w:pPr>
              <w:widowControl/>
              <w:spacing w:line="360" w:lineRule="auto"/>
              <w:ind w:firstLine="422" w:firstLineChars="200"/>
              <w:jc w:val="left"/>
              <w:outlineLvl w:val="0"/>
              <w:rPr>
                <w:rFonts w:ascii="宋体" w:hAnsi="宋体" w:cs="宋体"/>
                <w:color w:val="000000" w:themeColor="text1"/>
                <w:szCs w:val="21"/>
                <w:lang w:val="zh-CN"/>
                <w14:textFill>
                  <w14:solidFill>
                    <w14:schemeClr w14:val="tx1"/>
                  </w14:solidFill>
                </w14:textFill>
              </w:rPr>
            </w:pPr>
            <w:r>
              <w:rPr>
                <w:rFonts w:hint="eastAsia" w:ascii="宋体" w:hAnsi="宋体" w:eastAsia="宋体" w:cs="宋体"/>
                <w:b/>
                <w:bCs/>
                <w:szCs w:val="21"/>
              </w:rPr>
              <w:t>▲</w:t>
            </w:r>
            <w:r>
              <w:rPr>
                <w:rFonts w:hint="eastAsia" w:ascii="宋体" w:hAnsi="宋体" w:cs="宋体"/>
                <w:color w:val="000000" w:themeColor="text1"/>
                <w:szCs w:val="21"/>
                <w14:textFill>
                  <w14:solidFill>
                    <w14:schemeClr w14:val="tx1"/>
                  </w14:solidFill>
                </w14:textFill>
              </w:rPr>
              <w:t>一、</w:t>
            </w:r>
            <w:r>
              <w:rPr>
                <w:rFonts w:hint="eastAsia" w:ascii="宋体" w:hAnsi="宋体" w:cs="宋体"/>
                <w:color w:val="000000" w:themeColor="text1"/>
                <w:szCs w:val="21"/>
                <w:lang w:val="zh-CN"/>
                <w14:textFill>
                  <w14:solidFill>
                    <w14:schemeClr w14:val="tx1"/>
                  </w14:solidFill>
                </w14:textFill>
              </w:rPr>
              <w:t>竞价时文件上传要求：供应商必须上传以下材料，所提供材料必须加盖供应商公章，未按要求提供的按无效响应处理：</w:t>
            </w:r>
          </w:p>
          <w:p w14:paraId="173163A8">
            <w:pPr>
              <w:widowControl/>
              <w:spacing w:line="360" w:lineRule="auto"/>
              <w:ind w:firstLine="420" w:firstLineChars="200"/>
              <w:jc w:val="left"/>
              <w:outlineLvl w:val="0"/>
              <w:rPr>
                <w:rFonts w:ascii="宋体" w:hAnsi="宋体" w:cs="宋体"/>
                <w:color w:val="000000" w:themeColor="text1"/>
                <w:szCs w:val="21"/>
                <w:lang w:val="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r>
              <w:rPr>
                <w:rFonts w:hint="eastAsia" w:ascii="宋体" w:hAnsi="宋体" w:cs="宋体"/>
                <w:color w:val="000000" w:themeColor="text1"/>
                <w:szCs w:val="21"/>
                <w:lang w:val="zh-CN"/>
                <w14:textFill>
                  <w14:solidFill>
                    <w14:schemeClr w14:val="tx1"/>
                  </w14:solidFill>
                </w14:textFill>
              </w:rPr>
              <w:t>供应商营业执照复印件；</w:t>
            </w:r>
          </w:p>
          <w:p w14:paraId="5CC8DF00">
            <w:pPr>
              <w:widowControl/>
              <w:spacing w:line="360" w:lineRule="auto"/>
              <w:ind w:firstLine="420" w:firstLineChars="200"/>
              <w:jc w:val="left"/>
              <w:outlineLvl w:val="0"/>
              <w:rPr>
                <w:rFonts w:ascii="宋体" w:hAnsi="宋体" w:cs="宋体"/>
                <w:color w:val="000000" w:themeColor="text1"/>
                <w:szCs w:val="21"/>
                <w:lang w:val="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2、</w:t>
            </w:r>
            <w:r>
              <w:rPr>
                <w:rFonts w:hint="eastAsia" w:ascii="宋体" w:hAnsi="宋体" w:cs="宋体"/>
                <w:color w:val="000000" w:themeColor="text1"/>
                <w:szCs w:val="21"/>
                <w:lang w:val="zh-CN"/>
                <w14:textFill>
                  <w14:solidFill>
                    <w14:schemeClr w14:val="tx1"/>
                  </w14:solidFill>
                </w14:textFill>
              </w:rPr>
              <w:t>供应商电梯安装含修理资质；</w:t>
            </w:r>
          </w:p>
          <w:p w14:paraId="211FDAF8">
            <w:pPr>
              <w:widowControl/>
              <w:spacing w:line="360" w:lineRule="auto"/>
              <w:ind w:firstLine="420" w:firstLineChars="200"/>
              <w:jc w:val="left"/>
              <w:outlineLvl w:val="0"/>
              <w:rPr>
                <w:rFonts w:ascii="宋体" w:hAnsi="宋体" w:cs="宋体"/>
                <w:color w:val="000000" w:themeColor="text1"/>
                <w:szCs w:val="21"/>
                <w:lang w:val="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3、</w:t>
            </w:r>
            <w:r>
              <w:rPr>
                <w:rFonts w:hint="eastAsia" w:ascii="宋体" w:hAnsi="宋体" w:cs="宋体"/>
                <w:color w:val="000000" w:themeColor="text1"/>
                <w:szCs w:val="21"/>
                <w:lang w:val="zh-CN"/>
                <w14:textFill>
                  <w14:solidFill>
                    <w14:schemeClr w14:val="tx1"/>
                  </w14:solidFill>
                </w14:textFill>
              </w:rPr>
              <w:t>电梯品牌生产厂家《中华人民共和国特种设备制造许可证》或《中华人民共和国特种设备生产许可证》；</w:t>
            </w:r>
          </w:p>
          <w:p w14:paraId="5E201902">
            <w:pPr>
              <w:widowControl/>
              <w:spacing w:line="360" w:lineRule="auto"/>
              <w:ind w:firstLine="420" w:firstLineChars="200"/>
              <w:jc w:val="left"/>
              <w:outlineLvl w:val="0"/>
              <w:rPr>
                <w:rFonts w:ascii="宋体" w:hAnsi="宋体" w:cs="宋体"/>
                <w:color w:val="000000" w:themeColor="text1"/>
                <w:szCs w:val="21"/>
                <w:lang w:val="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4、</w:t>
            </w:r>
            <w:r>
              <w:rPr>
                <w:rFonts w:hint="eastAsia" w:ascii="宋体" w:hAnsi="宋体" w:cs="宋体"/>
                <w:color w:val="000000" w:themeColor="text1"/>
                <w:szCs w:val="21"/>
                <w:lang w:val="zh-CN"/>
                <w14:textFill>
                  <w14:solidFill>
                    <w14:schemeClr w14:val="tx1"/>
                  </w14:solidFill>
                </w14:textFill>
              </w:rPr>
              <w:t>电梯品牌生产厂家营业执照复印件；</w:t>
            </w:r>
          </w:p>
          <w:p w14:paraId="106C556B">
            <w:pPr>
              <w:pStyle w:val="7"/>
              <w:spacing w:after="0" w:line="420" w:lineRule="exact"/>
              <w:rPr>
                <w:rFonts w:asciiTheme="minorEastAsia" w:hAnsiTheme="minorEastAsia" w:cstheme="minorEastAsia"/>
              </w:rPr>
            </w:pPr>
            <w:r>
              <w:rPr>
                <w:rFonts w:hint="eastAsia" w:asciiTheme="minorEastAsia" w:hAnsiTheme="minorEastAsia" w:cstheme="minorEastAsia"/>
              </w:rPr>
              <w:t>二、成交供应商提交的产品必须是全新且没有使用过的，品种、型号、规格、技术参数、质量不符合合同规定及采购需求规定标准的，采购人有权拒收该货物。成交供应商拒绝更换货物的，采购人可单方面解除合同，并有权要求成交供应商赔偿经济损失。</w:t>
            </w:r>
          </w:p>
          <w:p w14:paraId="2715AEBB">
            <w:pPr>
              <w:pStyle w:val="7"/>
              <w:spacing w:after="0" w:line="420" w:lineRule="exact"/>
              <w:rPr>
                <w:rFonts w:asciiTheme="minorEastAsia" w:hAnsiTheme="minorEastAsia" w:cstheme="minorEastAsia"/>
              </w:rPr>
            </w:pPr>
            <w:r>
              <w:rPr>
                <w:rFonts w:hint="eastAsia" w:asciiTheme="minorEastAsia" w:hAnsiTheme="minorEastAsia" w:cstheme="minorEastAsia"/>
              </w:rPr>
              <w:t>三、所有零部件、配件必须是未经使用的全新的并符合国家有关质量安全标准的产品。</w:t>
            </w:r>
          </w:p>
          <w:p w14:paraId="05DD1301">
            <w:pPr>
              <w:pStyle w:val="7"/>
              <w:spacing w:after="0" w:line="420" w:lineRule="exact"/>
              <w:rPr>
                <w:rFonts w:asciiTheme="minorEastAsia" w:hAnsiTheme="minorEastAsia" w:cstheme="minorEastAsia"/>
              </w:rPr>
            </w:pPr>
            <w:r>
              <w:rPr>
                <w:rFonts w:hint="eastAsia" w:asciiTheme="minorEastAsia" w:hAnsiTheme="minorEastAsia" w:cstheme="minorEastAsia"/>
              </w:rPr>
              <w:t>四、设备应包括必备的易损易耗备件和专用工具。</w:t>
            </w:r>
          </w:p>
          <w:p w14:paraId="0D2EC364">
            <w:pPr>
              <w:pStyle w:val="7"/>
              <w:spacing w:after="0" w:line="420" w:lineRule="exact"/>
              <w:rPr>
                <w:rFonts w:asciiTheme="minorEastAsia" w:hAnsiTheme="minorEastAsia" w:cstheme="minorEastAsia"/>
              </w:rPr>
            </w:pPr>
            <w:r>
              <w:rPr>
                <w:rFonts w:hint="eastAsia" w:asciiTheme="minorEastAsia" w:hAnsiTheme="minorEastAsia" w:cstheme="minorEastAsia"/>
              </w:rPr>
              <w:t>五、成交供应商提供的货物及服务不满足采购需求而导致验收不合格的，采购人有权解除合同并追究成交供应商的法律责任。</w:t>
            </w:r>
          </w:p>
          <w:p w14:paraId="560A8561">
            <w:pPr>
              <w:pStyle w:val="7"/>
              <w:spacing w:after="0" w:line="420" w:lineRule="exact"/>
              <w:rPr>
                <w:rFonts w:asciiTheme="minorEastAsia" w:hAnsiTheme="minorEastAsia" w:cstheme="minorEastAsia"/>
              </w:rPr>
            </w:pPr>
            <w:r>
              <w:rPr>
                <w:rFonts w:hint="eastAsia" w:asciiTheme="minorEastAsia" w:hAnsiTheme="minorEastAsia" w:cstheme="minorEastAsia"/>
              </w:rPr>
              <w:t>六、质保期内，成交供应商对设备须提供足够的备件、附件和易损件并保证是合格的产品，以满足设备正常运行的需要。</w:t>
            </w:r>
          </w:p>
          <w:p w14:paraId="6CABC0F6">
            <w:pPr>
              <w:pStyle w:val="7"/>
              <w:spacing w:after="0" w:line="420" w:lineRule="exact"/>
              <w:rPr>
                <w:rFonts w:asciiTheme="minorEastAsia" w:hAnsiTheme="minorEastAsia" w:cstheme="minorEastAsia"/>
              </w:rPr>
            </w:pPr>
            <w:r>
              <w:rPr>
                <w:rFonts w:hint="eastAsia" w:asciiTheme="minorEastAsia" w:hAnsiTheme="minorEastAsia" w:cstheme="minorEastAsia"/>
              </w:rPr>
              <w:t>七、所提供的配备品备件及耗材等必须是未经使用的全新的产品。该项费用应包含在竞标报价中。</w:t>
            </w:r>
          </w:p>
          <w:p w14:paraId="14169EB2">
            <w:pPr>
              <w:pStyle w:val="7"/>
              <w:spacing w:after="0" w:line="420" w:lineRule="exact"/>
              <w:rPr>
                <w:rFonts w:asciiTheme="minorEastAsia" w:hAnsiTheme="minorEastAsia" w:cstheme="minorEastAsia"/>
                <w:highlight w:val="yellow"/>
              </w:rPr>
            </w:pPr>
            <w:r>
              <w:rPr>
                <w:rFonts w:hint="eastAsia" w:asciiTheme="minorEastAsia" w:hAnsiTheme="minorEastAsia" w:cstheme="minorEastAsia"/>
              </w:rPr>
              <w:t>八、供应商存在不按要求报价、接到采购人书面竞价审查通知书后无法按规定提交合格的审查资料、中标（成交）后无故放弃或不按合同履行等违约行为的，采购人有权向成交供应商追偿其所造成的损失。</w:t>
            </w:r>
          </w:p>
          <w:p w14:paraId="6E9D00F8">
            <w:pPr>
              <w:pStyle w:val="7"/>
              <w:spacing w:after="0" w:line="420" w:lineRule="exact"/>
              <w:rPr>
                <w:rFonts w:asciiTheme="minorEastAsia" w:hAnsiTheme="minorEastAsia" w:cstheme="minorEastAsia"/>
              </w:rPr>
            </w:pPr>
            <w:r>
              <w:rPr>
                <w:rFonts w:hint="eastAsia" w:asciiTheme="minorEastAsia" w:hAnsiTheme="minorEastAsia" w:cstheme="minorEastAsia"/>
              </w:rPr>
              <w:t>九、成交供应商不得在成交后将项目分包或转包。</w:t>
            </w:r>
          </w:p>
          <w:p w14:paraId="42D2D9EC">
            <w:pPr>
              <w:pStyle w:val="7"/>
              <w:spacing w:after="0" w:line="420" w:lineRule="exact"/>
              <w:rPr>
                <w:rFonts w:ascii="宋体" w:hAnsi="宋体" w:eastAsia="宋体" w:cs="宋体"/>
              </w:rPr>
            </w:pPr>
            <w:r>
              <w:rPr>
                <w:rFonts w:hint="eastAsia" w:ascii="宋体" w:hAnsi="宋体" w:eastAsia="宋体" w:cs="宋体"/>
              </w:rPr>
              <w:t>十、成交供应商在成交后必须出示成交品牌生产厂家的项目授权书。</w:t>
            </w:r>
          </w:p>
        </w:tc>
      </w:tr>
      <w:tr w14:paraId="3575E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9975" w:type="dxa"/>
            <w:gridSpan w:val="4"/>
            <w:vAlign w:val="center"/>
          </w:tcPr>
          <w:p w14:paraId="2B13E647">
            <w:pPr>
              <w:rPr>
                <w:rFonts w:ascii="宋体" w:hAnsi="宋体" w:eastAsia="宋体" w:cs="宋体"/>
              </w:rPr>
            </w:pPr>
            <w:r>
              <w:rPr>
                <w:rFonts w:hint="eastAsia" w:ascii="宋体" w:hAnsi="宋体" w:eastAsia="宋体" w:cs="宋体"/>
                <w:b/>
                <w:szCs w:val="21"/>
              </w:rPr>
              <w:t>备注：本项目采购需求中标记</w:t>
            </w:r>
            <w:r>
              <w:rPr>
                <w:rFonts w:hint="eastAsia" w:ascii="宋体" w:hAnsi="宋体" w:eastAsia="宋体" w:cs="宋体"/>
                <w:b/>
                <w:bCs/>
                <w:szCs w:val="21"/>
              </w:rPr>
              <w:t>▲</w:t>
            </w:r>
            <w:r>
              <w:rPr>
                <w:rFonts w:hint="eastAsia" w:ascii="宋体" w:hAnsi="宋体" w:eastAsia="宋体" w:cs="宋体"/>
                <w:b/>
                <w:szCs w:val="21"/>
              </w:rPr>
              <w:t>符号的，必须满足或优于，否则，作无效处理。</w:t>
            </w:r>
          </w:p>
        </w:tc>
      </w:tr>
      <w:tr w14:paraId="7DECD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9975" w:type="dxa"/>
            <w:gridSpan w:val="4"/>
            <w:vAlign w:val="center"/>
          </w:tcPr>
          <w:p w14:paraId="087EA782">
            <w:pPr>
              <w:rPr>
                <w:rFonts w:ascii="宋体" w:hAnsi="宋体" w:eastAsia="宋体" w:cs="宋体"/>
                <w:b/>
                <w:bCs/>
              </w:rPr>
            </w:pPr>
            <w:r>
              <w:rPr>
                <w:rFonts w:hint="eastAsia" w:ascii="宋体" w:hAnsi="宋体" w:eastAsia="宋体" w:cs="宋体"/>
                <w:b/>
                <w:bCs/>
              </w:rPr>
              <w:t>三、商家须知</w:t>
            </w:r>
          </w:p>
        </w:tc>
      </w:tr>
      <w:tr w14:paraId="2A1B9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6" w:hRule="atLeast"/>
          <w:jc w:val="center"/>
        </w:trPr>
        <w:tc>
          <w:tcPr>
            <w:tcW w:w="2555" w:type="dxa"/>
            <w:gridSpan w:val="3"/>
            <w:vAlign w:val="center"/>
          </w:tcPr>
          <w:p w14:paraId="017FCA8B">
            <w:pPr>
              <w:jc w:val="center"/>
              <w:rPr>
                <w:rFonts w:ascii="宋体" w:hAnsi="宋体" w:eastAsia="宋体" w:cs="宋体"/>
              </w:rPr>
            </w:pPr>
            <w:r>
              <w:rPr>
                <w:rFonts w:hint="eastAsia" w:ascii="宋体" w:hAnsi="宋体" w:eastAsia="宋体" w:cs="宋体"/>
                <w:b/>
                <w:bCs/>
              </w:rPr>
              <w:t>竞价违约处理规则</w:t>
            </w:r>
          </w:p>
        </w:tc>
        <w:tc>
          <w:tcPr>
            <w:tcW w:w="7420" w:type="dxa"/>
          </w:tcPr>
          <w:p w14:paraId="1E89DE23">
            <w:pPr>
              <w:spacing w:line="360" w:lineRule="auto"/>
              <w:rPr>
                <w:rFonts w:ascii="宋体" w:hAnsi="宋体" w:eastAsia="宋体" w:cs="宋体"/>
              </w:rPr>
            </w:pPr>
            <w:r>
              <w:rPr>
                <w:rFonts w:hint="eastAsia" w:ascii="宋体" w:hAnsi="宋体" w:eastAsia="宋体" w:cs="宋体"/>
              </w:rPr>
              <w:t>竞价供应商存在不按要求报价、中标后无故放弃、不按合同履行等违约行为的，经采购人举报且平台或政府采购管理部门确认的，将按政府采购法律法规以及《广西壮族自治区电子卖场平台管理协议》规定进行处罚。</w:t>
            </w:r>
          </w:p>
        </w:tc>
      </w:tr>
    </w:tbl>
    <w:p w14:paraId="34785762">
      <w:pPr>
        <w:rPr>
          <w:rFonts w:hint="eastAsia"/>
        </w:rPr>
      </w:pPr>
    </w:p>
    <w:sectPr>
      <w:footerReference r:id="rId4"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354D29">
    <w:pPr>
      <w:pStyle w:val="11"/>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DD3BC1">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2DD3BC1">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83A1D8">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D9107C6">
                          <w:pPr>
                            <w:pStyle w:val="11"/>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fill on="f" focussize="0,0"/>
              <v:stroke on="f" weight="0.5pt"/>
              <v:imagedata o:title=""/>
              <o:lock v:ext="edit" aspectratio="f"/>
              <v:textbox inset="0mm,0mm,0mm,0mm" style="mso-fit-shape-to-text:t;">
                <w:txbxContent>
                  <w:p w14:paraId="0D9107C6">
                    <w:pPr>
                      <w:pStyle w:val="11"/>
                    </w:pPr>
                    <w:r>
                      <w:fldChar w:fldCharType="begin"/>
                    </w:r>
                    <w:r>
                      <w:instrText xml:space="preserve"> PAGE  \* MERGEFORMAT </w:instrText>
                    </w:r>
                    <w:r>
                      <w:fldChar w:fldCharType="separate"/>
                    </w:r>
                    <w:r>
                      <w:t>6</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UwZWU0MTJiNGQ1ZmVlMDlhMGNiZmM3YTBmMTM0OWMifQ=="/>
  </w:docVars>
  <w:rsids>
    <w:rsidRoot w:val="41345497"/>
    <w:rsid w:val="00024648"/>
    <w:rsid w:val="00034C39"/>
    <w:rsid w:val="00054C2D"/>
    <w:rsid w:val="0007453F"/>
    <w:rsid w:val="000C6FCF"/>
    <w:rsid w:val="000D3C36"/>
    <w:rsid w:val="000E0984"/>
    <w:rsid w:val="00121F05"/>
    <w:rsid w:val="00213092"/>
    <w:rsid w:val="0025278E"/>
    <w:rsid w:val="002B715C"/>
    <w:rsid w:val="002C4A79"/>
    <w:rsid w:val="002F7B19"/>
    <w:rsid w:val="0031483A"/>
    <w:rsid w:val="00330765"/>
    <w:rsid w:val="003315D7"/>
    <w:rsid w:val="00354DD1"/>
    <w:rsid w:val="00355884"/>
    <w:rsid w:val="003A7983"/>
    <w:rsid w:val="003C097D"/>
    <w:rsid w:val="003E0015"/>
    <w:rsid w:val="003E176C"/>
    <w:rsid w:val="00462523"/>
    <w:rsid w:val="004A1DAB"/>
    <w:rsid w:val="004C415C"/>
    <w:rsid w:val="00564590"/>
    <w:rsid w:val="005C3686"/>
    <w:rsid w:val="005D4094"/>
    <w:rsid w:val="005F1FE7"/>
    <w:rsid w:val="006A659B"/>
    <w:rsid w:val="006A7764"/>
    <w:rsid w:val="006C4CF0"/>
    <w:rsid w:val="006F466B"/>
    <w:rsid w:val="00710542"/>
    <w:rsid w:val="00836EBD"/>
    <w:rsid w:val="0086371F"/>
    <w:rsid w:val="00874411"/>
    <w:rsid w:val="008848B6"/>
    <w:rsid w:val="00914D67"/>
    <w:rsid w:val="00920DEE"/>
    <w:rsid w:val="00944BC0"/>
    <w:rsid w:val="00964859"/>
    <w:rsid w:val="00973140"/>
    <w:rsid w:val="00A132F1"/>
    <w:rsid w:val="00A3108C"/>
    <w:rsid w:val="00A417BF"/>
    <w:rsid w:val="00A42AFA"/>
    <w:rsid w:val="00A60DCD"/>
    <w:rsid w:val="00A6734F"/>
    <w:rsid w:val="00AE08BD"/>
    <w:rsid w:val="00AE6A7F"/>
    <w:rsid w:val="00B86555"/>
    <w:rsid w:val="00BC3C9E"/>
    <w:rsid w:val="00BF5FF7"/>
    <w:rsid w:val="00C47773"/>
    <w:rsid w:val="00C55D44"/>
    <w:rsid w:val="00CB3551"/>
    <w:rsid w:val="00CB5D5C"/>
    <w:rsid w:val="00CD7EB5"/>
    <w:rsid w:val="00D051C8"/>
    <w:rsid w:val="00D8385C"/>
    <w:rsid w:val="00DA1974"/>
    <w:rsid w:val="00E8365B"/>
    <w:rsid w:val="00E9519D"/>
    <w:rsid w:val="00EC39EA"/>
    <w:rsid w:val="00EF26CE"/>
    <w:rsid w:val="00F01392"/>
    <w:rsid w:val="00F306FB"/>
    <w:rsid w:val="00F309BD"/>
    <w:rsid w:val="00FD5FD8"/>
    <w:rsid w:val="00FE3AB2"/>
    <w:rsid w:val="00FF2A22"/>
    <w:rsid w:val="00FF6B79"/>
    <w:rsid w:val="012C2855"/>
    <w:rsid w:val="01E30724"/>
    <w:rsid w:val="020801E0"/>
    <w:rsid w:val="029E5731"/>
    <w:rsid w:val="02D432A2"/>
    <w:rsid w:val="0378675C"/>
    <w:rsid w:val="03802AE2"/>
    <w:rsid w:val="03C86237"/>
    <w:rsid w:val="04162F9A"/>
    <w:rsid w:val="045F0592"/>
    <w:rsid w:val="056A1F45"/>
    <w:rsid w:val="073D0C26"/>
    <w:rsid w:val="094D4C66"/>
    <w:rsid w:val="095F763D"/>
    <w:rsid w:val="0A174224"/>
    <w:rsid w:val="0A252635"/>
    <w:rsid w:val="0ACB5B1C"/>
    <w:rsid w:val="0B4A4DE7"/>
    <w:rsid w:val="0C8C0B1C"/>
    <w:rsid w:val="0D4806E2"/>
    <w:rsid w:val="0D4A3843"/>
    <w:rsid w:val="0D99176D"/>
    <w:rsid w:val="0F144A26"/>
    <w:rsid w:val="0F2B3CB6"/>
    <w:rsid w:val="0F3B5DC5"/>
    <w:rsid w:val="0F9D2789"/>
    <w:rsid w:val="10090303"/>
    <w:rsid w:val="11DE66E1"/>
    <w:rsid w:val="11E42DD6"/>
    <w:rsid w:val="12A73993"/>
    <w:rsid w:val="12D1154D"/>
    <w:rsid w:val="13682A47"/>
    <w:rsid w:val="138F0D0D"/>
    <w:rsid w:val="13A839E0"/>
    <w:rsid w:val="14D26D75"/>
    <w:rsid w:val="16087545"/>
    <w:rsid w:val="162157D8"/>
    <w:rsid w:val="166B062A"/>
    <w:rsid w:val="16F6795A"/>
    <w:rsid w:val="17FA5D26"/>
    <w:rsid w:val="18C13529"/>
    <w:rsid w:val="1A1670E6"/>
    <w:rsid w:val="1A1F3303"/>
    <w:rsid w:val="1B5468D6"/>
    <w:rsid w:val="1B9211AC"/>
    <w:rsid w:val="1B963D2F"/>
    <w:rsid w:val="1C2D7127"/>
    <w:rsid w:val="1C400211"/>
    <w:rsid w:val="1CE3744D"/>
    <w:rsid w:val="1D9E1984"/>
    <w:rsid w:val="1DCB6BF8"/>
    <w:rsid w:val="1DD50922"/>
    <w:rsid w:val="1E594203"/>
    <w:rsid w:val="1F4A7D1A"/>
    <w:rsid w:val="1FC73C5D"/>
    <w:rsid w:val="21701F90"/>
    <w:rsid w:val="21771570"/>
    <w:rsid w:val="22A068A5"/>
    <w:rsid w:val="24121EA5"/>
    <w:rsid w:val="243B4AD7"/>
    <w:rsid w:val="24BB1774"/>
    <w:rsid w:val="24F627AC"/>
    <w:rsid w:val="24FC2312"/>
    <w:rsid w:val="274954EA"/>
    <w:rsid w:val="27BA5D13"/>
    <w:rsid w:val="28C70720"/>
    <w:rsid w:val="291D6417"/>
    <w:rsid w:val="29A44ECD"/>
    <w:rsid w:val="2AC51F3F"/>
    <w:rsid w:val="2B731E6F"/>
    <w:rsid w:val="2CB56D90"/>
    <w:rsid w:val="2D817536"/>
    <w:rsid w:val="2D8C1F00"/>
    <w:rsid w:val="2EE93FE5"/>
    <w:rsid w:val="2F2A30B8"/>
    <w:rsid w:val="301B4E5A"/>
    <w:rsid w:val="30356292"/>
    <w:rsid w:val="30684A83"/>
    <w:rsid w:val="31155667"/>
    <w:rsid w:val="31B9483A"/>
    <w:rsid w:val="32B90276"/>
    <w:rsid w:val="32E335AA"/>
    <w:rsid w:val="355C00FC"/>
    <w:rsid w:val="35717C54"/>
    <w:rsid w:val="358903DE"/>
    <w:rsid w:val="36FE628F"/>
    <w:rsid w:val="3784750C"/>
    <w:rsid w:val="37B54591"/>
    <w:rsid w:val="38613188"/>
    <w:rsid w:val="3947246B"/>
    <w:rsid w:val="399C1311"/>
    <w:rsid w:val="3AE07043"/>
    <w:rsid w:val="3B5C3E5C"/>
    <w:rsid w:val="3C031BC3"/>
    <w:rsid w:val="3C1E061A"/>
    <w:rsid w:val="3CC25807"/>
    <w:rsid w:val="3E09291A"/>
    <w:rsid w:val="3E371A14"/>
    <w:rsid w:val="3F636C25"/>
    <w:rsid w:val="40256F98"/>
    <w:rsid w:val="409075E8"/>
    <w:rsid w:val="40EE0BE6"/>
    <w:rsid w:val="40EF33DD"/>
    <w:rsid w:val="41345497"/>
    <w:rsid w:val="41A5138A"/>
    <w:rsid w:val="41DD0B24"/>
    <w:rsid w:val="425F56E1"/>
    <w:rsid w:val="42925C35"/>
    <w:rsid w:val="429706F9"/>
    <w:rsid w:val="432F3601"/>
    <w:rsid w:val="43E62A15"/>
    <w:rsid w:val="441A6FDC"/>
    <w:rsid w:val="44FD0CFE"/>
    <w:rsid w:val="484217C3"/>
    <w:rsid w:val="4A2A2CAE"/>
    <w:rsid w:val="4A7140CA"/>
    <w:rsid w:val="4AB80380"/>
    <w:rsid w:val="4B883060"/>
    <w:rsid w:val="4C226CFB"/>
    <w:rsid w:val="4CAD3D17"/>
    <w:rsid w:val="4D0849CB"/>
    <w:rsid w:val="4F62668B"/>
    <w:rsid w:val="4F8C5937"/>
    <w:rsid w:val="53F02939"/>
    <w:rsid w:val="55466638"/>
    <w:rsid w:val="57784841"/>
    <w:rsid w:val="58E3481A"/>
    <w:rsid w:val="5922190D"/>
    <w:rsid w:val="593F5A74"/>
    <w:rsid w:val="5A221ED3"/>
    <w:rsid w:val="5AB02B65"/>
    <w:rsid w:val="5AD87741"/>
    <w:rsid w:val="5B2B4E60"/>
    <w:rsid w:val="5CE4128B"/>
    <w:rsid w:val="5CE779D0"/>
    <w:rsid w:val="5D5743EF"/>
    <w:rsid w:val="5FDB0843"/>
    <w:rsid w:val="606426B0"/>
    <w:rsid w:val="6070117E"/>
    <w:rsid w:val="60EB0594"/>
    <w:rsid w:val="6152201F"/>
    <w:rsid w:val="61C72006"/>
    <w:rsid w:val="63D45E8F"/>
    <w:rsid w:val="651936B0"/>
    <w:rsid w:val="661029C7"/>
    <w:rsid w:val="661164FE"/>
    <w:rsid w:val="669B5489"/>
    <w:rsid w:val="67105C25"/>
    <w:rsid w:val="673B7F17"/>
    <w:rsid w:val="68DA358E"/>
    <w:rsid w:val="69493445"/>
    <w:rsid w:val="6985191D"/>
    <w:rsid w:val="69BD4C13"/>
    <w:rsid w:val="6A6A3D28"/>
    <w:rsid w:val="6C3E6FBC"/>
    <w:rsid w:val="6CBA368C"/>
    <w:rsid w:val="6D84448C"/>
    <w:rsid w:val="6DDB153E"/>
    <w:rsid w:val="6EC13D81"/>
    <w:rsid w:val="6FFC56E6"/>
    <w:rsid w:val="7026656E"/>
    <w:rsid w:val="72AD7197"/>
    <w:rsid w:val="737B6A3E"/>
    <w:rsid w:val="7398779A"/>
    <w:rsid w:val="747C40BA"/>
    <w:rsid w:val="750071A9"/>
    <w:rsid w:val="754954F4"/>
    <w:rsid w:val="75822D61"/>
    <w:rsid w:val="76AE321B"/>
    <w:rsid w:val="77642974"/>
    <w:rsid w:val="78276B74"/>
    <w:rsid w:val="78B714BA"/>
    <w:rsid w:val="790F51BA"/>
    <w:rsid w:val="792A47CB"/>
    <w:rsid w:val="79BF02E4"/>
    <w:rsid w:val="79C4587B"/>
    <w:rsid w:val="79DB5C8A"/>
    <w:rsid w:val="7C156EF2"/>
    <w:rsid w:val="7E49222E"/>
    <w:rsid w:val="7E6012A3"/>
    <w:rsid w:val="7EDA4077"/>
    <w:rsid w:val="7F6C4CBA"/>
    <w:rsid w:val="7FC874FF"/>
    <w:rsid w:val="7FCD73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link w:val="20"/>
    <w:qFormat/>
    <w:uiPriority w:val="0"/>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unhideWhenUsed/>
    <w:qFormat/>
    <w:uiPriority w:val="9"/>
    <w:pPr>
      <w:keepNext/>
      <w:keepLines/>
      <w:spacing w:before="260" w:after="260" w:line="416" w:lineRule="auto"/>
      <w:outlineLvl w:val="2"/>
    </w:pPr>
    <w:rPr>
      <w:b/>
      <w:bCs/>
      <w:sz w:val="32"/>
      <w:szCs w:val="32"/>
    </w:rPr>
  </w:style>
  <w:style w:type="paragraph" w:styleId="6">
    <w:name w:val="heading 4"/>
    <w:basedOn w:val="1"/>
    <w:next w:val="1"/>
    <w:unhideWhenUsed/>
    <w:qFormat/>
    <w:uiPriority w:val="9"/>
    <w:pPr>
      <w:keepNext/>
      <w:keepLines/>
      <w:widowControl/>
      <w:tabs>
        <w:tab w:val="left" w:pos="864"/>
      </w:tabs>
      <w:spacing w:before="280" w:after="290"/>
      <w:jc w:val="center"/>
      <w:outlineLvl w:val="3"/>
    </w:pPr>
    <w:rPr>
      <w:rFonts w:ascii="Arial" w:hAnsi="Arial"/>
      <w:b/>
      <w:bCs/>
      <w:kern w:val="0"/>
      <w:sz w:val="28"/>
      <w:szCs w:val="28"/>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customStyle="1" w:styleId="2">
    <w:name w:val="样式 标题 2 + 宋体"/>
    <w:basedOn w:val="3"/>
    <w:qFormat/>
    <w:uiPriority w:val="99"/>
    <w:rPr>
      <w:rFonts w:ascii="宋体" w:hAnsi="宋体"/>
      <w:sz w:val="30"/>
    </w:rPr>
  </w:style>
  <w:style w:type="paragraph" w:styleId="7">
    <w:name w:val="Body Text"/>
    <w:basedOn w:val="1"/>
    <w:unhideWhenUsed/>
    <w:qFormat/>
    <w:uiPriority w:val="99"/>
    <w:pPr>
      <w:spacing w:after="120"/>
    </w:pPr>
  </w:style>
  <w:style w:type="paragraph" w:styleId="8">
    <w:name w:val="Body Text Indent"/>
    <w:basedOn w:val="1"/>
    <w:qFormat/>
    <w:uiPriority w:val="0"/>
    <w:pPr>
      <w:spacing w:after="120"/>
      <w:ind w:left="420" w:leftChars="200"/>
    </w:pPr>
  </w:style>
  <w:style w:type="paragraph" w:styleId="9">
    <w:name w:val="Plain Text"/>
    <w:basedOn w:val="1"/>
    <w:qFormat/>
    <w:uiPriority w:val="0"/>
    <w:rPr>
      <w:rFonts w:ascii="宋体" w:hAnsi="Courier New" w:cs="Courier New"/>
      <w:szCs w:val="21"/>
    </w:rPr>
  </w:style>
  <w:style w:type="paragraph" w:styleId="10">
    <w:name w:val="Body Text Indent 2"/>
    <w:basedOn w:val="1"/>
    <w:qFormat/>
    <w:uiPriority w:val="0"/>
    <w:pPr>
      <w:snapToGrid w:val="0"/>
      <w:spacing w:line="360" w:lineRule="auto"/>
      <w:ind w:firstLine="480"/>
    </w:pPr>
    <w:rPr>
      <w:rFonts w:ascii="宋体"/>
      <w:i/>
      <w:szCs w:val="20"/>
    </w:r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14">
    <w:name w:val="Table Grid"/>
    <w:basedOn w:val="13"/>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0"/>
    <w:rPr>
      <w:b/>
    </w:rPr>
  </w:style>
  <w:style w:type="paragraph" w:customStyle="1" w:styleId="17">
    <w:name w:val="表格文字"/>
    <w:basedOn w:val="1"/>
    <w:qFormat/>
    <w:uiPriority w:val="0"/>
    <w:pPr>
      <w:jc w:val="left"/>
    </w:pPr>
    <w:rPr>
      <w:bCs/>
      <w:spacing w:val="10"/>
      <w:kern w:val="0"/>
      <w:sz w:val="24"/>
      <w:szCs w:val="20"/>
    </w:rPr>
  </w:style>
  <w:style w:type="character" w:customStyle="1" w:styleId="18">
    <w:name w:val="NormalCharacter"/>
    <w:semiHidden/>
    <w:qFormat/>
    <w:uiPriority w:val="0"/>
  </w:style>
  <w:style w:type="paragraph" w:customStyle="1" w:styleId="19">
    <w:name w:val="缺省文本"/>
    <w:basedOn w:val="1"/>
    <w:qFormat/>
    <w:uiPriority w:val="0"/>
    <w:pPr>
      <w:autoSpaceDE w:val="0"/>
      <w:autoSpaceDN w:val="0"/>
      <w:adjustRightInd w:val="0"/>
      <w:jc w:val="left"/>
    </w:pPr>
    <w:rPr>
      <w:rFonts w:ascii="Times New Roman" w:hAnsi="Times New Roman" w:eastAsia="宋体" w:cs="Times New Roman"/>
      <w:kern w:val="0"/>
      <w:sz w:val="24"/>
      <w:szCs w:val="20"/>
    </w:rPr>
  </w:style>
  <w:style w:type="character" w:customStyle="1" w:styleId="20">
    <w:name w:val="标题 1 字符"/>
    <w:basedOn w:val="15"/>
    <w:link w:val="4"/>
    <w:qFormat/>
    <w:uiPriority w:val="0"/>
    <w:rPr>
      <w:b/>
      <w:bCs/>
      <w:kern w:val="44"/>
      <w:sz w:val="44"/>
      <w:szCs w:val="44"/>
    </w:rPr>
  </w:style>
  <w:style w:type="paragraph" w:styleId="21">
    <w:name w:val="List Paragraph"/>
    <w:basedOn w:val="1"/>
    <w:qFormat/>
    <w:uiPriority w:val="34"/>
    <w:pPr>
      <w:ind w:firstLine="420" w:firstLineChars="200"/>
    </w:pPr>
    <w:rPr>
      <w:rFonts w:ascii="Times New Roman" w:hAnsi="Times New Roman" w:eastAsia="宋体" w:cs="Times New Roman"/>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Pages>
  <Words>2911</Words>
  <Characters>3064</Characters>
  <Lines>52</Lines>
  <Paragraphs>14</Paragraphs>
  <TotalTime>0</TotalTime>
  <ScaleCrop>false</ScaleCrop>
  <LinksUpToDate>false</LinksUpToDate>
  <CharactersWithSpaces>3114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2026-06-11T04:09:00Z</dcterms:created>
  <dc:creator>Unbreakable。</dc:creator>
  <cp:lastModifiedBy>冰与火之歌</cp:lastModifiedBy>
  <cp:lastPrinted>2025-06-11T02:23:00Z</cp:lastPrinted>
  <dcterms:modified xsi:type="dcterms:W3CDTF">2026-07-23T04:01:28Z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2BCB64AF087741159EA6404FDDA72B47_13</vt:lpwstr>
  </property>
  <property fmtid="{D5CDD505-2E9C-101B-9397-08002B2CF9AE}" pid="4" name="commondata">
    <vt:lpwstr>eyJoZGlkIjoiMDMwN2U0ZjMwYzJjMjU2M2JmYTk1OGVhYjNkM2UzYWIifQ==</vt:lpwstr>
  </property>
  <property fmtid="{D5CDD505-2E9C-101B-9397-08002B2CF9AE}" pid="5" name="KSOTemplateDocerSaveRecord">
    <vt:lpwstr>eyJoZGlkIjoiYmUzZjJhZTdmOGNhNjg3ZjRkMDhjMmMzMzI2OWU5ZjMiLCJ1c2VySWQiOiI5NjYyNTYyOTIifQ==</vt:lpwstr>
  </property>
</Properties>
</file>