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B65B3">
      <w:pPr>
        <w:spacing w:line="600" w:lineRule="exact"/>
        <w:ind w:left="-567" w:right="25"/>
        <w:jc w:val="center"/>
        <w:rPr>
          <w:rFonts w:hint="eastAsia" w:ascii="宋体" w:hAnsi="宋体" w:cs="宋体"/>
          <w:b/>
          <w:bCs/>
          <w:color w:val="auto"/>
          <w:sz w:val="44"/>
          <w:szCs w:val="44"/>
        </w:rPr>
      </w:pPr>
      <w:r>
        <w:rPr>
          <w:rFonts w:hint="eastAsia" w:ascii="宋体" w:hAnsi="宋体" w:cs="宋体"/>
          <w:b/>
          <w:bCs/>
          <w:color w:val="auto"/>
          <w:sz w:val="44"/>
          <w:szCs w:val="44"/>
          <w:lang w:val="en-US" w:eastAsia="zh-CN"/>
        </w:rPr>
        <w:t>广西中医药大学</w:t>
      </w:r>
      <w:r>
        <w:rPr>
          <w:rFonts w:hint="eastAsia" w:ascii="宋体" w:hAnsi="宋体" w:cs="宋体"/>
          <w:b/>
          <w:bCs/>
          <w:color w:val="auto"/>
          <w:sz w:val="44"/>
          <w:szCs w:val="44"/>
        </w:rPr>
        <w:t>采购项目</w:t>
      </w:r>
    </w:p>
    <w:p w14:paraId="1F9A3432">
      <w:pPr>
        <w:spacing w:line="600" w:lineRule="exact"/>
        <w:ind w:left="-567" w:right="25"/>
        <w:jc w:val="center"/>
        <w:rPr>
          <w:rFonts w:hint="eastAsia" w:ascii="仿宋" w:hAnsi="仿宋" w:eastAsia="仿宋" w:cs="仿宋"/>
          <w:color w:val="auto"/>
          <w:highlight w:val="none"/>
          <w:lang w:eastAsia="zh-CN"/>
        </w:rPr>
      </w:pPr>
      <w:r>
        <w:rPr>
          <w:rFonts w:hint="eastAsia" w:ascii="宋体" w:hAnsi="宋体" w:cs="宋体"/>
          <w:b/>
          <w:bCs/>
          <w:color w:val="auto"/>
          <w:sz w:val="44"/>
          <w:szCs w:val="44"/>
          <w:highlight w:val="none"/>
        </w:rPr>
        <w:t>询价文件</w:t>
      </w:r>
    </w:p>
    <w:p w14:paraId="0130FD74">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一、</w:t>
      </w:r>
      <w:r>
        <w:rPr>
          <w:rFonts w:hint="eastAsia" w:ascii="宋体" w:hAnsi="宋体" w:cs="宋体"/>
          <w:b/>
          <w:bCs w:val="0"/>
          <w:color w:val="auto"/>
          <w:sz w:val="28"/>
          <w:szCs w:val="28"/>
          <w:lang w:eastAsia="zh-CN"/>
        </w:rPr>
        <w:t>项目名称：</w:t>
      </w:r>
      <w:r>
        <w:rPr>
          <w:rFonts w:hint="eastAsia" w:ascii="宋体" w:hAnsi="宋体" w:cs="宋体"/>
          <w:b w:val="0"/>
          <w:bCs/>
          <w:color w:val="auto"/>
          <w:sz w:val="28"/>
          <w:szCs w:val="28"/>
          <w:lang w:val="en-US" w:eastAsia="zh-CN"/>
        </w:rPr>
        <w:t>广西中医药大学2026年数智化口腔医学实践中心建设集采目录设备采购</w:t>
      </w:r>
    </w:p>
    <w:p w14:paraId="20731D9C">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二、</w:t>
      </w:r>
      <w:r>
        <w:rPr>
          <w:rFonts w:hint="eastAsia" w:ascii="宋体" w:hAnsi="宋体" w:cs="宋体"/>
          <w:b/>
          <w:bCs w:val="0"/>
          <w:color w:val="auto"/>
          <w:sz w:val="28"/>
          <w:szCs w:val="28"/>
          <w:highlight w:val="none"/>
          <w:lang w:val="en-US" w:eastAsia="zh-CN"/>
        </w:rPr>
        <w:t>询价文件编号</w:t>
      </w:r>
      <w:r>
        <w:rPr>
          <w:rFonts w:hint="eastAsia" w:ascii="宋体" w:hAnsi="宋体" w:cs="宋体"/>
          <w:b/>
          <w:color w:val="auto"/>
          <w:sz w:val="28"/>
          <w:szCs w:val="28"/>
          <w:highlight w:val="none"/>
        </w:rPr>
        <w:t>：</w:t>
      </w:r>
      <w:r>
        <w:rPr>
          <w:rFonts w:ascii="仿宋" w:hAnsi="仿宋" w:eastAsia="仿宋" w:cs="仿宋"/>
          <w:i w:val="0"/>
          <w:iCs w:val="0"/>
          <w:caps w:val="0"/>
          <w:color w:val="auto"/>
          <w:spacing w:val="0"/>
          <w:sz w:val="31"/>
          <w:szCs w:val="31"/>
          <w:shd w:val="clear" w:color="auto" w:fill="FFFFFF"/>
        </w:rPr>
        <w:t>GUCM-202</w:t>
      </w:r>
      <w:r>
        <w:rPr>
          <w:rFonts w:hint="eastAsia" w:ascii="仿宋" w:hAnsi="仿宋" w:eastAsia="仿宋" w:cs="仿宋"/>
          <w:i w:val="0"/>
          <w:iCs w:val="0"/>
          <w:caps w:val="0"/>
          <w:color w:val="auto"/>
          <w:spacing w:val="0"/>
          <w:sz w:val="31"/>
          <w:szCs w:val="31"/>
          <w:shd w:val="clear" w:color="auto" w:fill="FFFFFF"/>
          <w:lang w:val="en-US" w:eastAsia="zh-CN"/>
        </w:rPr>
        <w:t>6-ZCYXJ-004-LWJ</w:t>
      </w:r>
    </w:p>
    <w:p w14:paraId="251CF26D">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三、</w:t>
      </w:r>
      <w:r>
        <w:rPr>
          <w:rFonts w:hint="eastAsia" w:ascii="宋体" w:hAnsi="宋体" w:cs="宋体"/>
          <w:b/>
          <w:bCs w:val="0"/>
          <w:color w:val="auto"/>
          <w:sz w:val="28"/>
          <w:szCs w:val="28"/>
          <w:highlight w:val="none"/>
          <w:lang w:eastAsia="zh-CN"/>
        </w:rPr>
        <w:t>预算金额</w:t>
      </w:r>
      <w:r>
        <w:rPr>
          <w:rFonts w:hint="eastAsia" w:ascii="宋体" w:hAnsi="宋体"/>
          <w:b w:val="0"/>
          <w:bCs/>
          <w:color w:val="auto"/>
          <w:sz w:val="28"/>
          <w:szCs w:val="28"/>
          <w:highlight w:val="none"/>
          <w:lang w:eastAsia="zh-CN"/>
        </w:rPr>
        <w:t>：</w:t>
      </w:r>
      <w:r>
        <w:rPr>
          <w:rFonts w:hint="eastAsia" w:ascii="宋体" w:hAnsi="宋体"/>
          <w:b w:val="0"/>
          <w:bCs/>
          <w:color w:val="auto"/>
          <w:sz w:val="28"/>
          <w:szCs w:val="28"/>
          <w:highlight w:val="none"/>
          <w:lang w:val="en-US" w:eastAsia="zh-CN"/>
        </w:rPr>
        <w:t>人民币大写肆拾捌万柒仟元整（</w:t>
      </w:r>
      <w:r>
        <w:rPr>
          <w:rFonts w:hint="default" w:ascii="Arial" w:hAnsi="Arial" w:cs="Arial"/>
          <w:b w:val="0"/>
          <w:bCs/>
          <w:color w:val="auto"/>
          <w:sz w:val="28"/>
          <w:szCs w:val="28"/>
          <w:highlight w:val="none"/>
          <w:lang w:val="en-US" w:eastAsia="zh-CN"/>
        </w:rPr>
        <w:t>¥</w:t>
      </w:r>
      <w:r>
        <w:rPr>
          <w:rFonts w:hint="eastAsia" w:ascii="宋体" w:hAnsi="宋体"/>
          <w:b w:val="0"/>
          <w:bCs/>
          <w:color w:val="auto"/>
          <w:sz w:val="28"/>
          <w:szCs w:val="28"/>
          <w:highlight w:val="none"/>
          <w:lang w:val="en-US" w:eastAsia="zh-CN"/>
        </w:rPr>
        <w:t>487000.00）</w:t>
      </w:r>
    </w:p>
    <w:p w14:paraId="7870B7C9">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四、</w:t>
      </w:r>
      <w:r>
        <w:rPr>
          <w:rFonts w:hint="eastAsia" w:ascii="宋体" w:hAnsi="宋体" w:cs="宋体"/>
          <w:b/>
          <w:bCs w:val="0"/>
          <w:color w:val="auto"/>
          <w:sz w:val="28"/>
          <w:szCs w:val="28"/>
        </w:rPr>
        <w:t>采购项目技术规格、参数及要求</w:t>
      </w:r>
    </w:p>
    <w:tbl>
      <w:tblPr>
        <w:tblStyle w:val="34"/>
        <w:tblpPr w:leftFromText="180" w:rightFromText="180" w:vertAnchor="text" w:horzAnchor="page" w:tblpX="564" w:tblpY="895"/>
        <w:tblOverlap w:val="never"/>
        <w:tblW w:w="108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
        <w:gridCol w:w="535"/>
        <w:gridCol w:w="1003"/>
        <w:gridCol w:w="5167"/>
        <w:gridCol w:w="614"/>
        <w:gridCol w:w="379"/>
        <w:gridCol w:w="379"/>
        <w:gridCol w:w="703"/>
        <w:gridCol w:w="617"/>
        <w:gridCol w:w="1000"/>
      </w:tblGrid>
      <w:tr w14:paraId="329A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2C0AE1">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序号</w:t>
            </w:r>
          </w:p>
        </w:tc>
        <w:tc>
          <w:tcPr>
            <w:tcW w:w="5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A96A06">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采购品目</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C15790">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rPr>
              <w:t>满足</w:t>
            </w:r>
            <w:r>
              <w:rPr>
                <w:rFonts w:hint="eastAsia" w:ascii="宋体" w:hAnsi="宋体" w:cs="宋体"/>
                <w:b/>
                <w:bCs/>
                <w:i w:val="0"/>
                <w:iCs w:val="0"/>
                <w:color w:val="000000"/>
                <w:sz w:val="22"/>
                <w:szCs w:val="22"/>
                <w:u w:val="none"/>
                <w:lang w:val="en-US" w:eastAsia="zh-CN"/>
              </w:rPr>
              <w:t>下列</w:t>
            </w:r>
            <w:r>
              <w:rPr>
                <w:rFonts w:hint="eastAsia" w:ascii="宋体" w:hAnsi="宋体" w:eastAsia="宋体" w:cs="宋体"/>
                <w:b/>
                <w:bCs/>
                <w:i w:val="0"/>
                <w:iCs w:val="0"/>
                <w:color w:val="000000"/>
                <w:sz w:val="22"/>
                <w:szCs w:val="22"/>
                <w:u w:val="none"/>
              </w:rPr>
              <w:t>技术参数的同等性能产品</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1E5CE">
            <w:pPr>
              <w:keepNext w:val="0"/>
              <w:keepLines w:val="0"/>
              <w:widowControl/>
              <w:suppressLineNumbers w:val="0"/>
              <w:jc w:val="center"/>
              <w:rPr>
                <w:rFonts w:hint="eastAsia" w:ascii="宋体" w:hAnsi="宋体"/>
                <w:b w:val="0"/>
                <w:bCs/>
                <w:color w:val="auto"/>
                <w:sz w:val="28"/>
                <w:szCs w:val="28"/>
                <w:highlight w:val="none"/>
              </w:rPr>
            </w:pPr>
            <w:r>
              <w:rPr>
                <w:rFonts w:hint="eastAsia" w:ascii="宋体" w:hAnsi="宋体"/>
                <w:b w:val="0"/>
                <w:bCs/>
                <w:color w:val="auto"/>
                <w:sz w:val="28"/>
                <w:szCs w:val="28"/>
                <w:highlight w:val="none"/>
              </w:rPr>
              <w:t>技术规格、参数</w:t>
            </w:r>
          </w:p>
          <w:p w14:paraId="16348441">
            <w:pPr>
              <w:keepNext w:val="0"/>
              <w:keepLines w:val="0"/>
              <w:widowControl/>
              <w:suppressLineNumbers w:val="0"/>
              <w:jc w:val="center"/>
              <w:rPr>
                <w:rFonts w:hint="eastAsia" w:ascii="宋体" w:hAnsi="宋体" w:eastAsia="宋体" w:cs="宋体"/>
                <w:b/>
                <w:bCs/>
                <w:i w:val="0"/>
                <w:iCs w:val="0"/>
                <w:color w:val="000000"/>
                <w:sz w:val="22"/>
                <w:szCs w:val="22"/>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13B55">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数量</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467A6">
            <w:pPr>
              <w:keepNext w:val="0"/>
              <w:keepLines w:val="0"/>
              <w:widowControl/>
              <w:suppressLineNumbers w:val="0"/>
              <w:jc w:val="center"/>
              <w:rPr>
                <w:rFonts w:hint="default" w:ascii="宋体" w:hAnsi="宋体" w:eastAsia="宋体" w:cs="宋体"/>
                <w:b/>
                <w:bCs/>
                <w:i w:val="0"/>
                <w:iCs w:val="0"/>
                <w:color w:val="000000"/>
                <w:sz w:val="22"/>
                <w:szCs w:val="22"/>
                <w:u w:val="none"/>
                <w:lang w:val="en-US" w:eastAsia="zh-CN" w:bidi="ar"/>
              </w:rPr>
            </w:pPr>
            <w:r>
              <w:rPr>
                <w:rFonts w:hint="eastAsia" w:ascii="宋体" w:hAnsi="宋体" w:cs="宋体"/>
                <w:b/>
                <w:bCs/>
                <w:i w:val="0"/>
                <w:iCs w:val="0"/>
                <w:color w:val="000000"/>
                <w:sz w:val="22"/>
                <w:szCs w:val="22"/>
                <w:u w:val="none"/>
                <w:lang w:val="en-US" w:eastAsia="zh-CN" w:bidi="ar"/>
              </w:rPr>
              <w:t>单位</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246BB">
            <w:pPr>
              <w:keepNext w:val="0"/>
              <w:keepLines w:val="0"/>
              <w:widowControl/>
              <w:suppressLineNumbers w:val="0"/>
              <w:jc w:val="center"/>
              <w:rPr>
                <w:rFonts w:hint="default" w:ascii="宋体" w:hAnsi="宋体" w:eastAsia="宋体" w:cs="宋体"/>
                <w:b/>
                <w:bCs/>
                <w:i w:val="0"/>
                <w:iCs w:val="0"/>
                <w:color w:val="000000"/>
                <w:sz w:val="22"/>
                <w:szCs w:val="22"/>
                <w:u w:val="none"/>
                <w:lang w:val="en-US"/>
              </w:rPr>
            </w:pPr>
            <w:r>
              <w:rPr>
                <w:rFonts w:hint="eastAsia" w:ascii="宋体" w:hAnsi="宋体" w:cs="宋体"/>
                <w:b/>
                <w:bCs/>
                <w:i w:val="0"/>
                <w:iCs w:val="0"/>
                <w:color w:val="000000"/>
                <w:sz w:val="22"/>
                <w:szCs w:val="22"/>
                <w:u w:val="none"/>
                <w:lang w:val="en-US" w:eastAsia="zh-CN" w:bidi="ar"/>
              </w:rPr>
              <w:t>参考单价</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E501B7">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bidi="ar"/>
              </w:rPr>
              <w:t>合计金额</w:t>
            </w:r>
            <w:r>
              <w:rPr>
                <w:rFonts w:hint="eastAsia" w:ascii="宋体" w:hAnsi="宋体" w:eastAsia="宋体" w:cs="宋体"/>
                <w:b/>
                <w:bCs/>
                <w:i w:val="0"/>
                <w:iCs w:val="0"/>
                <w:color w:val="000000"/>
                <w:sz w:val="22"/>
                <w:szCs w:val="22"/>
                <w:u w:val="none"/>
                <w:lang w:val="en-US" w:eastAsia="zh-CN" w:bidi="ar"/>
              </w:rPr>
              <w:br w:type="textWrapping"/>
            </w:r>
            <w:r>
              <w:rPr>
                <w:rFonts w:hint="eastAsia" w:ascii="宋体" w:hAnsi="宋体" w:eastAsia="宋体" w:cs="宋体"/>
                <w:b/>
                <w:bCs/>
                <w:i w:val="0"/>
                <w:iCs w:val="0"/>
                <w:color w:val="000000"/>
                <w:sz w:val="22"/>
                <w:szCs w:val="22"/>
                <w:u w:val="none"/>
                <w:lang w:val="en-US" w:eastAsia="zh-CN" w:bidi="ar"/>
              </w:rPr>
              <w:t>（万元）</w:t>
            </w:r>
          </w:p>
        </w:tc>
        <w:tc>
          <w:tcPr>
            <w:tcW w:w="617" w:type="dxa"/>
            <w:tcBorders>
              <w:top w:val="single" w:color="000000" w:sz="4" w:space="0"/>
              <w:left w:val="single" w:color="000000" w:sz="4" w:space="0"/>
              <w:bottom w:val="nil"/>
              <w:right w:val="single" w:color="000000" w:sz="4" w:space="0"/>
            </w:tcBorders>
            <w:shd w:val="clear" w:color="auto" w:fill="FFFFFF"/>
            <w:noWrap w:val="0"/>
            <w:vAlign w:val="center"/>
          </w:tcPr>
          <w:p w14:paraId="570FDD9F">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实验室名称</w:t>
            </w:r>
          </w:p>
        </w:tc>
        <w:tc>
          <w:tcPr>
            <w:tcW w:w="1000" w:type="dxa"/>
            <w:tcBorders>
              <w:top w:val="single" w:color="000000" w:sz="4" w:space="0"/>
              <w:left w:val="single" w:color="000000" w:sz="4" w:space="0"/>
              <w:bottom w:val="nil"/>
              <w:right w:val="single" w:color="000000" w:sz="4" w:space="0"/>
            </w:tcBorders>
            <w:shd w:val="clear" w:color="auto" w:fill="FFFFFF"/>
            <w:noWrap w:val="0"/>
            <w:vAlign w:val="center"/>
          </w:tcPr>
          <w:p w14:paraId="0F56441B">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实验室地址（校区、楼宇、房号）</w:t>
            </w:r>
          </w:p>
        </w:tc>
      </w:tr>
      <w:tr w14:paraId="67B8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AC7AB">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1</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592C80F8">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展示柜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EC5D4F">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1、南京冠盈/定制</w:t>
            </w:r>
          </w:p>
          <w:p w14:paraId="00B512AA">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2、山东萨博/定制</w:t>
            </w:r>
          </w:p>
          <w:p w14:paraId="029BAB53">
            <w:pPr>
              <w:keepNext w:val="0"/>
              <w:keepLines w:val="0"/>
              <w:widowControl/>
              <w:suppressLineNumbers w:val="0"/>
              <w:jc w:val="left"/>
              <w:rPr>
                <w:rFonts w:hint="eastAsia" w:asciiTheme="minorEastAsia" w:hAnsiTheme="minorEastAsia" w:eastAsiaTheme="minorEastAsia" w:cstheme="minorEastAsia"/>
                <w:b w:val="0"/>
                <w:bCs w:val="0"/>
                <w:i w:val="0"/>
                <w:iCs w:val="0"/>
                <w:color w:val="000000" w:themeColor="text1"/>
                <w:sz w:val="20"/>
                <w:szCs w:val="20"/>
                <w:u w:val="none"/>
                <w:lang w:val="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3、广州乐晨/定制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15842">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1.整体材质：主框架加厚铝合金型材 / 冷轧钢板可选，钢化透明玻璃，柜体高密度环保板材。</w:t>
            </w:r>
          </w:p>
          <w:p w14:paraId="73C0A9DC">
            <w:pPr>
              <w:pStyle w:val="32"/>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2.</w:t>
            </w:r>
            <w:r>
              <w:rPr>
                <w:rFonts w:hint="eastAsia" w:ascii="宋体" w:hAnsi="宋体" w:eastAsia="宋体" w:cs="宋体"/>
                <w:b w:val="0"/>
                <w:bCs w:val="0"/>
                <w:i w:val="0"/>
                <w:iCs w:val="0"/>
                <w:color w:val="000000"/>
                <w:spacing w:val="0"/>
                <w:w w:val="100"/>
                <w:sz w:val="20"/>
                <w:szCs w:val="20"/>
                <w:vertAlign w:val="baseline"/>
              </w:rPr>
              <w:t>高度、宽度、深度≥1800mmx40mmx40mm,根据现场实际情况可定制调整。</w:t>
            </w:r>
          </w:p>
          <w:p w14:paraId="40F376BF">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3.玻璃配置：全透明8mm 钢化防爆玻璃，边角磨圆角处理，防刮防撞、不易碎裂。</w:t>
            </w:r>
          </w:p>
          <w:p w14:paraId="2204036D">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4.层板配置：内置 3–5 层可调钢化玻璃层板，层距任意调节。</w:t>
            </w:r>
          </w:p>
          <w:p w14:paraId="1667BC42">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底部柜体：下部带封闭式储物底柜，带锁设计，隐私收纳、防尘防潮。</w:t>
            </w:r>
          </w:p>
          <w:p w14:paraId="6E502C15">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5.照明系统：内置 LED 无影灯带，无频闪，可独立开关控制。</w:t>
            </w:r>
          </w:p>
          <w:p w14:paraId="00CDDA7E">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6.锁具配置：配备专业防盗专用铜芯门锁，一把钥匙可统一管控，防撬安全。</w:t>
            </w:r>
          </w:p>
          <w:p w14:paraId="5EAF2874">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7.表面工艺：框架静电喷塑 / 氧化拉丝工艺，耐磨防腐蚀、不掉色。</w:t>
            </w:r>
          </w:p>
          <w:p w14:paraId="2DF181F1">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8.承重性能：单层玻璃层板静态承重≥30kg。</w:t>
            </w:r>
          </w:p>
          <w:p w14:paraId="10C61B9F">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9.防护设计：整体防尘、防灰、防潮、防氧化，适合室内长期摆放展示。</w:t>
            </w:r>
          </w:p>
          <w:p w14:paraId="3A30321D">
            <w:pPr>
              <w:numPr>
                <w:ilvl w:val="0"/>
                <w:numId w:val="0"/>
              </w:numPr>
              <w:jc w:val="left"/>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10.安装结构：整装发货 / 模块化拼装，无需复杂组装。</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21B6F">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2</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31B3">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CF976">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3</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284D8">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6</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A789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C31AF">
            <w:pPr>
              <w:keepNext w:val="0"/>
              <w:keepLines w:val="0"/>
              <w:widowControl/>
              <w:suppressLineNumbers w:val="0"/>
              <w:jc w:val="both"/>
              <w:rPr>
                <w:rFonts w:hint="eastAsia" w:asciiTheme="minorEastAsia" w:hAnsiTheme="minorEastAsia" w:eastAsiaTheme="minorEastAsia" w:cstheme="minorEastAsia"/>
                <w:b w:val="0"/>
                <w:bCs w:val="0"/>
                <w:i w:val="0"/>
                <w:iCs w:val="0"/>
                <w:color w:val="000000" w:themeColor="text1"/>
                <w:sz w:val="20"/>
                <w:szCs w:val="20"/>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明秀校区新8栋2F</w:t>
            </w:r>
          </w:p>
        </w:tc>
      </w:tr>
      <w:tr w14:paraId="7A49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954F9">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2</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4C35E1BE">
            <w:pPr>
              <w:numPr>
                <w:ilvl w:val="0"/>
                <w:numId w:val="0"/>
              </w:numPr>
              <w:bidi w:val="0"/>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t>LED显示屏</w:t>
            </w:r>
          </w:p>
          <w:p w14:paraId="58EFED68">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0CF14">
            <w:pPr>
              <w:keepNext w:val="0"/>
              <w:keepLines w:val="0"/>
              <w:widowControl/>
              <w:suppressLineNumbers w:val="0"/>
              <w:jc w:val="left"/>
              <w:rPr>
                <w:rFonts w:hint="default"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.1、广东保伦/C1.86</w:t>
            </w:r>
          </w:p>
          <w:p w14:paraId="37596494">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2、BHX北航星</w:t>
            </w:r>
          </w:p>
          <w:p w14:paraId="42A86E9D">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3、航宇星舟/PUSG</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FCD82">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0"/>
                <w:szCs w:val="20"/>
                <w:highlight w:val="none"/>
                <w:lang w:val="en-US" w:eastAsia="zh-CN"/>
                <w14:textFill>
                  <w14:solidFill>
                    <w14:schemeClr w14:val="tx1"/>
                  </w14:solidFill>
                </w14:textFill>
              </w:rPr>
              <w:t>尺寸：10平方米，</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LED显示屏灯珠采用表贴三合一铜线封装；LED封装形式：SMD1515黑灯；</w:t>
            </w:r>
          </w:p>
          <w:p w14:paraId="3CDDCB59">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2.LED显示屏采用≤1.86mm点间距；</w:t>
            </w:r>
          </w:p>
          <w:p w14:paraId="00C1D144">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3.LED显示屏模组尺寸320mm*160mm；</w:t>
            </w:r>
          </w:p>
          <w:p w14:paraId="4DF0B462">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4.LED显示屏采用前/后维护方式，可正面拆卸模组、接收卡、电源等低压器件，具备热插拔能力；</w:t>
            </w:r>
          </w:p>
          <w:p w14:paraId="4171BCA2">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5.LED显示屏符合等同或优于IP5X防护等级；</w:t>
            </w:r>
          </w:p>
          <w:p w14:paraId="1DD08FC8">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6.LED显示屏亮度可达到200-800cd/m²，可通过配套软件0-100%调节，设置亮度定时调节；</w:t>
            </w:r>
          </w:p>
          <w:p w14:paraId="7B97A14E">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7.LED显示屏对比度≥10000：1；LED显示屏杂点率≤1/100000且无连续失控点；LED显示屏亮度均匀性≥99%；LED显示色度均匀性±0.001Cx，Cy之内；LED显示屏像素中心距相对偏差≤1%；LED显示屏观看水平/垂直视角≥175°；LED显示屏平均故障恢复时间（MTTR）≤2分钟；</w:t>
            </w:r>
          </w:p>
          <w:p w14:paraId="3BD5371B">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8.LED显示屏刷新频率≥4200Hz，可通过配套控制软件调节刷新率设置选项；</w:t>
            </w:r>
          </w:p>
          <w:p w14:paraId="3C12E95C">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9.LED显示屏峰值功耗为≤500W/㎡；LED显示屏平均功耗为≤125W/㎡；</w:t>
            </w:r>
          </w:p>
          <w:p w14:paraId="69EC6034">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10.LED显示屏色温100K-20000K连续可调，可设冷色、暖色、标准等多档白场调节，色温为8500K时，100%、75%、50%、25%四档电平白场调节色温误差≤100K；</w:t>
            </w:r>
          </w:p>
          <w:p w14:paraId="25531A6F">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11.LED显示屏为防止金属离子迁移、线路短路现象，PCB采用FR-4四层板同等级或更高材料，板厚≥1.6mm，铜厚≥1盎司，TG≥150℃，PCB板表面具备防潮/防尘/防静电；（需提供得到CMA认可的检测机构出具的检测报告作为该技术参数证明材料）</w:t>
            </w:r>
          </w:p>
          <w:p w14:paraId="42064379">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12.LED显示屏具备低蓝光模式，可在控制软件中选择30%、40%、70%三</w:t>
            </w:r>
            <w:r>
              <w:rPr>
                <w:rFonts w:hint="eastAsia" w:asciiTheme="minorEastAsia" w:hAnsiTheme="minorEastAsia" w:eastAsiaTheme="minorEastAsia" w:cstheme="minorEastAsia"/>
                <w:b w:val="0"/>
                <w:bCs w:val="0"/>
                <w:color w:val="000000" w:themeColor="text1"/>
                <w:sz w:val="20"/>
                <w:szCs w:val="20"/>
                <w:highlight w:val="none"/>
                <w:lang w:val="en-US" w:eastAsia="zh-CN"/>
                <w14:textFill>
                  <w14:solidFill>
                    <w14:schemeClr w14:val="tx1"/>
                  </w14:solidFill>
                </w14:textFill>
              </w:rPr>
              <w:t>档</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调节显示屏蓝光输出，有效减少蓝光辐射对眼睛的伤害；（需提供得到CMA认可的检测机构出具的检测报告作为该技术参数证明材料）</w:t>
            </w:r>
          </w:p>
          <w:p w14:paraId="08343AAB">
            <w:pPr>
              <w:numPr>
                <w:ilvl w:val="0"/>
                <w:numId w:val="0"/>
              </w:numPr>
              <w:jc w:val="left"/>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13.具备LED显示屏开关机次数、使用时长记录，可形成数据保存周期≥100天，并支持对现场温湿度的</w:t>
            </w:r>
            <w:r>
              <w:rPr>
                <w:rFonts w:hint="eastAsia" w:asciiTheme="minorEastAsia" w:hAnsiTheme="minorEastAsia" w:eastAsiaTheme="minorEastAsia" w:cstheme="minorEastAsia"/>
                <w:b w:val="0"/>
                <w:bCs w:val="0"/>
                <w:color w:val="000000" w:themeColor="text1"/>
                <w:sz w:val="20"/>
                <w:szCs w:val="20"/>
                <w:highlight w:val="none"/>
                <w:lang w:val="en-US" w:eastAsia="zh-CN"/>
                <w14:textFill>
                  <w14:solidFill>
                    <w14:schemeClr w14:val="tx1"/>
                  </w14:solidFill>
                </w14:textFill>
              </w:rPr>
              <w:t>显示</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，可在控制软件端实时显示数据，方便用户了解现场屏体、环境温湿</w:t>
            </w:r>
            <w:r>
              <w:rPr>
                <w:rFonts w:hint="eastAsia" w:asciiTheme="minorEastAsia" w:hAnsiTheme="minorEastAsia" w:eastAsiaTheme="minorEastAsia" w:cstheme="minorEastAsia"/>
                <w:b w:val="0"/>
                <w:bCs w:val="0"/>
                <w:color w:val="000000" w:themeColor="text1"/>
                <w:sz w:val="20"/>
                <w:szCs w:val="20"/>
                <w:highlight w:val="none"/>
                <w:lang w:eastAsia="zh-CN"/>
                <w14:textFill>
                  <w14:solidFill>
                    <w14:schemeClr w14:val="tx1"/>
                  </w14:solidFill>
                </w14:textFill>
              </w:rPr>
              <w:t>度等</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数据情况；（需提供得到CMA认可的检测机构出具的检测报告作为该技术参数证明材料）</w:t>
            </w:r>
          </w:p>
          <w:p w14:paraId="480674C0">
            <w:pPr>
              <w:numPr>
                <w:ilvl w:val="0"/>
                <w:numId w:val="0"/>
              </w:numPr>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14.支持通过在线服务小程序提交工单，可提交的类型包括“维护”、“指导调试”、“指导安装”、“指导布线”、“远程调试”类别可选。可通过在线服务小程序实时查询处理进度，具有“待处理”、“处理中”及“已处理”等版块。“已处理”版块具有历史记录功能，可通过联系电话搜索历史条目，条目信息记录客户、联系电话、申请日期、问题描述、状态、客服工程师、用时和信息反馈。并且具有“再次申请”功能。（提供功能界面截图</w:t>
            </w:r>
            <w:r>
              <w:rPr>
                <w:rFonts w:hint="eastAsia" w:asciiTheme="minorEastAsia" w:hAnsiTheme="minorEastAsia" w:eastAsiaTheme="minorEastAsia" w:cstheme="minorEastAsia"/>
                <w:b w:val="0"/>
                <w:bCs w:val="0"/>
                <w:color w:val="000000" w:themeColor="text1"/>
                <w:sz w:val="20"/>
                <w:szCs w:val="20"/>
                <w:highlight w:val="none"/>
                <w:lang w:val="en-US" w:eastAsia="zh-CN"/>
                <w14:textFill>
                  <w14:solidFill>
                    <w14:schemeClr w14:val="tx1"/>
                  </w14:solidFill>
                </w14:textFill>
              </w:rPr>
              <w:t>或</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国家认可的第三方检测机构出具的检测报告</w:t>
            </w:r>
            <w:r>
              <w:rPr>
                <w:rFonts w:hint="eastAsia" w:asciiTheme="minorEastAsia" w:hAnsiTheme="minorEastAsia" w:eastAsiaTheme="minorEastAsia" w:cstheme="minorEastAsia"/>
                <w:b w:val="0"/>
                <w:bCs w:val="0"/>
                <w:color w:val="000000" w:themeColor="text1"/>
                <w:sz w:val="20"/>
                <w:szCs w:val="20"/>
                <w:highlight w:val="none"/>
                <w:lang w:val="en-US" w:eastAsia="zh-CN"/>
                <w14:textFill>
                  <w14:solidFill>
                    <w14:schemeClr w14:val="tx1"/>
                  </w14:solidFill>
                </w14:textFill>
              </w:rPr>
              <w:t>或</w:t>
            </w:r>
            <w: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t>产品说明书佐证）</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2573C">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4</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7DCB9">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C97BF">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A458D">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40</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C3A7B">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FB7E8">
            <w:pPr>
              <w:keepNext w:val="0"/>
              <w:keepLines w:val="0"/>
              <w:widowControl/>
              <w:suppressLineNumbers w:val="0"/>
              <w:jc w:val="both"/>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明秀校区新8栋2F</w:t>
            </w:r>
          </w:p>
        </w:tc>
      </w:tr>
      <w:tr w14:paraId="410C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B2C7E">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3</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40DAC89F">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学生物品智能储物柜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FAB8C">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1、南京冠盈/定制</w:t>
            </w:r>
          </w:p>
          <w:p w14:paraId="7A9ED830">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2、山东萨博/定制</w:t>
            </w:r>
          </w:p>
          <w:p w14:paraId="1D7AB65E">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lang w:val="en-US" w:eastAsia="zh-CN" w:bidi="ar"/>
                <w14:textFill>
                  <w14:solidFill>
                    <w14:schemeClr w14:val="tx1"/>
                  </w14:solidFill>
                </w14:textFill>
              </w:rPr>
              <w:t>3、广州乐晨/定制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22D5F">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1.柜体材质：冷轧钢板，板材厚度≥0.8mm，表面磷化静电喷塑，防锈防腐耐磨损。</w:t>
            </w:r>
          </w:p>
          <w:p w14:paraId="3C00B281">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2.整体外形尺寸：标准高 1800mm× 宽 850mm× 深 450mm，需根据场地实际情况定制尺寸。</w:t>
            </w:r>
          </w:p>
          <w:p w14:paraId="07BA9815">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3.格口配置：标配 12/18/24/36 门，可大小格口混搭组合，主柜 + 多副柜扩展，不少于100位。</w:t>
            </w:r>
          </w:p>
          <w:p w14:paraId="74591E32">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4.识别方式：微信小程序 / 公众号二维码扫码开柜，无需打印纸质条码。</w:t>
            </w:r>
          </w:p>
          <w:p w14:paraId="48DDD56C">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5.扫码响应速度：识别响应时间≤1 秒，识读距离 5–15cm，误识率＜0.01%。</w:t>
            </w:r>
          </w:p>
          <w:p w14:paraId="5CC0321B">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6.供电规格：输入 AC100–240V、50Hz，宽电压自适应。</w:t>
            </w:r>
          </w:p>
          <w:p w14:paraId="2EB69AF1">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7.整机功耗：待机功耗≤5W，瞬时开柜功耗≤50W，节能环保。</w:t>
            </w:r>
          </w:p>
          <w:p w14:paraId="7D447D7D">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8.门锁类型：电磁防锈电控锁，静音开合，防撬防暴力破坏。</w:t>
            </w:r>
          </w:p>
          <w:p w14:paraId="7445F96F">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9.承载性能：单层格口承重≥25kg。</w:t>
            </w:r>
          </w:p>
          <w:p w14:paraId="6ABFF6CC">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10.环境适应：工作温度 0℃～75℃，存储温度 - 20℃～80℃，湿度 0–95% RH 防水防潮。</w:t>
            </w:r>
          </w:p>
          <w:p w14:paraId="532BD708">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11.后台管理：云端远程监控、记录查询、故障告警、权限分级、数据导出。</w:t>
            </w:r>
          </w:p>
          <w:p w14:paraId="4A4A44C8">
            <w:pPr>
              <w:numPr>
                <w:ilvl w:val="0"/>
                <w:numId w:val="0"/>
              </w:numP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12.安全防护：具备超时自动锁定、异常开门报警、操作日志全程留存功能。</w:t>
            </w:r>
          </w:p>
          <w:p w14:paraId="2E6446FF">
            <w:pPr>
              <w:numPr>
                <w:ilvl w:val="0"/>
                <w:numId w:val="0"/>
              </w:numPr>
              <w:rPr>
                <w:rFonts w:hint="eastAsia" w:asciiTheme="minorEastAsia" w:hAnsiTheme="minorEastAsia" w:eastAsiaTheme="minorEastAsia" w:cstheme="minorEastAsia"/>
                <w:b w:val="0"/>
                <w:bCs w:val="0"/>
                <w:color w:val="000000" w:themeColor="text1"/>
                <w:sz w:val="20"/>
                <w:szCs w:val="20"/>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0"/>
                <w:szCs w:val="20"/>
                <w:highlight w:val="none"/>
                <w:vertAlign w:val="baseline"/>
                <w:lang w:val="en-US" w:eastAsia="zh-CN"/>
                <w14:textFill>
                  <w14:solidFill>
                    <w14:schemeClr w14:val="tx1"/>
                  </w14:solidFill>
                </w14:textFill>
              </w:rPr>
              <w:t>13.结构设计：模块化拼装结构，安装维护便捷，柜体具备防尘、防水防潮功能。</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093E9">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1</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1E65E">
            <w:pPr>
              <w:keepNext w:val="0"/>
              <w:keepLines w:val="0"/>
              <w:widowControl/>
              <w:suppressLineNumbers w:val="0"/>
              <w:jc w:val="center"/>
              <w:rPr>
                <w:rFonts w:hint="eastAsia" w:asciiTheme="minorEastAsia" w:hAnsiTheme="minorEastAsia" w:eastAsiaTheme="minorEastAsia" w:cstheme="minorEastAsia"/>
                <w:b w:val="0"/>
                <w:bCs w:val="0"/>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2D638">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2.7</w:t>
            </w:r>
          </w:p>
        </w:tc>
        <w:tc>
          <w:tcPr>
            <w:tcW w:w="703" w:type="dxa"/>
            <w:tcBorders>
              <w:top w:val="single" w:color="000000" w:sz="4" w:space="0"/>
              <w:left w:val="single" w:color="000000" w:sz="4" w:space="0"/>
              <w:right w:val="single" w:color="000000" w:sz="4" w:space="0"/>
            </w:tcBorders>
            <w:shd w:val="clear" w:color="auto" w:fill="FFFFFF"/>
            <w:noWrap/>
            <w:vAlign w:val="center"/>
          </w:tcPr>
          <w:p w14:paraId="5A83DC5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2.7</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22847">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SA"/>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0F658">
            <w:pPr>
              <w:keepNext w:val="0"/>
              <w:keepLines w:val="0"/>
              <w:widowControl/>
              <w:suppressLineNumbers w:val="0"/>
              <w:jc w:val="both"/>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0"/>
                <w:szCs w:val="20"/>
                <w:u w:val="none"/>
                <w:lang w:val="en-US" w:eastAsia="zh-CN" w:bidi="ar"/>
                <w14:textFill>
                  <w14:solidFill>
                    <w14:schemeClr w14:val="tx1"/>
                  </w14:solidFill>
                </w14:textFill>
              </w:rPr>
              <w:t>明秀校区新8栋2F</w:t>
            </w:r>
          </w:p>
        </w:tc>
      </w:tr>
    </w:tbl>
    <w:tbl>
      <w:tblPr>
        <w:tblStyle w:val="34"/>
        <w:tblpPr w:leftFromText="180" w:rightFromText="180" w:vertAnchor="text" w:horzAnchor="page" w:tblpX="620" w:tblpY="-5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8860"/>
      </w:tblGrid>
      <w:tr w14:paraId="0EA5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712" w:type="dxa"/>
            <w:gridSpan w:val="2"/>
            <w:shd w:val="clear" w:color="000000" w:fill="FFFFFF"/>
            <w:noWrap w:val="0"/>
            <w:vAlign w:val="center"/>
          </w:tcPr>
          <w:p w14:paraId="308DCE88">
            <w:pPr>
              <w:spacing w:line="360" w:lineRule="auto"/>
              <w:rPr>
                <w:rFonts w:ascii="宋体" w:hAnsi="宋体" w:cs="宋体"/>
                <w:b/>
                <w:szCs w:val="21"/>
                <w:highlight w:val="none"/>
              </w:rPr>
            </w:pPr>
            <w:r>
              <w:rPr>
                <w:rFonts w:hint="eastAsia" w:ascii="宋体" w:hAnsi="宋体" w:eastAsia="宋体" w:cs="宋体"/>
                <w:bCs/>
                <w:szCs w:val="21"/>
                <w:highlight w:val="none"/>
                <w:lang w:val="en-US" w:eastAsia="zh-CN"/>
              </w:rPr>
              <w:t>▲</w:t>
            </w:r>
            <w:r>
              <w:rPr>
                <w:rFonts w:hint="eastAsia" w:ascii="宋体" w:hAnsi="宋体"/>
                <w:b/>
                <w:iCs/>
                <w:szCs w:val="21"/>
                <w:highlight w:val="none"/>
              </w:rPr>
              <w:t>商务要求表</w:t>
            </w:r>
          </w:p>
        </w:tc>
      </w:tr>
      <w:tr w14:paraId="6953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shd w:val="clear" w:color="000000" w:fill="FFFFFF"/>
            <w:noWrap w:val="0"/>
            <w:vAlign w:val="center"/>
          </w:tcPr>
          <w:p w14:paraId="52EB74D6">
            <w:pPr>
              <w:spacing w:line="360" w:lineRule="auto"/>
              <w:rPr>
                <w:rFonts w:ascii="宋体" w:hAnsi="宋体"/>
                <w:b/>
                <w:iCs/>
                <w:szCs w:val="21"/>
                <w:highlight w:val="none"/>
              </w:rPr>
            </w:pPr>
            <w:r>
              <w:rPr>
                <w:rFonts w:hint="eastAsia" w:ascii="宋体" w:hAnsi="宋体"/>
                <w:b/>
                <w:iCs/>
                <w:szCs w:val="21"/>
                <w:highlight w:val="none"/>
              </w:rPr>
              <w:t>报价</w:t>
            </w:r>
            <w:r>
              <w:rPr>
                <w:rFonts w:ascii="宋体" w:hAnsi="宋体"/>
                <w:b/>
                <w:iCs/>
                <w:szCs w:val="21"/>
                <w:highlight w:val="none"/>
              </w:rPr>
              <w:t>要求</w:t>
            </w:r>
          </w:p>
        </w:tc>
        <w:tc>
          <w:tcPr>
            <w:tcW w:w="8860" w:type="dxa"/>
            <w:shd w:val="clear" w:color="000000" w:fill="FFFFFF"/>
            <w:noWrap w:val="0"/>
            <w:vAlign w:val="center"/>
          </w:tcPr>
          <w:p w14:paraId="3ABDB706">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1.供应商所投产品的技术参数须完全满足或优于询价文件要求。若实际供货产品与响应文件承诺不符，采购人有权要求供应商更换、退货或取消其成交资格，由此产生的一切损失及责任由供应商自行承担。</w:t>
            </w:r>
          </w:p>
          <w:p w14:paraId="7C036BD8">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本次报价应包含但不限于货物本身、标准附件、备品备件、辅材、包装、运输、装卸、保险、安装调试、验收、技术培训、售后服务及税费等交付使用前的一切相关费用。采购人除合同约定价款外，不再另行支付任何费用。</w:t>
            </w:r>
          </w:p>
        </w:tc>
      </w:tr>
      <w:tr w14:paraId="4757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noWrap w:val="0"/>
            <w:vAlign w:val="center"/>
          </w:tcPr>
          <w:p w14:paraId="7AEE1D54">
            <w:pPr>
              <w:spacing w:line="360" w:lineRule="auto"/>
              <w:rPr>
                <w:rFonts w:hint="eastAsia" w:eastAsia="宋体"/>
                <w:highlight w:val="none"/>
                <w:lang w:val="en-US" w:eastAsia="zh-CN"/>
              </w:rPr>
            </w:pPr>
            <w:r>
              <w:rPr>
                <w:rFonts w:hint="eastAsia" w:ascii="宋体" w:hAnsi="宋体" w:eastAsia="宋体"/>
                <w:b/>
                <w:iCs/>
                <w:szCs w:val="21"/>
                <w:highlight w:val="none"/>
                <w:lang w:eastAsia="zh-CN"/>
              </w:rPr>
              <w:t>报价材料要求</w:t>
            </w:r>
          </w:p>
        </w:tc>
        <w:tc>
          <w:tcPr>
            <w:tcW w:w="8860" w:type="dxa"/>
            <w:noWrap w:val="0"/>
            <w:vAlign w:val="top"/>
          </w:tcPr>
          <w:p w14:paraId="15EAB284">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报价时需提交的材料包括但不限于：</w:t>
            </w:r>
          </w:p>
          <w:p w14:paraId="7E2875A3">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1.项目报价表须根据项目需求逐项报价，并列明响应产品的生产厂家、品牌及型号（格式见附件1）。</w:t>
            </w:r>
          </w:p>
          <w:p w14:paraId="4498102A">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2.技术参数响应表（格式见附件2）。</w:t>
            </w:r>
          </w:p>
          <w:p w14:paraId="717EF60E">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3.营业执照及其他相关资质证明复印件须在有效期内，且符合本项目要求。如涉及LED显示屏安装、建筑施工、机电安装或安全生产等，须同时提供相应的建筑业企业资质证书、安全生产许可证等（如有）。</w:t>
            </w:r>
          </w:p>
          <w:p w14:paraId="1F6C2815">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4.服务承诺书（格式自拟）。</w:t>
            </w:r>
          </w:p>
          <w:p w14:paraId="74744399">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5.中小企业声明函（如有，请一并提供）。</w:t>
            </w:r>
            <w:bookmarkStart w:id="0" w:name="_GoBack"/>
            <w:bookmarkEnd w:id="0"/>
          </w:p>
          <w:p w14:paraId="3092D204">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6.法定代表人及项目负责人身份证明</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提供法定代表人身份证复印件、本项目负责人身份证复印件（格式见附件3）。</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如委托代理人办理报价事宜，须同时提供法定代表人授权委托书（格式自拟）及被授权人身份证复印件。</w:t>
            </w:r>
          </w:p>
          <w:p w14:paraId="33550558">
            <w:pPr>
              <w:keepNext w:val="0"/>
              <w:keepLines w:val="0"/>
              <w:pageBreakBefore w:val="0"/>
              <w:widowControl w:val="0"/>
              <w:numPr>
                <w:ilvl w:val="0"/>
                <w:numId w:val="0"/>
              </w:numPr>
              <w:bidi w:val="0"/>
              <w:spacing w:line="320" w:lineRule="exact"/>
              <w:rPr>
                <w:rFonts w:hint="eastAsia" w:ascii="仿宋_GB2312" w:hAnsi="仿宋_GB2312" w:eastAsia="仿宋_GB2312" w:cs="仿宋_GB2312"/>
                <w:i w:val="0"/>
                <w:iCs w:val="0"/>
                <w:caps w:val="0"/>
                <w:color w:val="4A1D96"/>
                <w:spacing w:val="0"/>
                <w:sz w:val="28"/>
                <w:szCs w:val="28"/>
                <w:shd w:val="clear" w:color="auto" w:fill="FFFFFF"/>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i w:val="0"/>
                <w:iCs w:val="0"/>
                <w:caps w:val="0"/>
                <w:color w:val="4A1D96"/>
                <w:spacing w:val="0"/>
                <w:sz w:val="28"/>
                <w:szCs w:val="28"/>
                <w:shd w:val="clear" w:color="auto" w:fill="FFFFFF"/>
              </w:rPr>
              <w:t>信用记录查询证明 提供“信用中国”网站（www.creditchina.gov.cn）查询结果，须包含未被列入失信被执行人、重大税收违法失信主体及政府采购严重失信行为记录名单的相关记录。</w:t>
            </w:r>
          </w:p>
          <w:p w14:paraId="4D7B7BBC">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8.关联关系声明</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单位负责人为同一人或者存在直接控股、管理关系的不同供应商，不得同时参加本次采购活动。</w:t>
            </w:r>
          </w:p>
          <w:p w14:paraId="2431F70C">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9.报价有效期声明</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报价自提交截止日起90个日历日内有效（或按询价文件具体要求执行）。</w:t>
            </w:r>
          </w:p>
          <w:p w14:paraId="2337D910">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文件制作与提交要求</w:t>
            </w:r>
          </w:p>
          <w:p w14:paraId="41398555">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10.文件编制</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以上所有材料须加盖报价单位公章（关键页建议加盖骑缝章），并按顺序编制目录（目录须至少包含序号、材料名称、对应页码）。</w:t>
            </w:r>
          </w:p>
          <w:p w14:paraId="5441DED8">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 文件格式与命名将所有材料扫描合成一个PDF文件，命名为“供应商公司名称+关于广西中医药大学2026年数智化口腔医学实践中心建设集采目录设备采购项目的报价文件（询价文件编号：GUCM-2026-ZCYXJ-004-LWJ，广西政府采购云平台竞价单编号：XXX）”，上传至广西政府采购云平台。文件总页数不得超过100页（含封面、目录及所有附件），文件大小建议不超过50MB，且扫描件须文字清晰、公章可辨，超出或模糊不清者按无效报价处理。（将“XXX”替换为实际编号后即可使用），上传至采购平台。</w:t>
            </w:r>
          </w:p>
          <w:p w14:paraId="0DD36451">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 澄清补正</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采购人有权在评审前要求供应商对材料进行必要的澄清或补正，但不得改变报价文件的实质性内容。</w:t>
            </w:r>
          </w:p>
          <w:p w14:paraId="5C1758DB">
            <w:pPr>
              <w:keepNext w:val="0"/>
              <w:keepLines w:val="0"/>
              <w:pageBreakBefore w:val="0"/>
              <w:widowControl w:val="0"/>
              <w:numPr>
                <w:ilvl w:val="0"/>
                <w:numId w:val="0"/>
              </w:numPr>
              <w:bidi w:val="0"/>
              <w:spacing w:line="320" w:lineRule="exact"/>
              <w:ind w:firstLine="42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以上要求均为实质性响应条款，任一条不符，均可能导致报价被否决。未按上述要求提交材料的，视为报价无效。</w:t>
            </w:r>
          </w:p>
        </w:tc>
      </w:tr>
      <w:tr w14:paraId="3710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532A0628">
            <w:pPr>
              <w:spacing w:line="360" w:lineRule="auto"/>
              <w:rPr>
                <w:rFonts w:ascii="宋体" w:hAnsi="宋体"/>
                <w:b/>
                <w:iCs/>
                <w:szCs w:val="21"/>
                <w:highlight w:val="none"/>
              </w:rPr>
            </w:pPr>
            <w:r>
              <w:rPr>
                <w:rFonts w:hint="eastAsia" w:ascii="宋体" w:hAnsi="宋体"/>
                <w:b/>
                <w:iCs/>
                <w:szCs w:val="21"/>
                <w:highlight w:val="none"/>
              </w:rPr>
              <w:t>交货时间</w:t>
            </w:r>
          </w:p>
          <w:p w14:paraId="4CDB5C07">
            <w:pPr>
              <w:spacing w:line="360" w:lineRule="auto"/>
              <w:rPr>
                <w:rFonts w:ascii="宋体" w:hAnsi="宋体" w:cs="宋体"/>
                <w:iCs/>
                <w:szCs w:val="21"/>
                <w:highlight w:val="none"/>
              </w:rPr>
            </w:pPr>
            <w:r>
              <w:rPr>
                <w:rFonts w:hint="eastAsia" w:ascii="宋体" w:hAnsi="宋体"/>
                <w:b/>
                <w:iCs/>
                <w:szCs w:val="21"/>
                <w:highlight w:val="none"/>
              </w:rPr>
              <w:t>及地点</w:t>
            </w:r>
          </w:p>
        </w:tc>
        <w:tc>
          <w:tcPr>
            <w:tcW w:w="8860" w:type="dxa"/>
            <w:shd w:val="clear" w:color="000000" w:fill="FFFFFF"/>
            <w:noWrap w:val="0"/>
            <w:vAlign w:val="center"/>
          </w:tcPr>
          <w:p w14:paraId="102155E2">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合同签订后15个工作日内完成全部货物供货、安装及调试；交货地点为南宁市内采购人指定地点，供应商须安排专人送货、安装就位。采购人指定收货人为田歌</w:t>
            </w:r>
          </w:p>
        </w:tc>
      </w:tr>
      <w:tr w14:paraId="7D71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456DAFFB">
            <w:pPr>
              <w:spacing w:line="360" w:lineRule="auto"/>
              <w:rPr>
                <w:rFonts w:hint="eastAsia" w:ascii="宋体" w:hAnsi="宋体"/>
                <w:b/>
                <w:iCs/>
                <w:szCs w:val="21"/>
                <w:highlight w:val="none"/>
              </w:rPr>
            </w:pPr>
            <w:r>
              <w:rPr>
                <w:rFonts w:hint="eastAsia" w:ascii="宋体" w:hAnsi="宋体"/>
                <w:b/>
                <w:iCs/>
                <w:szCs w:val="21"/>
                <w:highlight w:val="none"/>
              </w:rPr>
              <w:t>质量保证</w:t>
            </w:r>
          </w:p>
        </w:tc>
        <w:tc>
          <w:tcPr>
            <w:tcW w:w="8860" w:type="dxa"/>
            <w:shd w:val="clear" w:color="000000" w:fill="FFFFFF"/>
            <w:noWrap w:val="0"/>
            <w:vAlign w:val="center"/>
          </w:tcPr>
          <w:p w14:paraId="735416AE">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成交供应商提供的货物为全新、未使用、正规渠道原装正品，各项技术参数完全符合采购要求；不合格产品须更换，并承担全部费用及由此造成的逾期损失。</w:t>
            </w:r>
          </w:p>
        </w:tc>
      </w:tr>
      <w:tr w14:paraId="5AE6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04F82F7C">
            <w:pPr>
              <w:spacing w:line="360" w:lineRule="auto"/>
              <w:rPr>
                <w:rFonts w:ascii="宋体" w:hAnsi="宋体"/>
                <w:b/>
                <w:iCs/>
                <w:szCs w:val="21"/>
                <w:highlight w:val="none"/>
              </w:rPr>
            </w:pPr>
            <w:r>
              <w:rPr>
                <w:rFonts w:hint="eastAsia" w:ascii="宋体" w:hAnsi="宋体"/>
                <w:b/>
                <w:iCs/>
                <w:szCs w:val="21"/>
                <w:highlight w:val="none"/>
              </w:rPr>
              <w:t>安装与验收</w:t>
            </w:r>
          </w:p>
        </w:tc>
        <w:tc>
          <w:tcPr>
            <w:tcW w:w="8860" w:type="dxa"/>
            <w:shd w:val="clear" w:color="000000" w:fill="FFFFFF"/>
            <w:noWrap w:val="0"/>
            <w:vAlign w:val="center"/>
          </w:tcPr>
          <w:p w14:paraId="727A461A">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一、到货与安装调试</w:t>
            </w:r>
          </w:p>
          <w:p w14:paraId="5761BAD6">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28"/>
                <w:szCs w:val="28"/>
                <w:shd w:val="clear" w:color="auto" w:fill="FFFFFF"/>
              </w:rPr>
            </w:pPr>
            <w:r>
              <w:rPr>
                <w:rFonts w:hint="eastAsia" w:ascii="仿宋_GB2312" w:hAnsi="仿宋_GB2312" w:eastAsia="仿宋_GB2312" w:cs="仿宋_GB2312"/>
                <w:i w:val="0"/>
                <w:iCs w:val="0"/>
                <w:caps w:val="0"/>
                <w:color w:val="4A1D96"/>
                <w:spacing w:val="0"/>
                <w:sz w:val="28"/>
                <w:szCs w:val="28"/>
                <w:highlight w:val="none"/>
                <w:shd w:val="clear" w:color="auto" w:fill="FFFFFF"/>
              </w:rPr>
              <w:t>本项目为交钥匙项目。成交供应商负责送货、安装及调试，并提供现场操作培训，确保采购人人员能够正常使用设备；其余服务内容按成交供应商竞标承诺执行。安装调试所需的工具、备件由成交供应商自行提供，过程中须采取充分安全措施，因成交供应商原因造成人身或财产损失的，由成交供应商承担全部赔偿责任。</w:t>
            </w:r>
          </w:p>
          <w:p w14:paraId="7E2A2660">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28"/>
                <w:szCs w:val="28"/>
                <w:highlight w:val="none"/>
              </w:rPr>
            </w:pPr>
            <w:r>
              <w:rPr>
                <w:rFonts w:hint="eastAsia" w:ascii="仿宋_GB2312" w:hAnsi="仿宋_GB2312" w:eastAsia="仿宋_GB2312" w:cs="仿宋_GB2312"/>
                <w:i w:val="0"/>
                <w:iCs w:val="0"/>
                <w:caps w:val="0"/>
                <w:color w:val="4A1D96"/>
                <w:spacing w:val="0"/>
                <w:sz w:val="28"/>
                <w:szCs w:val="28"/>
                <w:shd w:val="clear" w:color="auto" w:fill="FFFFFF"/>
              </w:rPr>
              <w:t>针对安装环境，成交供应商需完成以下配套改造工作：（1）对4个房间的LED屏幕安装进行电路改造，包括自配电室至各房间配电柜及LED屏幕的电路铺设，配电室至单间距离约40米；（2）完成展示柜至配电柜的电源布置，距离约20米；（3）进行LED嵌入式背景墙改造，单面墙面积约35平方米，采用护墙板或木质模板，色调须与现有实训室保持一致。所有安装外表均不得出现明线，以确保设备正常运行及整体美观。</w:t>
            </w:r>
          </w:p>
          <w:p w14:paraId="5D109116">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二、验收与风险转移</w:t>
            </w:r>
          </w:p>
          <w:p w14:paraId="19029F81">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28"/>
                <w:szCs w:val="28"/>
                <w:shd w:val="clear" w:color="auto" w:fill="FFFFFF"/>
              </w:rPr>
            </w:pPr>
            <w:r>
              <w:rPr>
                <w:rFonts w:hint="eastAsia" w:ascii="仿宋_GB2312" w:hAnsi="仿宋_GB2312" w:eastAsia="仿宋_GB2312" w:cs="仿宋_GB2312"/>
                <w:i w:val="0"/>
                <w:iCs w:val="0"/>
                <w:caps w:val="0"/>
                <w:color w:val="4A1D96"/>
                <w:spacing w:val="0"/>
                <w:sz w:val="28"/>
                <w:szCs w:val="28"/>
                <w:shd w:val="clear" w:color="auto" w:fill="FFFFFF"/>
              </w:rPr>
              <w:t>货物运抵后，采购人依据合同约定、询价文件技术规格及国家标准进行到货验收。安装调试合格后，组织最终验收，成交供应商须派员到场配合。</w:t>
            </w:r>
          </w:p>
          <w:p w14:paraId="7C92A5B2">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28"/>
                <w:szCs w:val="28"/>
                <w:highlight w:val="none"/>
              </w:rPr>
            </w:pPr>
            <w:r>
              <w:rPr>
                <w:rFonts w:hint="eastAsia" w:ascii="仿宋_GB2312" w:hAnsi="仿宋_GB2312" w:eastAsia="仿宋_GB2312" w:cs="仿宋_GB2312"/>
                <w:i w:val="0"/>
                <w:iCs w:val="0"/>
                <w:caps w:val="0"/>
                <w:color w:val="4A1D96"/>
                <w:spacing w:val="0"/>
                <w:sz w:val="28"/>
                <w:szCs w:val="28"/>
                <w:shd w:val="clear" w:color="auto" w:fill="FFFFFF"/>
              </w:rPr>
              <w:t>验收过程中，采购人将逐条核验设备的品牌、型号、技术参数及功能等指标。若发现与竞标承诺不符，采购人有权要求成交供应商在7日内更换、补齐或消除缺陷，相关费用及逾期交货造成的损失由成交供应商承担；成交供应商拒绝更换、补齐或消除缺陷的，采购人有权退货并追究成交供应商相应责任。对于技术复杂的货物，采购人可委托专业检测机构进行验收并出具报告，检测费用由采购人承担。货物的毁损、灭失风险，自最终验收合格之日起转移至采购人。</w:t>
            </w:r>
          </w:p>
        </w:tc>
      </w:tr>
      <w:tr w14:paraId="7B02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560EBB46">
            <w:pPr>
              <w:spacing w:line="360" w:lineRule="auto"/>
              <w:rPr>
                <w:rFonts w:ascii="宋体" w:hAnsi="宋体" w:cs="宋体"/>
                <w:b/>
                <w:iCs/>
                <w:szCs w:val="21"/>
                <w:highlight w:val="none"/>
              </w:rPr>
            </w:pPr>
            <w:r>
              <w:rPr>
                <w:rFonts w:hint="eastAsia" w:ascii="宋体" w:hAnsi="宋体"/>
                <w:b/>
                <w:iCs/>
                <w:szCs w:val="21"/>
                <w:highlight w:val="none"/>
                <w:lang w:val="en-US" w:eastAsia="zh-CN"/>
              </w:rPr>
              <w:t>保修与</w:t>
            </w:r>
            <w:r>
              <w:rPr>
                <w:rFonts w:hint="eastAsia" w:ascii="宋体" w:hAnsi="宋体"/>
                <w:b/>
                <w:iCs/>
                <w:szCs w:val="21"/>
                <w:highlight w:val="none"/>
              </w:rPr>
              <w:t>售后服务</w:t>
            </w:r>
          </w:p>
        </w:tc>
        <w:tc>
          <w:tcPr>
            <w:tcW w:w="8860" w:type="dxa"/>
            <w:shd w:val="clear" w:color="000000" w:fill="FFFFFF"/>
            <w:noWrap w:val="0"/>
            <w:vAlign w:val="center"/>
          </w:tcPr>
          <w:p w14:paraId="5B276EE6">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本项目质保期</w:t>
            </w:r>
            <w:r>
              <w:rPr>
                <w:rFonts w:hint="eastAsia" w:ascii="宋体" w:hAnsi="宋体" w:cs="宋体"/>
                <w:sz w:val="24"/>
                <w:szCs w:val="24"/>
                <w:lang w:val="en-US" w:eastAsia="zh-CN"/>
              </w:rPr>
              <w:t>5</w:t>
            </w:r>
            <w:r>
              <w:rPr>
                <w:rFonts w:hint="default" w:ascii="宋体" w:hAnsi="宋体" w:eastAsia="宋体" w:cs="宋体"/>
                <w:sz w:val="24"/>
                <w:szCs w:val="24"/>
                <w:lang w:val="en-US" w:eastAsia="zh-CN"/>
              </w:rPr>
              <w:t>年，自最终验收合格之日起算。质保期内供应商承担全部维修更换费用，提供7×24小时远程技术支持、系统升级及补丁更新，每季度上门巡检并提交书面报告。</w:t>
            </w:r>
          </w:p>
          <w:p w14:paraId="27292922">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故障分为两级：A级（重大紧急，核心业务中断、数据丢失或大面积无法作业）须30分钟内远程确认、2小时内到场，4小时内临时恢复业务（可备机替换），24小时内彻底修复；B级（一般故障，非核心功能受限或单点异常）须30分钟内远程确认、4小时内到场，8小时内修复完毕。</w:t>
            </w:r>
          </w:p>
          <w:p w14:paraId="76A954CA">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A级故障</w:t>
            </w:r>
            <w:r>
              <w:rPr>
                <w:rFonts w:hint="eastAsia" w:ascii="宋体" w:hAnsi="宋体" w:cs="宋体"/>
                <w:sz w:val="24"/>
                <w:szCs w:val="24"/>
                <w:lang w:val="en-US" w:eastAsia="zh-CN"/>
              </w:rPr>
              <w:t>超过</w:t>
            </w:r>
            <w:r>
              <w:rPr>
                <w:rFonts w:hint="default" w:ascii="宋体" w:hAnsi="宋体" w:eastAsia="宋体" w:cs="宋体"/>
                <w:sz w:val="24"/>
                <w:szCs w:val="24"/>
                <w:lang w:val="en-US" w:eastAsia="zh-CN"/>
              </w:rPr>
              <w:t>4小时未恢复，按日以合同金额5‰支付违约金直至恢复；到场24小时内无法修复的，2个工作日内提供备机；同一设备经3次维修仍无法使用，须无条件换新，换新后保修期重新计算。</w:t>
            </w:r>
          </w:p>
          <w:p w14:paraId="6B2D0871">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eastAsia="zh-CN"/>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质保期满后提供终身维修，仅收部件成本费，服务标准与质保期内一致。</w:t>
            </w:r>
          </w:p>
        </w:tc>
      </w:tr>
      <w:tr w14:paraId="5868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52" w:type="dxa"/>
            <w:shd w:val="clear" w:color="000000" w:fill="FFFFFF"/>
            <w:noWrap w:val="0"/>
            <w:vAlign w:val="center"/>
          </w:tcPr>
          <w:p w14:paraId="3DFB9E8B">
            <w:pPr>
              <w:spacing w:line="360" w:lineRule="auto"/>
              <w:rPr>
                <w:rFonts w:hint="eastAsia" w:ascii="宋体" w:hAnsi="宋体"/>
                <w:b/>
                <w:iCs/>
                <w:szCs w:val="21"/>
                <w:highlight w:val="none"/>
              </w:rPr>
            </w:pPr>
            <w:r>
              <w:rPr>
                <w:rFonts w:hint="eastAsia" w:ascii="宋体" w:hAnsi="宋体"/>
                <w:b/>
                <w:iCs/>
                <w:szCs w:val="21"/>
                <w:highlight w:val="none"/>
              </w:rPr>
              <w:t>违约责任</w:t>
            </w:r>
          </w:p>
        </w:tc>
        <w:tc>
          <w:tcPr>
            <w:tcW w:w="8860" w:type="dxa"/>
            <w:shd w:val="clear" w:color="000000" w:fill="FFFFFF"/>
            <w:noWrap w:val="0"/>
            <w:vAlign w:val="center"/>
          </w:tcPr>
          <w:p w14:paraId="07C56DCA">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一、供应商违约责任</w:t>
            </w:r>
          </w:p>
          <w:p w14:paraId="73FAEB4D">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（1）逾期责任：供应商逾期交货或安装的，每日按合同总额的3‰向采购人支付违约金；逾期超过7个工作日的，采购人有权单方解除合同，供应商须另行支付合同总额20%的违约金。</w:t>
            </w:r>
          </w:p>
          <w:p w14:paraId="5F29F5A3">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（2）质量及保修责任</w:t>
            </w:r>
          </w:p>
          <w:p w14:paraId="3AC30D80">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4A1D96"/>
                <w:spacing w:val="0"/>
                <w:sz w:val="28"/>
                <w:szCs w:val="28"/>
                <w:shd w:val="clear" w:color="auto" w:fill="FFFFFF"/>
              </w:rPr>
              <w:t>货物品牌、型号、参数、质量等不符合</w:t>
            </w:r>
            <w:r>
              <w:rPr>
                <w:rFonts w:hint="eastAsia" w:ascii="仿宋_GB2312" w:hAnsi="仿宋_GB2312" w:eastAsia="仿宋_GB2312" w:cs="仿宋_GB2312"/>
                <w:i w:val="0"/>
                <w:iCs w:val="0"/>
                <w:caps w:val="0"/>
                <w:color w:val="4A1D96"/>
                <w:spacing w:val="0"/>
                <w:sz w:val="28"/>
                <w:szCs w:val="28"/>
                <w:shd w:val="clear" w:color="auto" w:fill="FFFFFF"/>
                <w:lang w:eastAsia="zh-CN"/>
              </w:rPr>
              <w:t>询价文件</w:t>
            </w:r>
            <w:r>
              <w:rPr>
                <w:rFonts w:hint="eastAsia" w:ascii="仿宋_GB2312" w:hAnsi="仿宋_GB2312" w:eastAsia="仿宋_GB2312" w:cs="仿宋_GB2312"/>
                <w:i w:val="0"/>
                <w:iCs w:val="0"/>
                <w:caps w:val="0"/>
                <w:color w:val="4A1D96"/>
                <w:spacing w:val="0"/>
                <w:sz w:val="28"/>
                <w:szCs w:val="28"/>
                <w:shd w:val="clear" w:color="auto" w:fill="FFFFFF"/>
              </w:rPr>
              <w:t>约定的，采购人有权拒收货物并要求</w:t>
            </w:r>
            <w:r>
              <w:rPr>
                <w:rFonts w:hint="eastAsia" w:ascii="仿宋_GB2312" w:hAnsi="仿宋_GB2312" w:eastAsia="仿宋_GB2312" w:cs="仿宋_GB2312"/>
                <w:i w:val="0"/>
                <w:iCs w:val="0"/>
                <w:caps w:val="0"/>
                <w:color w:val="4A1D96"/>
                <w:spacing w:val="0"/>
                <w:sz w:val="28"/>
                <w:szCs w:val="28"/>
                <w:shd w:val="clear" w:color="auto" w:fill="FFFFFF"/>
                <w:lang w:val="en-US" w:eastAsia="zh-CN"/>
              </w:rPr>
              <w:t>成交</w:t>
            </w:r>
            <w:r>
              <w:rPr>
                <w:rFonts w:hint="eastAsia" w:ascii="仿宋_GB2312" w:hAnsi="仿宋_GB2312" w:eastAsia="仿宋_GB2312" w:cs="仿宋_GB2312"/>
                <w:i w:val="0"/>
                <w:iCs w:val="0"/>
                <w:caps w:val="0"/>
                <w:color w:val="4A1D96"/>
                <w:spacing w:val="0"/>
                <w:sz w:val="28"/>
                <w:szCs w:val="28"/>
                <w:shd w:val="clear" w:color="auto" w:fill="FFFFFF"/>
              </w:rPr>
              <w:t>供应商更换。</w:t>
            </w:r>
            <w:r>
              <w:rPr>
                <w:rFonts w:hint="eastAsia" w:ascii="仿宋_GB2312" w:hAnsi="仿宋_GB2312" w:eastAsia="仿宋_GB2312" w:cs="仿宋_GB2312"/>
                <w:i w:val="0"/>
                <w:iCs w:val="0"/>
                <w:caps w:val="0"/>
                <w:color w:val="4A1D96"/>
                <w:spacing w:val="0"/>
                <w:sz w:val="28"/>
                <w:szCs w:val="28"/>
                <w:shd w:val="clear" w:color="auto" w:fill="FFFFFF"/>
                <w:lang w:val="en-US" w:eastAsia="zh-CN"/>
              </w:rPr>
              <w:t>成交</w:t>
            </w:r>
            <w:r>
              <w:rPr>
                <w:rFonts w:hint="eastAsia" w:ascii="仿宋_GB2312" w:hAnsi="仿宋_GB2312" w:eastAsia="仿宋_GB2312" w:cs="仿宋_GB2312"/>
                <w:i w:val="0"/>
                <w:iCs w:val="0"/>
                <w:caps w:val="0"/>
                <w:color w:val="4A1D96"/>
                <w:spacing w:val="0"/>
                <w:sz w:val="28"/>
                <w:szCs w:val="28"/>
                <w:shd w:val="clear" w:color="auto" w:fill="FFFFFF"/>
              </w:rPr>
              <w:t>供应商未按约履行保修义务的，采购人可委托第三方进行维修，相关费用由</w:t>
            </w:r>
            <w:r>
              <w:rPr>
                <w:rFonts w:hint="eastAsia" w:ascii="仿宋_GB2312" w:hAnsi="仿宋_GB2312" w:eastAsia="仿宋_GB2312" w:cs="仿宋_GB2312"/>
                <w:i w:val="0"/>
                <w:iCs w:val="0"/>
                <w:caps w:val="0"/>
                <w:color w:val="4A1D96"/>
                <w:spacing w:val="0"/>
                <w:sz w:val="28"/>
                <w:szCs w:val="28"/>
                <w:shd w:val="clear" w:color="auto" w:fill="FFFFFF"/>
                <w:lang w:val="en-US" w:eastAsia="zh-CN"/>
              </w:rPr>
              <w:t>成交</w:t>
            </w:r>
            <w:r>
              <w:rPr>
                <w:rFonts w:hint="eastAsia" w:ascii="仿宋_GB2312" w:hAnsi="仿宋_GB2312" w:eastAsia="仿宋_GB2312" w:cs="仿宋_GB2312"/>
                <w:i w:val="0"/>
                <w:iCs w:val="0"/>
                <w:caps w:val="0"/>
                <w:color w:val="4A1D96"/>
                <w:spacing w:val="0"/>
                <w:sz w:val="28"/>
                <w:szCs w:val="28"/>
                <w:shd w:val="clear" w:color="auto" w:fill="FFFFFF"/>
              </w:rPr>
              <w:t>供应商承担，</w:t>
            </w:r>
            <w:r>
              <w:rPr>
                <w:rFonts w:hint="eastAsia" w:ascii="仿宋_GB2312" w:hAnsi="仿宋_GB2312" w:eastAsia="仿宋_GB2312" w:cs="仿宋_GB2312"/>
                <w:i w:val="0"/>
                <w:iCs w:val="0"/>
                <w:caps w:val="0"/>
                <w:color w:val="4A1D96"/>
                <w:spacing w:val="0"/>
                <w:sz w:val="28"/>
                <w:szCs w:val="28"/>
                <w:shd w:val="clear" w:color="auto" w:fill="FFFFFF"/>
                <w:lang w:val="en-US" w:eastAsia="zh-CN"/>
              </w:rPr>
              <w:t>成交</w:t>
            </w:r>
            <w:r>
              <w:rPr>
                <w:rFonts w:hint="eastAsia" w:ascii="仿宋_GB2312" w:hAnsi="仿宋_GB2312" w:eastAsia="仿宋_GB2312" w:cs="仿宋_GB2312"/>
                <w:i w:val="0"/>
                <w:iCs w:val="0"/>
                <w:caps w:val="0"/>
                <w:color w:val="4A1D96"/>
                <w:spacing w:val="0"/>
                <w:sz w:val="28"/>
                <w:szCs w:val="28"/>
                <w:shd w:val="clear" w:color="auto" w:fill="FFFFFF"/>
              </w:rPr>
              <w:t>供应商应在收到费用凭证后7日内支付。</w:t>
            </w:r>
            <w:r>
              <w:rPr>
                <w:rFonts w:hint="eastAsia" w:ascii="仿宋_GB2312" w:hAnsi="仿宋_GB2312" w:eastAsia="仿宋_GB2312" w:cs="仿宋_GB2312"/>
                <w:i w:val="0"/>
                <w:iCs w:val="0"/>
                <w:caps w:val="0"/>
                <w:color w:val="4A1D96"/>
                <w:spacing w:val="0"/>
                <w:sz w:val="28"/>
                <w:szCs w:val="28"/>
                <w:shd w:val="clear" w:color="auto" w:fill="FFFFFF"/>
                <w:lang w:val="en-US" w:eastAsia="zh-CN"/>
              </w:rPr>
              <w:t>成交</w:t>
            </w:r>
            <w:r>
              <w:rPr>
                <w:rFonts w:hint="eastAsia" w:ascii="仿宋_GB2312" w:hAnsi="仿宋_GB2312" w:eastAsia="仿宋_GB2312" w:cs="仿宋_GB2312"/>
                <w:i w:val="0"/>
                <w:iCs w:val="0"/>
                <w:caps w:val="0"/>
                <w:color w:val="4A1D96"/>
                <w:spacing w:val="0"/>
                <w:sz w:val="28"/>
                <w:szCs w:val="28"/>
                <w:shd w:val="clear" w:color="auto" w:fill="FFFFFF"/>
              </w:rPr>
              <w:t>供应商每违反保修义务一次，另须向采购人支付合同金额3‰的违约金。</w:t>
            </w:r>
          </w:p>
          <w:p w14:paraId="575AF45D">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根本违约与损害赔偿：供应商经书面催告后仍拒绝更换或维修的，采购人可单方解除合同，并要求供应商支付合同总额20%的违约金；违约金不足以弥补采购人实际损失的，采购人有权继续追偿，追偿范围包括但不限于直接经济损失、律师费、诉讼费、保全费、鉴定费、公证费、差旅费等合理费用。因货物质量问题或供应商服务质量问题造成采购人或任何第三方人身、财产损害的，供应商应承担全部赔偿责任。其他违约行为导致合同解除的，同样适用上述违约金及损失补足规则。</w:t>
            </w:r>
          </w:p>
          <w:p w14:paraId="001EBEFD">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二、采购人违约责任</w:t>
            </w:r>
          </w:p>
          <w:p w14:paraId="30D0156C">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采购人无正当理由拒收货物的，须支付拒收货款总额5%的违约金；无故逾期验收或逾期付款的，每日按逾期金额的3‰支付违约金，但违约金总额不超过逾期应付金额的10%。</w:t>
            </w:r>
          </w:p>
          <w:p w14:paraId="6F944E02">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三、货物不符处置方式及合同文本效力</w:t>
            </w:r>
          </w:p>
          <w:p w14:paraId="1F6A51CC">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4A1D96"/>
                <w:spacing w:val="0"/>
                <w:sz w:val="28"/>
                <w:szCs w:val="28"/>
                <w:highlight w:val="none"/>
                <w:shd w:val="clear" w:color="auto" w:fill="FFFFFF"/>
              </w:rPr>
              <w:t>货物在交货、安装、验收、质保任一阶段不符合要求的，采购人有权择一行使以下权利：要求供应商消除缺陷、7日内更换、按损失程度降价，或退货退款（供应商须退还全部货款并承担运输、保险、利息等全部费用）。正式签订的政府采购合同（含广西政府采购云格式合同）中，涉及质保期、付款方式、违约责任、验收标准等实质性条款与本文件不一致的，以本</w:t>
            </w:r>
            <w:r>
              <w:rPr>
                <w:rFonts w:hint="eastAsia" w:ascii="仿宋_GB2312" w:hAnsi="仿宋_GB2312" w:eastAsia="仿宋_GB2312" w:cs="仿宋_GB2312"/>
                <w:i w:val="0"/>
                <w:iCs w:val="0"/>
                <w:caps w:val="0"/>
                <w:color w:val="4A1D96"/>
                <w:spacing w:val="0"/>
                <w:sz w:val="28"/>
                <w:szCs w:val="28"/>
                <w:highlight w:val="none"/>
                <w:shd w:val="clear" w:color="auto" w:fill="FFFFFF"/>
                <w:lang w:eastAsia="zh-CN"/>
              </w:rPr>
              <w:t>询价文件</w:t>
            </w:r>
            <w:r>
              <w:rPr>
                <w:rFonts w:hint="eastAsia" w:ascii="仿宋_GB2312" w:hAnsi="仿宋_GB2312" w:eastAsia="仿宋_GB2312" w:cs="仿宋_GB2312"/>
                <w:i w:val="0"/>
                <w:iCs w:val="0"/>
                <w:caps w:val="0"/>
                <w:color w:val="4A1D96"/>
                <w:spacing w:val="0"/>
                <w:sz w:val="28"/>
                <w:szCs w:val="28"/>
                <w:highlight w:val="none"/>
                <w:shd w:val="clear" w:color="auto" w:fill="FFFFFF"/>
              </w:rPr>
              <w:t>为准。</w:t>
            </w:r>
          </w:p>
        </w:tc>
      </w:tr>
      <w:tr w14:paraId="79B4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07B4E07D">
            <w:pPr>
              <w:spacing w:line="360" w:lineRule="auto"/>
              <w:rPr>
                <w:rFonts w:ascii="宋体" w:hAnsi="宋体" w:cs="宋体"/>
                <w:b/>
                <w:iCs/>
                <w:szCs w:val="21"/>
                <w:highlight w:val="none"/>
              </w:rPr>
            </w:pPr>
            <w:r>
              <w:rPr>
                <w:rFonts w:hint="eastAsia" w:ascii="宋体" w:hAnsi="宋体" w:cs="宋体"/>
                <w:b/>
                <w:iCs/>
                <w:szCs w:val="21"/>
                <w:highlight w:val="none"/>
              </w:rPr>
              <w:t>付款方式</w:t>
            </w:r>
          </w:p>
        </w:tc>
        <w:tc>
          <w:tcPr>
            <w:tcW w:w="8860" w:type="dxa"/>
            <w:tcBorders>
              <w:top w:val="single" w:color="auto" w:sz="4" w:space="0"/>
              <w:left w:val="single" w:color="auto" w:sz="4" w:space="0"/>
              <w:bottom w:val="single" w:color="auto" w:sz="4" w:space="0"/>
            </w:tcBorders>
            <w:noWrap w:val="0"/>
            <w:vAlign w:val="center"/>
          </w:tcPr>
          <w:p w14:paraId="3DFB1E61">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签订合同后10个工作日内采购人向成交供应商支付合同总金额30%的预付款，待货物安装调试完毕并验收合格后，采购人在收到成交供应商开具的全额、有效发票和货物的全部技术、质保等资料（国产设备必须为增值税专用发票）之日起10个工作日内付清成交供应商剩余的70%合同款。若成交供应商未按时开具发票，采购人有权延迟付款（无息）。采购人按约将货款付至合同约定的银行账户(该账户的真实性及合法性由成交供应商负责)；如因成交供应商提供的账户信息错误导致无法付款、迟延付款等情形的不视为采购人违约；成交供应商变更收款银行账户的，应在变更之前书面通知采购人，否则应承担采购人无法付款、迟延付款或付款错误等全部责任。</w:t>
            </w:r>
          </w:p>
        </w:tc>
      </w:tr>
      <w:tr w14:paraId="08DD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32BB31B9">
            <w:pPr>
              <w:spacing w:line="360" w:lineRule="auto"/>
              <w:rPr>
                <w:rFonts w:ascii="宋体" w:hAnsi="宋体" w:cs="宋体"/>
                <w:b/>
                <w:iCs/>
                <w:szCs w:val="21"/>
                <w:highlight w:val="none"/>
              </w:rPr>
            </w:pPr>
            <w:r>
              <w:rPr>
                <w:rFonts w:hint="eastAsia" w:ascii="宋体" w:hAnsi="Courier New"/>
                <w:b/>
                <w:bCs/>
                <w:iCs/>
                <w:szCs w:val="22"/>
                <w:highlight w:val="none"/>
              </w:rPr>
              <w:t>履约保证金</w:t>
            </w:r>
          </w:p>
        </w:tc>
        <w:tc>
          <w:tcPr>
            <w:tcW w:w="8860" w:type="dxa"/>
            <w:tcBorders>
              <w:top w:val="single" w:color="auto" w:sz="4" w:space="0"/>
              <w:left w:val="single" w:color="auto" w:sz="4" w:space="0"/>
              <w:bottom w:val="single" w:color="auto" w:sz="4" w:space="0"/>
            </w:tcBorders>
            <w:noWrap w:val="0"/>
            <w:vAlign w:val="center"/>
          </w:tcPr>
          <w:p w14:paraId="15953CD9">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本项目不收取履约保证金。</w:t>
            </w:r>
          </w:p>
        </w:tc>
      </w:tr>
      <w:tr w14:paraId="70E4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7F6F2BE7">
            <w:pPr>
              <w:spacing w:line="360" w:lineRule="auto"/>
              <w:rPr>
                <w:rFonts w:ascii="宋体" w:hAnsi="宋体"/>
                <w:b/>
                <w:iCs/>
                <w:szCs w:val="21"/>
                <w:highlight w:val="none"/>
              </w:rPr>
            </w:pPr>
            <w:r>
              <w:rPr>
                <w:rFonts w:hint="eastAsia" w:ascii="宋体" w:hAnsi="宋体"/>
                <w:b/>
                <w:iCs/>
                <w:szCs w:val="21"/>
                <w:highlight w:val="none"/>
              </w:rPr>
              <w:t>合同签订</w:t>
            </w:r>
          </w:p>
        </w:tc>
        <w:tc>
          <w:tcPr>
            <w:tcW w:w="8860" w:type="dxa"/>
            <w:tcBorders>
              <w:top w:val="single" w:color="auto" w:sz="4" w:space="0"/>
              <w:left w:val="single" w:color="auto" w:sz="4" w:space="0"/>
              <w:bottom w:val="single" w:color="auto" w:sz="4" w:space="0"/>
            </w:tcBorders>
            <w:noWrap w:val="0"/>
            <w:vAlign w:val="center"/>
          </w:tcPr>
          <w:p w14:paraId="3F48410A">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成交结果确定后 15 个工作日内，成交供应商须通过广西政府采购云平台与采购人签订电子合同，逾期未签订的，视为放弃成交资格。</w:t>
            </w:r>
          </w:p>
        </w:tc>
      </w:tr>
      <w:tr w14:paraId="3926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67F4CCEA">
            <w:pPr>
              <w:spacing w:line="360" w:lineRule="auto"/>
              <w:rPr>
                <w:rFonts w:hint="eastAsia" w:ascii="宋体" w:hAnsi="宋体"/>
                <w:b/>
                <w:iCs/>
                <w:szCs w:val="21"/>
                <w:highlight w:val="none"/>
              </w:rPr>
            </w:pPr>
            <w:r>
              <w:rPr>
                <w:rFonts w:ascii="Segoe UI" w:hAnsi="Segoe UI" w:eastAsia="Segoe UI" w:cs="Segoe UI"/>
                <w:b/>
                <w:bCs/>
                <w:i w:val="0"/>
                <w:iCs w:val="0"/>
                <w:caps w:val="0"/>
                <w:color w:val="0F1115"/>
                <w:spacing w:val="0"/>
                <w:sz w:val="24"/>
                <w:szCs w:val="24"/>
                <w:shd w:val="clear" w:fill="FFFFFF"/>
              </w:rPr>
              <w:t>合同文件构成与解释顺序</w:t>
            </w:r>
          </w:p>
        </w:tc>
        <w:tc>
          <w:tcPr>
            <w:tcW w:w="8860" w:type="dxa"/>
            <w:tcBorders>
              <w:top w:val="single" w:color="auto" w:sz="4" w:space="0"/>
              <w:left w:val="single" w:color="auto" w:sz="4" w:space="0"/>
              <w:bottom w:val="single" w:color="auto" w:sz="4" w:space="0"/>
            </w:tcBorders>
            <w:noWrap w:val="0"/>
            <w:vAlign w:val="center"/>
          </w:tcPr>
          <w:p w14:paraId="24685C5B">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ascii="Segoe UI" w:hAnsi="Segoe UI" w:eastAsia="Segoe UI" w:cs="Segoe UI"/>
                <w:i w:val="0"/>
                <w:iCs w:val="0"/>
                <w:caps w:val="0"/>
                <w:color w:val="0F1115"/>
                <w:spacing w:val="0"/>
                <w:sz w:val="24"/>
                <w:szCs w:val="24"/>
                <w:shd w:val="clear" w:fill="FFFFFF"/>
              </w:rPr>
              <w:t>合同附件及采购需求文件（含询价文件、成交供应商竞标文件等）中涉及质保期、付款方式、违约责任、验收标准等实质性条款与合同正文不一致的，以</w:t>
            </w:r>
            <w:r>
              <w:rPr>
                <w:rFonts w:hint="eastAsia" w:ascii="Segoe UI" w:hAnsi="Segoe UI" w:cs="Segoe UI"/>
                <w:i w:val="0"/>
                <w:iCs w:val="0"/>
                <w:caps w:val="0"/>
                <w:color w:val="0F1115"/>
                <w:spacing w:val="0"/>
                <w:sz w:val="24"/>
                <w:szCs w:val="24"/>
                <w:shd w:val="clear" w:fill="FFFFFF"/>
                <w:lang w:val="en-US" w:eastAsia="zh-CN"/>
              </w:rPr>
              <w:t>本询价文件</w:t>
            </w:r>
            <w:r>
              <w:rPr>
                <w:rFonts w:ascii="Segoe UI" w:hAnsi="Segoe UI" w:eastAsia="Segoe UI" w:cs="Segoe UI"/>
                <w:i w:val="0"/>
                <w:iCs w:val="0"/>
                <w:caps w:val="0"/>
                <w:color w:val="0F1115"/>
                <w:spacing w:val="0"/>
                <w:sz w:val="24"/>
                <w:szCs w:val="24"/>
                <w:shd w:val="clear" w:fill="FFFFFF"/>
              </w:rPr>
              <w:t>为准。</w:t>
            </w:r>
          </w:p>
        </w:tc>
      </w:tr>
      <w:tr w14:paraId="4F11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554E17B1">
            <w:pPr>
              <w:spacing w:line="360" w:lineRule="auto"/>
              <w:rPr>
                <w:rFonts w:ascii="宋体" w:hAnsi="宋体"/>
                <w:b/>
                <w:iCs/>
                <w:szCs w:val="21"/>
                <w:highlight w:val="none"/>
              </w:rPr>
            </w:pPr>
            <w:r>
              <w:rPr>
                <w:rFonts w:ascii="宋体" w:hAnsi="宋体"/>
                <w:b/>
                <w:iCs/>
                <w:szCs w:val="21"/>
                <w:highlight w:val="none"/>
              </w:rPr>
              <w:t>其他技术及服务要求</w:t>
            </w:r>
          </w:p>
        </w:tc>
        <w:tc>
          <w:tcPr>
            <w:tcW w:w="8860" w:type="dxa"/>
            <w:tcBorders>
              <w:top w:val="single" w:color="auto" w:sz="4" w:space="0"/>
              <w:left w:val="single" w:color="auto" w:sz="4" w:space="0"/>
              <w:bottom w:val="single" w:color="auto" w:sz="4" w:space="0"/>
            </w:tcBorders>
            <w:noWrap w:val="0"/>
            <w:vAlign w:val="center"/>
          </w:tcPr>
          <w:p w14:paraId="0A861E9A">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询价文件中带 “▲” 的条款为实质性响应条款，不满足者按无效报价处理。</w:t>
            </w:r>
          </w:p>
          <w:p w14:paraId="22DE4381">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采购人有权邀请未成交供应商参与项目验收。</w:t>
            </w:r>
          </w:p>
          <w:p w14:paraId="0C3DE52D">
            <w:pPr>
              <w:keepNext w:val="0"/>
              <w:keepLines w:val="0"/>
              <w:pageBreakBefore w:val="0"/>
              <w:widowControl/>
              <w:numPr>
                <w:ilvl w:val="0"/>
                <w:numId w:val="0"/>
              </w:numPr>
              <w:bidi w:val="0"/>
              <w:spacing w:line="320" w:lineRule="exact"/>
              <w:ind w:left="0" w:firstLine="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3. 本项目不组织统一现场考察，供应商自行踏勘了解项目情况。</w:t>
            </w:r>
          </w:p>
        </w:tc>
      </w:tr>
    </w:tbl>
    <w:p w14:paraId="6AD6903D">
      <w:pPr>
        <w:pStyle w:val="15"/>
        <w:rPr>
          <w:rFonts w:hint="eastAsia" w:ascii="宋体" w:hAnsi="宋体" w:cs="宋体"/>
          <w:color w:val="auto"/>
        </w:rPr>
      </w:pPr>
    </w:p>
    <w:p w14:paraId="1D592D9F">
      <w:pPr>
        <w:pStyle w:val="15"/>
        <w:rPr>
          <w:rFonts w:hint="eastAsia" w:ascii="宋体" w:hAnsi="宋体" w:cs="宋体"/>
          <w:color w:val="auto"/>
        </w:rPr>
      </w:pPr>
      <w:r>
        <w:rPr>
          <w:rFonts w:hint="eastAsia" w:ascii="宋体" w:hAnsi="宋体" w:cs="宋体"/>
          <w:color w:val="auto"/>
        </w:rPr>
        <w:t>附件：1、广西</w:t>
      </w:r>
      <w:r>
        <w:rPr>
          <w:rFonts w:hint="eastAsia" w:ascii="宋体" w:hAnsi="宋体" w:cs="宋体"/>
          <w:color w:val="auto"/>
          <w:lang w:val="en-US" w:eastAsia="zh-CN"/>
        </w:rPr>
        <w:t>中医药大学</w:t>
      </w:r>
      <w:r>
        <w:rPr>
          <w:rFonts w:hint="eastAsia" w:ascii="宋体" w:hAnsi="宋体" w:cs="宋体"/>
          <w:color w:val="auto"/>
        </w:rPr>
        <w:t>采购项目报价表</w:t>
      </w:r>
    </w:p>
    <w:p w14:paraId="3CA89C1D">
      <w:pPr>
        <w:pStyle w:val="15"/>
        <w:numPr>
          <w:ilvl w:val="0"/>
          <w:numId w:val="1"/>
        </w:numPr>
        <w:ind w:firstLine="720"/>
        <w:rPr>
          <w:rFonts w:hint="eastAsia" w:ascii="宋体" w:hAnsi="宋体" w:cs="宋体"/>
          <w:color w:val="auto"/>
        </w:rPr>
      </w:pPr>
      <w:r>
        <w:rPr>
          <w:rFonts w:hint="eastAsia" w:ascii="宋体" w:hAnsi="宋体" w:cs="宋体"/>
          <w:color w:val="auto"/>
        </w:rPr>
        <w:t>技术参数响应表</w:t>
      </w:r>
    </w:p>
    <w:p w14:paraId="49A9C350">
      <w:pPr>
        <w:pStyle w:val="15"/>
        <w:numPr>
          <w:ilvl w:val="0"/>
          <w:numId w:val="1"/>
        </w:numPr>
        <w:ind w:firstLine="720"/>
        <w:rPr>
          <w:rFonts w:hint="eastAsia" w:ascii="宋体" w:hAnsi="宋体" w:cs="宋体"/>
          <w:color w:val="auto"/>
        </w:rPr>
      </w:pPr>
      <w:r>
        <w:rPr>
          <w:rFonts w:hint="eastAsia" w:ascii="宋体" w:hAnsi="宋体" w:cs="宋体"/>
          <w:color w:val="auto"/>
        </w:rPr>
        <w:t>法定代表人身份证明及法定代表人授权书</w:t>
      </w:r>
    </w:p>
    <w:p w14:paraId="0F2DFF1E">
      <w:pPr>
        <w:pStyle w:val="15"/>
        <w:numPr>
          <w:ilvl w:val="0"/>
          <w:numId w:val="1"/>
        </w:numPr>
        <w:ind w:right="0" w:firstLine="720"/>
        <w:jc w:val="left"/>
        <w:rPr>
          <w:rFonts w:hint="eastAsia" w:ascii="宋体" w:hAnsi="宋体" w:cs="宋体"/>
          <w:color w:val="auto"/>
        </w:rPr>
      </w:pPr>
      <w:r>
        <w:rPr>
          <w:rFonts w:hint="eastAsia" w:ascii="宋体" w:hAnsi="宋体" w:cs="宋体"/>
          <w:color w:val="auto"/>
          <w:lang w:val="en-US" w:eastAsia="zh-CN"/>
        </w:rPr>
        <w:t>售后服务承诺</w:t>
      </w:r>
    </w:p>
    <w:p w14:paraId="3B9BDAD0">
      <w:pPr>
        <w:pStyle w:val="15"/>
        <w:numPr>
          <w:ilvl w:val="0"/>
          <w:numId w:val="0"/>
        </w:numPr>
        <w:ind w:right="0"/>
        <w:jc w:val="left"/>
        <w:rPr>
          <w:rFonts w:hint="eastAsia" w:ascii="宋体" w:hAnsi="宋体" w:cs="宋体"/>
          <w:color w:val="auto"/>
        </w:rPr>
      </w:pPr>
    </w:p>
    <w:p w14:paraId="71906CCA">
      <w:pPr>
        <w:pStyle w:val="15"/>
        <w:ind w:right="360"/>
        <w:jc w:val="right"/>
        <w:rPr>
          <w:rFonts w:hint="default" w:ascii="宋体" w:hAnsi="宋体" w:eastAsia="宋体" w:cs="宋体"/>
          <w:color w:val="auto"/>
          <w:lang w:val="en-US" w:eastAsia="zh-CN"/>
        </w:rPr>
      </w:pPr>
      <w:r>
        <w:rPr>
          <w:rFonts w:hint="eastAsia" w:ascii="宋体" w:hAnsi="宋体" w:cs="宋体"/>
          <w:color w:val="auto"/>
        </w:rPr>
        <w:t>广西</w:t>
      </w:r>
      <w:r>
        <w:rPr>
          <w:rFonts w:hint="eastAsia" w:ascii="宋体" w:hAnsi="宋体" w:cs="宋体"/>
          <w:color w:val="auto"/>
          <w:lang w:val="en-US" w:eastAsia="zh-CN"/>
        </w:rPr>
        <w:t>中医药大学</w:t>
      </w:r>
    </w:p>
    <w:p w14:paraId="490A5393">
      <w:pPr>
        <w:pStyle w:val="15"/>
        <w:ind w:right="360"/>
        <w:jc w:val="right"/>
        <w:rPr>
          <w:rFonts w:hint="eastAsia" w:ascii="宋体" w:hAnsi="宋体" w:cs="宋体"/>
          <w:color w:val="auto"/>
          <w:highlight w:val="none"/>
        </w:rPr>
        <w:sectPr>
          <w:footerReference r:id="rId3" w:type="default"/>
          <w:pgSz w:w="11906" w:h="16838"/>
          <w:pgMar w:top="1440" w:right="1134" w:bottom="1440" w:left="1531" w:header="851" w:footer="992" w:gutter="0"/>
          <w:cols w:space="720" w:num="1"/>
        </w:sectPr>
      </w:pPr>
      <w:r>
        <w:rPr>
          <w:rFonts w:hint="eastAsia" w:ascii="宋体" w:hAnsi="宋体" w:cs="宋体"/>
          <w:color w:val="auto"/>
          <w:highlight w:val="none"/>
        </w:rPr>
        <w:t>2026年</w:t>
      </w:r>
      <w:r>
        <w:rPr>
          <w:rFonts w:hint="eastAsia" w:ascii="宋体" w:hAnsi="宋体" w:cs="宋体"/>
          <w:color w:val="auto"/>
          <w:highlight w:val="none"/>
          <w:lang w:val="en-US" w:eastAsia="zh-CN"/>
        </w:rPr>
        <w:t>7</w:t>
      </w:r>
      <w:r>
        <w:rPr>
          <w:rFonts w:hint="eastAsia" w:ascii="宋体" w:hAnsi="宋体" w:cs="宋体"/>
          <w:color w:val="auto"/>
          <w:highlight w:val="none"/>
        </w:rPr>
        <w:t xml:space="preserve"> 月</w:t>
      </w:r>
      <w:r>
        <w:rPr>
          <w:rFonts w:hint="eastAsia" w:ascii="宋体" w:hAnsi="宋体" w:cs="宋体"/>
          <w:color w:val="auto"/>
          <w:highlight w:val="none"/>
          <w:lang w:val="en-US" w:eastAsia="zh-CN"/>
        </w:rPr>
        <w:t>22</w:t>
      </w:r>
      <w:r>
        <w:rPr>
          <w:rFonts w:hint="eastAsia" w:ascii="宋体" w:hAnsi="宋体" w:cs="宋体"/>
          <w:color w:val="auto"/>
          <w:highlight w:val="none"/>
        </w:rPr>
        <w:t>日</w:t>
      </w:r>
    </w:p>
    <w:p w14:paraId="40F8A472">
      <w:pPr>
        <w:rPr>
          <w:rFonts w:hint="eastAsia" w:ascii="宋体" w:hAnsi="宋体" w:cs="宋体"/>
          <w:b/>
          <w:color w:val="auto"/>
          <w:sz w:val="24"/>
          <w:szCs w:val="24"/>
        </w:rPr>
      </w:pPr>
      <w:r>
        <w:rPr>
          <w:rFonts w:hint="eastAsia" w:ascii="宋体" w:hAnsi="宋体" w:cs="宋体"/>
          <w:b/>
          <w:color w:val="auto"/>
          <w:sz w:val="24"/>
          <w:szCs w:val="24"/>
        </w:rPr>
        <w:t>附件1</w:t>
      </w:r>
    </w:p>
    <w:p w14:paraId="38DAE78A">
      <w:pPr>
        <w:pStyle w:val="19"/>
        <w:spacing w:before="120"/>
        <w:jc w:val="center"/>
        <w:rPr>
          <w:rFonts w:hint="eastAsia" w:hAnsi="宋体" w:cs="宋体"/>
          <w:bCs/>
          <w:color w:val="auto"/>
          <w:sz w:val="36"/>
          <w:szCs w:val="36"/>
        </w:rPr>
      </w:pPr>
      <w:r>
        <w:rPr>
          <w:rFonts w:hint="eastAsia" w:hAnsi="宋体" w:cs="宋体"/>
          <w:bCs/>
          <w:color w:val="auto"/>
          <w:sz w:val="36"/>
          <w:szCs w:val="36"/>
          <w:highlight w:val="none"/>
        </w:rPr>
        <w:t>广西中医药大学采购项目报价表</w:t>
      </w:r>
    </w:p>
    <w:p w14:paraId="408B9C7E">
      <w:pPr>
        <w:pStyle w:val="19"/>
        <w:spacing w:line="500" w:lineRule="exact"/>
        <w:rPr>
          <w:rFonts w:hint="eastAsia" w:hAnsi="宋体" w:cs="宋体"/>
          <w:color w:val="auto"/>
          <w:sz w:val="24"/>
          <w:szCs w:val="24"/>
          <w:u w:val="single"/>
        </w:rPr>
      </w:pPr>
      <w:r>
        <w:rPr>
          <w:rFonts w:hint="eastAsia" w:hAnsi="宋体" w:cs="宋体"/>
          <w:b/>
          <w:color w:val="auto"/>
          <w:sz w:val="24"/>
          <w:szCs w:val="24"/>
        </w:rPr>
        <w:t>采购项目名称：</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p w14:paraId="1D302218">
      <w:pPr>
        <w:pStyle w:val="19"/>
        <w:spacing w:line="500" w:lineRule="exact"/>
        <w:rPr>
          <w:rFonts w:hint="eastAsia" w:hAnsi="宋体" w:cs="宋体"/>
          <w:color w:val="auto"/>
          <w:sz w:val="24"/>
          <w:szCs w:val="24"/>
          <w:u w:val="single"/>
        </w:rPr>
      </w:pPr>
      <w:r>
        <w:rPr>
          <w:rFonts w:hint="eastAsia" w:hAnsi="宋体" w:cs="宋体"/>
          <w:b/>
          <w:color w:val="auto"/>
          <w:sz w:val="24"/>
          <w:szCs w:val="24"/>
          <w:lang w:val="en-US" w:eastAsia="zh-CN"/>
        </w:rPr>
        <w:t>询价文件编号</w:t>
      </w:r>
      <w:r>
        <w:rPr>
          <w:rFonts w:hint="eastAsia" w:hAnsi="宋体" w:cs="宋体"/>
          <w:b/>
          <w:color w:val="auto"/>
          <w:sz w:val="24"/>
          <w:szCs w:val="24"/>
        </w:rPr>
        <w:t>：</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p w14:paraId="4B1DDED5">
      <w:pPr>
        <w:pStyle w:val="19"/>
        <w:spacing w:line="500" w:lineRule="exact"/>
        <w:rPr>
          <w:rFonts w:hint="eastAsia" w:hAnsi="宋体" w:cs="宋体"/>
          <w:color w:val="auto"/>
          <w:sz w:val="24"/>
          <w:szCs w:val="24"/>
          <w:u w:val="single"/>
        </w:rPr>
      </w:pPr>
      <w:r>
        <w:rPr>
          <w:rFonts w:hint="eastAsia" w:hAnsi="宋体" w:cs="宋体"/>
          <w:b/>
          <w:color w:val="auto"/>
          <w:sz w:val="24"/>
          <w:szCs w:val="24"/>
          <w:highlight w:val="none"/>
          <w:lang w:val="en-US" w:eastAsia="zh-CN"/>
        </w:rPr>
        <w:t>广西政府采购云平台竞价单编号</w:t>
      </w:r>
      <w:r>
        <w:rPr>
          <w:rFonts w:hint="eastAsia" w:hAnsi="宋体" w:cs="宋体"/>
          <w:b/>
          <w:color w:val="auto"/>
          <w:sz w:val="24"/>
          <w:szCs w:val="24"/>
        </w:rPr>
        <w:t>：</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tbl>
      <w:tblPr>
        <w:tblStyle w:val="34"/>
        <w:tblW w:w="0" w:type="auto"/>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210"/>
        <w:gridCol w:w="883"/>
        <w:gridCol w:w="640"/>
        <w:gridCol w:w="927"/>
        <w:gridCol w:w="1297"/>
        <w:gridCol w:w="1297"/>
        <w:gridCol w:w="713"/>
        <w:gridCol w:w="1220"/>
      </w:tblGrid>
      <w:tr w14:paraId="567D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7B20270D">
            <w:pPr>
              <w:pStyle w:val="19"/>
              <w:rPr>
                <w:rFonts w:hint="eastAsia" w:hAnsi="宋体" w:cs="宋体"/>
                <w:b/>
                <w:color w:val="auto"/>
                <w:sz w:val="24"/>
                <w:szCs w:val="24"/>
                <w:lang w:val="en-US" w:eastAsia="zh-CN"/>
              </w:rPr>
            </w:pPr>
            <w:r>
              <w:rPr>
                <w:rFonts w:hint="eastAsia" w:hAnsi="宋体" w:cs="宋体"/>
                <w:b/>
                <w:color w:val="auto"/>
                <w:sz w:val="24"/>
                <w:szCs w:val="24"/>
                <w:lang w:val="en-US" w:eastAsia="zh-CN"/>
              </w:rPr>
              <w:t>序号</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3A0F8255">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货物名称</w:t>
            </w:r>
          </w:p>
        </w:tc>
        <w:tc>
          <w:tcPr>
            <w:tcW w:w="883" w:type="dxa"/>
            <w:tcBorders>
              <w:top w:val="single" w:color="auto" w:sz="4" w:space="0"/>
              <w:left w:val="single" w:color="auto" w:sz="4" w:space="0"/>
              <w:bottom w:val="single" w:color="auto" w:sz="4" w:space="0"/>
              <w:right w:val="single" w:color="auto" w:sz="4" w:space="0"/>
            </w:tcBorders>
            <w:noWrap w:val="0"/>
            <w:vAlign w:val="center"/>
          </w:tcPr>
          <w:p w14:paraId="073C8CC0">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数量及单位</w:t>
            </w:r>
            <w:r>
              <w:rPr>
                <w:rFonts w:hint="default" w:ascii="Calibri" w:hAnsi="Calibri" w:cs="Calibri"/>
                <w:b/>
                <w:color w:val="auto"/>
                <w:sz w:val="24"/>
                <w:szCs w:val="24"/>
                <w:lang w:val="en-US" w:eastAsia="zh-CN"/>
              </w:rPr>
              <w:t>①</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15BBA602">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响应品牌</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02021F9E">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生产厂家</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67482A0">
            <w:pPr>
              <w:pStyle w:val="19"/>
              <w:tabs>
                <w:tab w:val="left" w:pos="382"/>
              </w:tabs>
              <w:jc w:val="left"/>
              <w:rPr>
                <w:rFonts w:hint="eastAsia" w:hAnsi="宋体" w:cs="宋体"/>
                <w:b/>
                <w:color w:val="auto"/>
                <w:sz w:val="24"/>
                <w:szCs w:val="24"/>
                <w:lang w:val="en-US" w:eastAsia="zh-CN"/>
              </w:rPr>
            </w:pPr>
            <w:r>
              <w:rPr>
                <w:rFonts w:hint="eastAsia" w:hAnsi="宋体" w:cs="宋体"/>
                <w:b/>
                <w:color w:val="auto"/>
                <w:sz w:val="24"/>
                <w:szCs w:val="24"/>
                <w:lang w:val="en-US" w:eastAsia="zh-CN"/>
              </w:rPr>
              <w:t>质保期</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B589559">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规格型号</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4A94AC49">
            <w:pPr>
              <w:pStyle w:val="19"/>
              <w:jc w:val="center"/>
              <w:rPr>
                <w:rFonts w:hint="default" w:hAnsi="宋体" w:cs="宋体"/>
                <w:b/>
                <w:color w:val="auto"/>
                <w:sz w:val="24"/>
                <w:szCs w:val="24"/>
                <w:lang w:val="en-US" w:eastAsia="zh-CN"/>
              </w:rPr>
            </w:pPr>
            <w:r>
              <w:rPr>
                <w:rFonts w:hint="eastAsia" w:hAnsi="宋体" w:cs="宋体"/>
                <w:b/>
                <w:color w:val="auto"/>
                <w:sz w:val="24"/>
                <w:szCs w:val="24"/>
                <w:lang w:val="en-US" w:eastAsia="zh-CN"/>
              </w:rPr>
              <w:t>单价（元）</w:t>
            </w:r>
            <w:r>
              <w:rPr>
                <w:rFonts w:hint="default" w:ascii="Calibri" w:hAnsi="Calibri" w:cs="Calibri"/>
                <w:b/>
                <w:color w:val="auto"/>
                <w:sz w:val="24"/>
                <w:szCs w:val="24"/>
                <w:lang w:val="en-US" w:eastAsia="zh-CN"/>
              </w:rPr>
              <w:t>②</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A7765B8">
            <w:pPr>
              <w:pStyle w:val="19"/>
              <w:jc w:val="center"/>
              <w:rPr>
                <w:rFonts w:hint="default" w:hAnsi="宋体" w:cs="宋体"/>
                <w:b/>
                <w:color w:val="auto"/>
                <w:sz w:val="24"/>
                <w:szCs w:val="24"/>
                <w:lang w:val="en-US" w:eastAsia="zh-CN"/>
              </w:rPr>
            </w:pPr>
            <w:r>
              <w:rPr>
                <w:rFonts w:hint="eastAsia" w:hAnsi="宋体" w:cs="宋体"/>
                <w:b/>
                <w:color w:val="auto"/>
                <w:sz w:val="24"/>
                <w:szCs w:val="24"/>
                <w:lang w:val="en-US" w:eastAsia="zh-CN"/>
              </w:rPr>
              <w:t>单项合价（元）</w:t>
            </w:r>
            <w:r>
              <w:rPr>
                <w:rFonts w:hint="default" w:ascii="Calibri" w:hAnsi="Calibri" w:cs="Calibri"/>
                <w:b/>
                <w:color w:val="auto"/>
                <w:sz w:val="24"/>
                <w:szCs w:val="24"/>
                <w:lang w:val="en-US" w:eastAsia="zh-CN"/>
              </w:rPr>
              <w:t>③</w:t>
            </w:r>
            <w:r>
              <w:rPr>
                <w:rFonts w:hint="eastAsia" w:hAnsi="宋体" w:cs="宋体"/>
                <w:b/>
                <w:color w:val="auto"/>
                <w:sz w:val="24"/>
                <w:szCs w:val="24"/>
                <w:lang w:val="en-US" w:eastAsia="zh-CN"/>
              </w:rPr>
              <w:t>=</w:t>
            </w:r>
            <w:r>
              <w:rPr>
                <w:rFonts w:hint="default" w:ascii="Calibri" w:hAnsi="Calibri" w:cs="Calibri"/>
                <w:b/>
                <w:color w:val="auto"/>
                <w:sz w:val="24"/>
                <w:szCs w:val="24"/>
                <w:lang w:val="en-US" w:eastAsia="zh-CN"/>
              </w:rPr>
              <w:t>①</w:t>
            </w:r>
            <w:r>
              <w:rPr>
                <w:rFonts w:hint="eastAsia" w:hAnsi="宋体" w:cs="宋体"/>
                <w:b/>
                <w:color w:val="auto"/>
                <w:sz w:val="24"/>
                <w:szCs w:val="24"/>
                <w:lang w:val="en-US" w:eastAsia="zh-CN"/>
              </w:rPr>
              <w:t>x</w:t>
            </w:r>
            <w:r>
              <w:rPr>
                <w:rFonts w:hint="default" w:ascii="Calibri" w:hAnsi="Calibri" w:cs="Calibri"/>
                <w:b/>
                <w:color w:val="auto"/>
                <w:sz w:val="24"/>
                <w:szCs w:val="24"/>
                <w:lang w:val="en-US" w:eastAsia="zh-CN"/>
              </w:rPr>
              <w:t>②</w:t>
            </w:r>
          </w:p>
        </w:tc>
      </w:tr>
      <w:tr w14:paraId="157A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90" w:type="dxa"/>
            <w:tcBorders>
              <w:top w:val="single" w:color="auto" w:sz="4" w:space="0"/>
              <w:left w:val="single" w:color="auto" w:sz="4" w:space="0"/>
              <w:right w:val="single" w:color="auto" w:sz="4" w:space="0"/>
            </w:tcBorders>
            <w:noWrap w:val="0"/>
            <w:vAlign w:val="center"/>
          </w:tcPr>
          <w:p w14:paraId="7045B3CB">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835A684">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6209F16A">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4F7DEDB">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6C904B6A">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10DE898">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5ADAC004">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CDF5669">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7E912E5">
            <w:pPr>
              <w:pStyle w:val="19"/>
              <w:jc w:val="center"/>
              <w:rPr>
                <w:rFonts w:hint="eastAsia" w:hAnsi="宋体" w:cs="宋体"/>
                <w:color w:val="auto"/>
                <w:sz w:val="24"/>
                <w:szCs w:val="24"/>
                <w:lang w:val="en-US" w:eastAsia="zh-CN"/>
              </w:rPr>
            </w:pPr>
          </w:p>
        </w:tc>
      </w:tr>
      <w:tr w14:paraId="7A13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2E8482B5">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2</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94E4D8A">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73D8EA05">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3F25C6EA">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C60A959">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748AB4B">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A50E76D">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46F73DBE">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25F5022">
            <w:pPr>
              <w:pStyle w:val="19"/>
              <w:jc w:val="center"/>
              <w:rPr>
                <w:rFonts w:hint="eastAsia" w:hAnsi="宋体" w:cs="宋体"/>
                <w:color w:val="auto"/>
                <w:sz w:val="24"/>
                <w:szCs w:val="24"/>
                <w:lang w:val="en-US" w:eastAsia="zh-CN"/>
              </w:rPr>
            </w:pPr>
          </w:p>
        </w:tc>
      </w:tr>
      <w:tr w14:paraId="4244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0F088D83">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3</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9FA61E8">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04443B7">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2FE84F21">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282A3A69">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58E00460">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8653454">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6D9239F">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EAE94E4">
            <w:pPr>
              <w:pStyle w:val="19"/>
              <w:jc w:val="center"/>
              <w:rPr>
                <w:rFonts w:hint="eastAsia" w:hAnsi="宋体" w:cs="宋体"/>
                <w:color w:val="auto"/>
                <w:sz w:val="24"/>
                <w:szCs w:val="24"/>
                <w:lang w:val="en-US" w:eastAsia="zh-CN"/>
              </w:rPr>
            </w:pPr>
          </w:p>
        </w:tc>
      </w:tr>
      <w:tr w14:paraId="173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50AF899D">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4</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0A059C1">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86D3F41">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FF81AEC">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38067F2B">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E1B4D52">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383753D">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31EA31CF">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13525CE">
            <w:pPr>
              <w:pStyle w:val="19"/>
              <w:jc w:val="center"/>
              <w:rPr>
                <w:rFonts w:hint="eastAsia" w:hAnsi="宋体" w:cs="宋体"/>
                <w:color w:val="auto"/>
                <w:sz w:val="24"/>
                <w:szCs w:val="24"/>
                <w:lang w:val="en-US" w:eastAsia="zh-CN"/>
              </w:rPr>
            </w:pPr>
          </w:p>
        </w:tc>
      </w:tr>
      <w:tr w14:paraId="5155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13AB4CA4">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5</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7D3B4C7">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761D60B">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B320A0B">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56DCAEF">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2CCE78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62C3649">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D7E1D6D">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E0197E1">
            <w:pPr>
              <w:pStyle w:val="19"/>
              <w:jc w:val="center"/>
              <w:rPr>
                <w:rFonts w:hint="eastAsia" w:hAnsi="宋体" w:cs="宋体"/>
                <w:color w:val="auto"/>
                <w:sz w:val="24"/>
                <w:szCs w:val="24"/>
                <w:lang w:val="en-US" w:eastAsia="zh-CN"/>
              </w:rPr>
            </w:pPr>
          </w:p>
        </w:tc>
      </w:tr>
      <w:tr w14:paraId="3B40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734F7776">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6</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B38FAF7">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0F7EF6C">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DFF0941">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669A4923">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0D3B576">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534A328">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08AC9D75">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D83A9D9">
            <w:pPr>
              <w:pStyle w:val="19"/>
              <w:jc w:val="center"/>
              <w:rPr>
                <w:rFonts w:hint="eastAsia" w:hAnsi="宋体" w:cs="宋体"/>
                <w:color w:val="auto"/>
                <w:sz w:val="24"/>
                <w:szCs w:val="24"/>
                <w:lang w:val="en-US" w:eastAsia="zh-CN"/>
              </w:rPr>
            </w:pPr>
          </w:p>
        </w:tc>
      </w:tr>
      <w:tr w14:paraId="23CF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1CA00ACB">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7</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DBF92BE">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49395029">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0AF7191">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2B3570C1">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796B13E">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70BADE6">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53EEA6A">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7E36881">
            <w:pPr>
              <w:pStyle w:val="19"/>
              <w:jc w:val="center"/>
              <w:rPr>
                <w:rFonts w:hint="eastAsia" w:hAnsi="宋体" w:cs="宋体"/>
                <w:color w:val="auto"/>
                <w:sz w:val="24"/>
                <w:szCs w:val="24"/>
                <w:lang w:val="en-US" w:eastAsia="zh-CN"/>
              </w:rPr>
            </w:pPr>
          </w:p>
        </w:tc>
      </w:tr>
      <w:tr w14:paraId="4B16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4C56C224">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8</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FC4448B">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2D0CCD83">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1F908385">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8F5476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1AFA640">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7746A1C">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45F7FEE9">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2FB9A90">
            <w:pPr>
              <w:pStyle w:val="19"/>
              <w:jc w:val="center"/>
              <w:rPr>
                <w:rFonts w:hint="eastAsia" w:hAnsi="宋体" w:cs="宋体"/>
                <w:color w:val="auto"/>
                <w:sz w:val="24"/>
                <w:szCs w:val="24"/>
                <w:lang w:val="en-US" w:eastAsia="zh-CN"/>
              </w:rPr>
            </w:pPr>
          </w:p>
        </w:tc>
      </w:tr>
      <w:tr w14:paraId="68E1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361E1E6A">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9</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4B60E90">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247B6D43">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6C00B28">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79632CCE">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320A60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3A8FCB1">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3ABA7F90">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67A543D">
            <w:pPr>
              <w:pStyle w:val="19"/>
              <w:jc w:val="center"/>
              <w:rPr>
                <w:rFonts w:hint="eastAsia" w:hAnsi="宋体" w:cs="宋体"/>
                <w:color w:val="auto"/>
                <w:sz w:val="24"/>
                <w:szCs w:val="24"/>
                <w:lang w:val="en-US" w:eastAsia="zh-CN"/>
              </w:rPr>
            </w:pPr>
          </w:p>
        </w:tc>
      </w:tr>
      <w:tr w14:paraId="18B0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3DE379B8">
            <w:pPr>
              <w:pStyle w:val="19"/>
              <w:jc w:val="center"/>
              <w:rPr>
                <w:rFonts w:hint="default" w:hAnsi="宋体" w:cs="宋体"/>
                <w:color w:val="auto"/>
                <w:sz w:val="24"/>
                <w:szCs w:val="24"/>
                <w:lang w:val="en-US" w:eastAsia="zh-CN"/>
              </w:rPr>
            </w:pPr>
            <w:r>
              <w:rPr>
                <w:rFonts w:hint="eastAsia" w:hAnsi="宋体" w:cs="宋体"/>
                <w:color w:val="auto"/>
                <w:sz w:val="24"/>
                <w:szCs w:val="24"/>
                <w:lang w:val="en-US" w:eastAsia="zh-CN"/>
              </w:rPr>
              <w:t>..</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AA9A593">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22F11CD">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2FE8E3F2">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1E5224C">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4C0D895">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CFAAC8C">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5B75A69">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7D3949C8">
            <w:pPr>
              <w:pStyle w:val="19"/>
              <w:jc w:val="center"/>
              <w:rPr>
                <w:rFonts w:hint="eastAsia" w:hAnsi="宋体" w:cs="宋体"/>
                <w:color w:val="auto"/>
                <w:sz w:val="24"/>
                <w:szCs w:val="24"/>
                <w:lang w:val="en-US" w:eastAsia="zh-CN"/>
              </w:rPr>
            </w:pPr>
          </w:p>
        </w:tc>
      </w:tr>
      <w:tr w14:paraId="0B3E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457" w:type="dxa"/>
            <w:gridSpan w:val="8"/>
            <w:tcBorders>
              <w:top w:val="single" w:color="auto" w:sz="4" w:space="0"/>
              <w:left w:val="single" w:color="auto" w:sz="4" w:space="0"/>
              <w:bottom w:val="single" w:color="auto" w:sz="4" w:space="0"/>
              <w:right w:val="single" w:color="auto" w:sz="4" w:space="0"/>
            </w:tcBorders>
            <w:noWrap w:val="0"/>
            <w:vAlign w:val="center"/>
          </w:tcPr>
          <w:p w14:paraId="19E52BF6">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合计（元）</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69CF511">
            <w:pPr>
              <w:pStyle w:val="19"/>
              <w:jc w:val="center"/>
              <w:rPr>
                <w:rFonts w:hint="eastAsia" w:hAnsi="宋体" w:cs="宋体"/>
                <w:color w:val="auto"/>
                <w:sz w:val="24"/>
                <w:szCs w:val="24"/>
                <w:lang w:val="en-US" w:eastAsia="zh-CN"/>
              </w:rPr>
            </w:pPr>
          </w:p>
        </w:tc>
      </w:tr>
      <w:tr w14:paraId="6E52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677" w:type="dxa"/>
            <w:gridSpan w:val="9"/>
            <w:tcBorders>
              <w:top w:val="single" w:color="auto" w:sz="4" w:space="0"/>
              <w:left w:val="single" w:color="auto" w:sz="4" w:space="0"/>
              <w:right w:val="single" w:color="auto" w:sz="4" w:space="0"/>
            </w:tcBorders>
            <w:noWrap w:val="0"/>
            <w:vAlign w:val="center"/>
          </w:tcPr>
          <w:p w14:paraId="38056FC0">
            <w:pPr>
              <w:pStyle w:val="19"/>
              <w:jc w:val="left"/>
              <w:rPr>
                <w:rFonts w:hint="eastAsia" w:hAnsi="宋体" w:cs="宋体"/>
                <w:color w:val="auto"/>
                <w:sz w:val="24"/>
                <w:szCs w:val="24"/>
                <w:lang w:val="zh-CN" w:eastAsia="zh-CN"/>
              </w:rPr>
            </w:pPr>
            <w:r>
              <w:rPr>
                <w:rFonts w:hint="eastAsia" w:hAnsi="宋体" w:cs="宋体"/>
                <w:color w:val="auto"/>
                <w:sz w:val="24"/>
                <w:szCs w:val="24"/>
                <w:lang w:val="en-US" w:eastAsia="zh-CN"/>
              </w:rPr>
              <w:t>说明</w:t>
            </w:r>
            <w:r>
              <w:rPr>
                <w:rFonts w:hint="eastAsia" w:hAnsi="宋体" w:cs="宋体"/>
                <w:color w:val="auto"/>
                <w:sz w:val="24"/>
                <w:szCs w:val="24"/>
                <w:lang w:val="zh-CN" w:eastAsia="zh-CN"/>
              </w:rPr>
              <w:t>：</w:t>
            </w:r>
          </w:p>
          <w:p w14:paraId="52DF45A1">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1.在完全满足询价文件第四款：采购项目技术规格、参数及要求（含技术要求与商务条款）、不超过预算金额，且质量与服务同等的前提下，报价总价最低者成交；否则报价无效。</w:t>
            </w:r>
          </w:p>
          <w:p w14:paraId="01E134B4">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2.报价须包含“项目采购需求一览表”及“商务条款”中所有需求及服务的全部费用。</w:t>
            </w:r>
          </w:p>
          <w:p w14:paraId="3091DFB0">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3.报价包括售后服务、税金、安装、调试、运输及其他所有相关成本费用的总和。</w:t>
            </w:r>
          </w:p>
          <w:p w14:paraId="283CA4E6">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4.以上各项须逐项报价，且报价总价须控制在最高控制价范围内，否则视为无效报价。</w:t>
            </w:r>
          </w:p>
        </w:tc>
      </w:tr>
    </w:tbl>
    <w:p w14:paraId="54F8ECBA">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                  报价供应商名称（签章）：</w:t>
      </w:r>
    </w:p>
    <w:p w14:paraId="1C73F3C5">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项目联系人电话：              报价日期：       年      月      日</w:t>
      </w:r>
    </w:p>
    <w:p w14:paraId="4F108AC9">
      <w:pPr>
        <w:pStyle w:val="19"/>
        <w:spacing w:before="120" w:line="500" w:lineRule="exact"/>
        <w:rPr>
          <w:rFonts w:hint="eastAsia" w:hAnsi="宋体" w:cs="宋体"/>
          <w:color w:val="auto"/>
          <w:sz w:val="24"/>
          <w:szCs w:val="24"/>
        </w:rPr>
      </w:pPr>
      <w:r>
        <w:rPr>
          <w:rFonts w:hint="eastAsia" w:hAnsi="宋体" w:cs="宋体"/>
          <w:color w:val="auto"/>
          <w:sz w:val="24"/>
          <w:szCs w:val="24"/>
        </w:rPr>
        <w:br w:type="page" w:clear="all"/>
      </w:r>
      <w:r>
        <w:rPr>
          <w:rFonts w:hint="eastAsia" w:hAnsi="宋体" w:cs="宋体"/>
          <w:b/>
          <w:color w:val="auto"/>
          <w:sz w:val="24"/>
          <w:szCs w:val="24"/>
        </w:rPr>
        <w:t>附件2</w:t>
      </w:r>
    </w:p>
    <w:p w14:paraId="6600C6BC">
      <w:pPr>
        <w:pStyle w:val="19"/>
        <w:spacing w:before="120"/>
        <w:jc w:val="center"/>
        <w:rPr>
          <w:rFonts w:hint="eastAsia" w:hAnsi="宋体" w:cs="宋体"/>
          <w:b/>
          <w:color w:val="auto"/>
          <w:sz w:val="32"/>
          <w:szCs w:val="32"/>
        </w:rPr>
      </w:pPr>
      <w:r>
        <w:rPr>
          <w:rFonts w:hint="eastAsia" w:hAnsi="宋体" w:cs="宋体"/>
          <w:b/>
          <w:color w:val="auto"/>
          <w:sz w:val="32"/>
          <w:szCs w:val="32"/>
        </w:rPr>
        <w:t>技术参数</w:t>
      </w:r>
      <w:r>
        <w:rPr>
          <w:rFonts w:hint="eastAsia" w:hAnsi="宋体" w:cs="宋体"/>
          <w:b/>
          <w:color w:val="auto"/>
          <w:sz w:val="32"/>
          <w:szCs w:val="32"/>
          <w:lang w:eastAsia="zh-CN"/>
        </w:rPr>
        <w:t>、</w:t>
      </w:r>
      <w:r>
        <w:rPr>
          <w:rFonts w:hint="eastAsia" w:hAnsi="宋体" w:cs="宋体"/>
          <w:b/>
          <w:color w:val="auto"/>
          <w:sz w:val="32"/>
          <w:szCs w:val="32"/>
          <w:lang w:val="en-US" w:eastAsia="zh-CN"/>
        </w:rPr>
        <w:t>商务要求</w:t>
      </w:r>
      <w:r>
        <w:rPr>
          <w:rFonts w:hint="eastAsia" w:hAnsi="宋体" w:cs="宋体"/>
          <w:b/>
          <w:color w:val="auto"/>
          <w:sz w:val="32"/>
          <w:szCs w:val="32"/>
        </w:rPr>
        <w:t>响应表</w:t>
      </w:r>
    </w:p>
    <w:p w14:paraId="0E0D8F24">
      <w:pPr>
        <w:spacing w:line="500" w:lineRule="exact"/>
        <w:rPr>
          <w:rFonts w:hint="eastAsia" w:ascii="宋体" w:hAnsi="宋体" w:cs="宋体"/>
          <w:color w:val="auto"/>
          <w:sz w:val="24"/>
          <w:szCs w:val="24"/>
          <w:u w:val="single"/>
        </w:rPr>
      </w:pPr>
      <w:r>
        <w:rPr>
          <w:rFonts w:hint="eastAsia" w:ascii="宋体" w:hAnsi="宋体" w:cs="宋体"/>
          <w:b/>
          <w:color w:val="auto"/>
          <w:sz w:val="24"/>
          <w:szCs w:val="24"/>
        </w:rPr>
        <w:t>采购项目名称：</w:t>
      </w:r>
      <w:r>
        <w:rPr>
          <w:rFonts w:hint="eastAsia" w:ascii="宋体" w:hAnsi="宋体" w:cs="宋体"/>
          <w:color w:val="auto"/>
          <w:sz w:val="24"/>
          <w:szCs w:val="24"/>
          <w:u w:val="single"/>
        </w:rPr>
        <w:t xml:space="preserve"> </w:t>
      </w:r>
      <w:r>
        <w:rPr>
          <w:rFonts w:hint="eastAsia" w:ascii="宋体" w:hAnsi="宋体" w:cs="宋体"/>
          <w:bCs/>
          <w:color w:val="auto"/>
          <w:sz w:val="28"/>
          <w:szCs w:val="28"/>
          <w:u w:val="single"/>
        </w:rPr>
        <w:t xml:space="preserve">                           </w:t>
      </w:r>
      <w:r>
        <w:rPr>
          <w:rFonts w:hint="eastAsia" w:ascii="宋体" w:hAnsi="宋体" w:cs="宋体"/>
          <w:color w:val="auto"/>
          <w:sz w:val="24"/>
          <w:szCs w:val="24"/>
          <w:u w:val="single"/>
        </w:rPr>
        <w:t xml:space="preserve"> </w:t>
      </w:r>
    </w:p>
    <w:p w14:paraId="48507AB3">
      <w:pPr>
        <w:spacing w:line="500" w:lineRule="exact"/>
        <w:rPr>
          <w:rFonts w:hint="eastAsia" w:ascii="宋体" w:hAnsi="宋体" w:cs="宋体"/>
          <w:color w:val="auto"/>
          <w:sz w:val="24"/>
          <w:szCs w:val="24"/>
          <w:u w:val="single"/>
        </w:rPr>
      </w:pPr>
      <w:r>
        <w:rPr>
          <w:rFonts w:hint="eastAsia" w:hAnsi="宋体" w:cs="宋体"/>
          <w:b/>
          <w:color w:val="auto"/>
          <w:sz w:val="24"/>
          <w:szCs w:val="24"/>
          <w:lang w:val="en-US" w:eastAsia="zh-CN"/>
        </w:rPr>
        <w:t>询价文件编号</w:t>
      </w:r>
      <w:r>
        <w:rPr>
          <w:rFonts w:hint="eastAsia" w:ascii="宋体" w:hAnsi="宋体" w:cs="宋体"/>
          <w:b/>
          <w:color w:val="auto"/>
          <w:sz w:val="24"/>
          <w:szCs w:val="24"/>
        </w:rPr>
        <w:t>：</w:t>
      </w:r>
      <w:r>
        <w:rPr>
          <w:rFonts w:hint="eastAsia" w:ascii="宋体" w:hAnsi="宋体" w:cs="宋体"/>
          <w:bCs/>
          <w:color w:val="auto"/>
          <w:sz w:val="24"/>
          <w:szCs w:val="24"/>
          <w:u w:val="single"/>
        </w:rPr>
        <w:t xml:space="preserve">                                 </w:t>
      </w:r>
    </w:p>
    <w:p w14:paraId="47C28D32">
      <w:pPr>
        <w:spacing w:line="500" w:lineRule="exact"/>
        <w:rPr>
          <w:rFonts w:hint="eastAsia" w:ascii="宋体" w:hAnsi="宋体" w:cs="宋体"/>
          <w:bCs/>
          <w:color w:val="auto"/>
          <w:sz w:val="24"/>
          <w:szCs w:val="24"/>
          <w:u w:val="single"/>
        </w:rPr>
      </w:pPr>
      <w:r>
        <w:rPr>
          <w:rFonts w:hint="eastAsia" w:hAnsi="宋体" w:cs="宋体"/>
          <w:b/>
          <w:color w:val="auto"/>
          <w:sz w:val="24"/>
          <w:szCs w:val="24"/>
          <w:highlight w:val="none"/>
          <w:lang w:val="en-US" w:eastAsia="zh-CN"/>
        </w:rPr>
        <w:t>广西政府采购云平台竞价单编号</w:t>
      </w:r>
      <w:r>
        <w:rPr>
          <w:rFonts w:hint="eastAsia" w:ascii="宋体" w:hAnsi="宋体" w:cs="宋体"/>
          <w:b/>
          <w:color w:val="auto"/>
          <w:sz w:val="24"/>
          <w:szCs w:val="24"/>
        </w:rPr>
        <w:t>：</w:t>
      </w:r>
      <w:r>
        <w:rPr>
          <w:rFonts w:hint="eastAsia" w:ascii="宋体" w:hAnsi="宋体" w:cs="宋体"/>
          <w:bCs/>
          <w:color w:val="auto"/>
          <w:sz w:val="24"/>
          <w:szCs w:val="24"/>
          <w:u w:val="single"/>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2190"/>
        <w:gridCol w:w="2436"/>
        <w:gridCol w:w="2014"/>
        <w:gridCol w:w="1339"/>
      </w:tblGrid>
      <w:tr w14:paraId="3E6D26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5370B3E8">
            <w:pPr>
              <w:jc w:val="center"/>
              <w:rPr>
                <w:rFonts w:hint="eastAsia" w:ascii="Times New Roman" w:hAnsi="Times New Roman"/>
                <w:color w:val="auto"/>
                <w:szCs w:val="24"/>
              </w:rPr>
            </w:pPr>
            <w:r>
              <w:rPr>
                <w:rFonts w:hint="eastAsia" w:ascii="Times New Roman" w:hAnsi="Times New Roman"/>
                <w:color w:val="auto"/>
                <w:szCs w:val="24"/>
              </w:rPr>
              <w:t>技术部分（项目需要及技术需求）</w:t>
            </w:r>
          </w:p>
        </w:tc>
      </w:tr>
      <w:tr w14:paraId="315DDD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7DE5150F">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 xml:space="preserve">                     序号</w:t>
            </w:r>
          </w:p>
        </w:tc>
        <w:tc>
          <w:tcPr>
            <w:tcW w:w="2190" w:type="dxa"/>
            <w:noWrap w:val="0"/>
            <w:vAlign w:val="center"/>
          </w:tcPr>
          <w:p w14:paraId="355E6553">
            <w:pPr>
              <w:spacing w:line="300" w:lineRule="auto"/>
              <w:jc w:val="center"/>
              <w:outlineLvl w:val="0"/>
              <w:rPr>
                <w:rFonts w:ascii="宋体" w:hAnsi="宋体"/>
                <w:color w:val="auto"/>
                <w:szCs w:val="21"/>
              </w:rPr>
            </w:pPr>
            <w:r>
              <w:rPr>
                <w:rFonts w:hint="eastAsia" w:ascii="宋体" w:hAnsi="宋体"/>
                <w:szCs w:val="21"/>
                <w:shd w:val="clear" w:color="auto" w:fill="FFFFFF"/>
              </w:rPr>
              <w:t>标的名称</w:t>
            </w:r>
          </w:p>
        </w:tc>
        <w:tc>
          <w:tcPr>
            <w:tcW w:w="2436" w:type="dxa"/>
            <w:noWrap w:val="0"/>
            <w:vAlign w:val="center"/>
          </w:tcPr>
          <w:p w14:paraId="679453D1">
            <w:pPr>
              <w:spacing w:line="300" w:lineRule="auto"/>
              <w:jc w:val="center"/>
              <w:outlineLvl w:val="0"/>
              <w:rPr>
                <w:rFonts w:hint="eastAsia" w:ascii="Times New Roman" w:hAnsi="Times New Roman"/>
                <w:color w:val="auto"/>
                <w:szCs w:val="24"/>
              </w:rPr>
            </w:pPr>
            <w:r>
              <w:rPr>
                <w:rFonts w:hint="eastAsia" w:ascii="宋体" w:hAnsi="宋体"/>
                <w:szCs w:val="21"/>
                <w:highlight w:val="none"/>
                <w:shd w:val="clear" w:color="auto" w:fill="FFFFFF"/>
              </w:rPr>
              <w:t>询价文件要求（技术规格、参数）</w:t>
            </w:r>
          </w:p>
        </w:tc>
        <w:tc>
          <w:tcPr>
            <w:tcW w:w="2014" w:type="dxa"/>
            <w:noWrap w:val="0"/>
            <w:vAlign w:val="center"/>
          </w:tcPr>
          <w:p w14:paraId="42A94526">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供应商响应文件具体响应（承诺）</w:t>
            </w:r>
          </w:p>
        </w:tc>
        <w:tc>
          <w:tcPr>
            <w:tcW w:w="1339" w:type="dxa"/>
            <w:noWrap w:val="0"/>
            <w:vAlign w:val="center"/>
          </w:tcPr>
          <w:p w14:paraId="2381D0EC">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响应/偏离（正偏离、负偏离）</w:t>
            </w:r>
          </w:p>
        </w:tc>
      </w:tr>
      <w:tr w14:paraId="0681B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59FE12DB">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1</w:t>
            </w:r>
          </w:p>
        </w:tc>
        <w:tc>
          <w:tcPr>
            <w:tcW w:w="2190" w:type="dxa"/>
            <w:noWrap w:val="0"/>
            <w:vAlign w:val="center"/>
          </w:tcPr>
          <w:p w14:paraId="37A7C52F">
            <w:pPr>
              <w:spacing w:line="300" w:lineRule="auto"/>
              <w:jc w:val="center"/>
              <w:outlineLvl w:val="0"/>
              <w:rPr>
                <w:rFonts w:ascii="宋体" w:hAnsi="宋体"/>
                <w:color w:val="auto"/>
                <w:szCs w:val="21"/>
              </w:rPr>
            </w:pPr>
          </w:p>
        </w:tc>
        <w:tc>
          <w:tcPr>
            <w:tcW w:w="2436" w:type="dxa"/>
            <w:noWrap w:val="0"/>
            <w:vAlign w:val="center"/>
          </w:tcPr>
          <w:p w14:paraId="1DFA662E">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0605538">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1104FD3F">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767D02E6">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74FA90F0">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71176F5">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3DC8D701">
            <w:pPr>
              <w:jc w:val="center"/>
              <w:rPr>
                <w:rFonts w:hint="eastAsia" w:ascii="Times New Roman" w:hAnsi="Times New Roman"/>
                <w:color w:val="auto"/>
                <w:szCs w:val="24"/>
              </w:rPr>
            </w:pPr>
          </w:p>
        </w:tc>
      </w:tr>
      <w:tr w14:paraId="319983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E75CB65">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2</w:t>
            </w:r>
          </w:p>
        </w:tc>
        <w:tc>
          <w:tcPr>
            <w:tcW w:w="2190" w:type="dxa"/>
            <w:noWrap w:val="0"/>
            <w:vAlign w:val="center"/>
          </w:tcPr>
          <w:p w14:paraId="7290763C">
            <w:pPr>
              <w:spacing w:line="300" w:lineRule="auto"/>
              <w:jc w:val="center"/>
              <w:outlineLvl w:val="0"/>
              <w:rPr>
                <w:rFonts w:ascii="宋体" w:hAnsi="宋体"/>
                <w:color w:val="auto"/>
                <w:szCs w:val="21"/>
              </w:rPr>
            </w:pPr>
          </w:p>
        </w:tc>
        <w:tc>
          <w:tcPr>
            <w:tcW w:w="2436" w:type="dxa"/>
            <w:noWrap w:val="0"/>
            <w:vAlign w:val="center"/>
          </w:tcPr>
          <w:p w14:paraId="69B68A34">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F3AC668">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EBD62F5">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351FEE17">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D51CC27">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2C820E5E">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67F21C64">
            <w:pPr>
              <w:jc w:val="center"/>
              <w:rPr>
                <w:rFonts w:hint="eastAsia" w:ascii="Times New Roman" w:hAnsi="Times New Roman"/>
                <w:color w:val="auto"/>
                <w:szCs w:val="24"/>
              </w:rPr>
            </w:pPr>
          </w:p>
        </w:tc>
      </w:tr>
      <w:tr w14:paraId="22A4DC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73030D77">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3</w:t>
            </w:r>
          </w:p>
        </w:tc>
        <w:tc>
          <w:tcPr>
            <w:tcW w:w="2190" w:type="dxa"/>
            <w:noWrap w:val="0"/>
            <w:vAlign w:val="center"/>
          </w:tcPr>
          <w:p w14:paraId="1BF7F852">
            <w:pPr>
              <w:spacing w:line="300" w:lineRule="auto"/>
              <w:jc w:val="center"/>
              <w:outlineLvl w:val="0"/>
              <w:rPr>
                <w:rFonts w:ascii="宋体" w:hAnsi="宋体"/>
                <w:color w:val="auto"/>
                <w:szCs w:val="21"/>
              </w:rPr>
            </w:pPr>
          </w:p>
        </w:tc>
        <w:tc>
          <w:tcPr>
            <w:tcW w:w="2436" w:type="dxa"/>
            <w:noWrap w:val="0"/>
            <w:vAlign w:val="center"/>
          </w:tcPr>
          <w:p w14:paraId="4655EEE9">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811A548">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E336479">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1CA78682">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80A0714">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15374989">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3993B34A">
            <w:pPr>
              <w:jc w:val="center"/>
              <w:rPr>
                <w:rFonts w:hint="eastAsia" w:ascii="Times New Roman" w:hAnsi="Times New Roman"/>
                <w:color w:val="auto"/>
                <w:szCs w:val="24"/>
              </w:rPr>
            </w:pPr>
          </w:p>
        </w:tc>
      </w:tr>
      <w:tr w14:paraId="4D2E86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24137DCF">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4</w:t>
            </w:r>
          </w:p>
        </w:tc>
        <w:tc>
          <w:tcPr>
            <w:tcW w:w="2190" w:type="dxa"/>
            <w:noWrap w:val="0"/>
            <w:vAlign w:val="center"/>
          </w:tcPr>
          <w:p w14:paraId="25B02DAF">
            <w:pPr>
              <w:spacing w:line="300" w:lineRule="auto"/>
              <w:jc w:val="center"/>
              <w:outlineLvl w:val="0"/>
              <w:rPr>
                <w:rFonts w:hint="eastAsia" w:ascii="宋体" w:hAnsi="宋体"/>
                <w:color w:val="auto"/>
                <w:szCs w:val="21"/>
              </w:rPr>
            </w:pPr>
          </w:p>
        </w:tc>
        <w:tc>
          <w:tcPr>
            <w:tcW w:w="2436" w:type="dxa"/>
            <w:noWrap w:val="0"/>
            <w:vAlign w:val="center"/>
          </w:tcPr>
          <w:p w14:paraId="324E2E81">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55586495">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38C137AB">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086E3165">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7D2E8D4D">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39906ADC">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0D3DD115">
            <w:pPr>
              <w:jc w:val="center"/>
              <w:rPr>
                <w:rFonts w:hint="eastAsia" w:ascii="Times New Roman" w:hAnsi="Times New Roman"/>
                <w:color w:val="auto"/>
                <w:szCs w:val="24"/>
              </w:rPr>
            </w:pPr>
          </w:p>
        </w:tc>
      </w:tr>
      <w:tr w14:paraId="017AA2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79535D3A">
            <w:pPr>
              <w:jc w:val="center"/>
              <w:rPr>
                <w:rFonts w:hint="eastAsia" w:ascii="Times New Roman" w:hAnsi="Times New Roman"/>
                <w:color w:val="auto"/>
                <w:szCs w:val="24"/>
              </w:rPr>
            </w:pPr>
            <w:r>
              <w:rPr>
                <w:rFonts w:hint="eastAsia"/>
              </w:rPr>
              <w:t>……</w:t>
            </w:r>
          </w:p>
        </w:tc>
        <w:tc>
          <w:tcPr>
            <w:tcW w:w="2190" w:type="dxa"/>
            <w:noWrap w:val="0"/>
            <w:vAlign w:val="center"/>
          </w:tcPr>
          <w:p w14:paraId="742A0DD3">
            <w:pPr>
              <w:jc w:val="center"/>
              <w:rPr>
                <w:rFonts w:hint="eastAsia" w:ascii="Times New Roman" w:hAnsi="Times New Roman"/>
                <w:color w:val="auto"/>
                <w:szCs w:val="24"/>
              </w:rPr>
            </w:pPr>
            <w:r>
              <w:rPr>
                <w:rFonts w:hint="eastAsia"/>
              </w:rPr>
              <w:t>……</w:t>
            </w:r>
          </w:p>
        </w:tc>
        <w:tc>
          <w:tcPr>
            <w:tcW w:w="2436" w:type="dxa"/>
            <w:noWrap w:val="0"/>
            <w:vAlign w:val="top"/>
          </w:tcPr>
          <w:p w14:paraId="6B08B489">
            <w:pPr>
              <w:rPr>
                <w:rFonts w:hint="eastAsia" w:ascii="Times New Roman" w:hAnsi="Times New Roman"/>
                <w:color w:val="auto"/>
                <w:szCs w:val="24"/>
              </w:rPr>
            </w:pPr>
            <w:r>
              <w:rPr>
                <w:rFonts w:hint="eastAsia"/>
              </w:rPr>
              <w:t>……</w:t>
            </w:r>
          </w:p>
        </w:tc>
        <w:tc>
          <w:tcPr>
            <w:tcW w:w="2014" w:type="dxa"/>
            <w:noWrap w:val="0"/>
            <w:vAlign w:val="center"/>
          </w:tcPr>
          <w:p w14:paraId="1E7E6935">
            <w:pPr>
              <w:jc w:val="center"/>
              <w:rPr>
                <w:rFonts w:hint="eastAsia" w:ascii="Times New Roman" w:hAnsi="Times New Roman"/>
                <w:color w:val="auto"/>
                <w:szCs w:val="24"/>
              </w:rPr>
            </w:pPr>
            <w:r>
              <w:rPr>
                <w:rFonts w:hint="eastAsia"/>
              </w:rPr>
              <w:t>……</w:t>
            </w:r>
          </w:p>
        </w:tc>
        <w:tc>
          <w:tcPr>
            <w:tcW w:w="1339" w:type="dxa"/>
            <w:noWrap w:val="0"/>
            <w:vAlign w:val="center"/>
          </w:tcPr>
          <w:p w14:paraId="3E03658C">
            <w:pPr>
              <w:jc w:val="center"/>
              <w:rPr>
                <w:rFonts w:hint="eastAsia" w:ascii="Times New Roman" w:hAnsi="Times New Roman"/>
                <w:color w:val="auto"/>
                <w:szCs w:val="24"/>
              </w:rPr>
            </w:pPr>
            <w:r>
              <w:rPr>
                <w:rFonts w:hint="eastAsia"/>
              </w:rPr>
              <w:t>……</w:t>
            </w:r>
          </w:p>
        </w:tc>
      </w:tr>
      <w:tr w14:paraId="6122E4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4593E4D0">
            <w:pPr>
              <w:jc w:val="center"/>
              <w:rPr>
                <w:rFonts w:hint="eastAsia" w:ascii="Times New Roman" w:hAnsi="Times New Roman"/>
                <w:color w:val="auto"/>
                <w:szCs w:val="24"/>
              </w:rPr>
            </w:pPr>
            <w:r>
              <w:rPr>
                <w:rFonts w:hint="eastAsia" w:ascii="宋体" w:hAnsi="宋体" w:eastAsia="宋体" w:cs="Times New Roman"/>
                <w:sz w:val="21"/>
                <w:szCs w:val="21"/>
                <w:shd w:val="clear" w:color="auto" w:fill="FFFFFF"/>
                <w:lang w:val="en-US" w:eastAsia="zh-CN" w:bidi="ar-SA"/>
              </w:rPr>
              <w:t>商务要求</w:t>
            </w:r>
          </w:p>
        </w:tc>
      </w:tr>
      <w:tr w14:paraId="0A1DE5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45133A7">
            <w:pPr>
              <w:pStyle w:val="24"/>
              <w:spacing w:line="400" w:lineRule="exact"/>
              <w:jc w:val="center"/>
              <w:rPr>
                <w:rFonts w:hint="eastAsia" w:ascii="Times New Roman" w:hAnsi="Times New Roman"/>
                <w:color w:val="auto"/>
                <w:szCs w:val="24"/>
              </w:rPr>
            </w:pPr>
            <w:r>
              <w:rPr>
                <w:rFonts w:hint="eastAsia" w:ascii="宋体" w:hAnsi="宋体"/>
                <w:szCs w:val="21"/>
                <w:shd w:val="clear" w:color="auto" w:fill="FFFFFF"/>
              </w:rPr>
              <w:t>商务要求</w:t>
            </w:r>
          </w:p>
        </w:tc>
        <w:tc>
          <w:tcPr>
            <w:tcW w:w="2190" w:type="dxa"/>
            <w:noWrap w:val="0"/>
            <w:vAlign w:val="center"/>
          </w:tcPr>
          <w:p w14:paraId="1B4B1DC8">
            <w:pPr>
              <w:spacing w:line="600" w:lineRule="exact"/>
              <w:ind w:left="-567" w:right="25"/>
              <w:jc w:val="center"/>
              <w:rPr>
                <w:rFonts w:hint="eastAsia" w:ascii="Times New Roman" w:hAnsi="Times New Roman"/>
                <w:color w:val="auto"/>
                <w:szCs w:val="24"/>
              </w:rPr>
            </w:pPr>
            <w:r>
              <w:rPr>
                <w:rFonts w:hint="eastAsia" w:ascii="宋体" w:hAnsi="宋体" w:eastAsia="宋体" w:cs="Times New Roman"/>
                <w:sz w:val="21"/>
                <w:szCs w:val="21"/>
                <w:highlight w:val="none"/>
                <w:shd w:val="clear" w:color="auto" w:fill="FFFFFF"/>
                <w:lang w:val="en-US" w:eastAsia="zh-CN" w:bidi="ar-SA"/>
              </w:rPr>
              <w:t>询价文件要求</w:t>
            </w:r>
          </w:p>
        </w:tc>
        <w:tc>
          <w:tcPr>
            <w:tcW w:w="2436" w:type="dxa"/>
            <w:noWrap w:val="0"/>
            <w:vAlign w:val="center"/>
          </w:tcPr>
          <w:p w14:paraId="435B3424">
            <w:pPr>
              <w:pStyle w:val="24"/>
              <w:spacing w:line="400" w:lineRule="exact"/>
              <w:jc w:val="center"/>
              <w:rPr>
                <w:rFonts w:hint="eastAsia" w:ascii="Times New Roman" w:hAnsi="Times New Roman"/>
                <w:color w:val="auto"/>
                <w:szCs w:val="24"/>
              </w:rPr>
            </w:pPr>
            <w:r>
              <w:rPr>
                <w:rFonts w:hint="eastAsia" w:ascii="宋体" w:hAnsi="宋体"/>
                <w:szCs w:val="21"/>
                <w:shd w:val="clear" w:color="auto" w:fill="FFFFFF"/>
              </w:rPr>
              <w:t>供应商的响应（承诺）</w:t>
            </w:r>
          </w:p>
        </w:tc>
        <w:tc>
          <w:tcPr>
            <w:tcW w:w="3353" w:type="dxa"/>
            <w:gridSpan w:val="2"/>
            <w:noWrap w:val="0"/>
            <w:vAlign w:val="center"/>
          </w:tcPr>
          <w:p w14:paraId="484C527C">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（无偏离/正偏离/负偏离）</w:t>
            </w:r>
          </w:p>
          <w:p w14:paraId="6E95B946">
            <w:pPr>
              <w:jc w:val="center"/>
              <w:rPr>
                <w:rFonts w:hint="eastAsia" w:ascii="Times New Roman" w:hAnsi="Times New Roman"/>
                <w:color w:val="auto"/>
                <w:szCs w:val="24"/>
              </w:rPr>
            </w:pPr>
            <w:r>
              <w:rPr>
                <w:rFonts w:hint="eastAsia" w:ascii="Times New Roman" w:hAnsi="Times New Roman"/>
                <w:color w:val="auto"/>
                <w:szCs w:val="24"/>
              </w:rPr>
              <w:t>备注</w:t>
            </w:r>
          </w:p>
        </w:tc>
      </w:tr>
      <w:tr w14:paraId="13DBFA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49" w:hRule="atLeast"/>
        </w:trPr>
        <w:tc>
          <w:tcPr>
            <w:tcW w:w="1060" w:type="dxa"/>
            <w:noWrap w:val="0"/>
            <w:vAlign w:val="center"/>
          </w:tcPr>
          <w:p w14:paraId="6C9B575A">
            <w:pPr>
              <w:jc w:val="both"/>
              <w:rPr>
                <w:rFonts w:hint="eastAsia" w:ascii="Times New Roman" w:hAnsi="Times New Roman" w:eastAsia="宋体"/>
                <w:color w:val="auto"/>
                <w:szCs w:val="24"/>
                <w:lang w:eastAsia="zh-CN"/>
              </w:rPr>
            </w:pPr>
            <w:r>
              <w:rPr>
                <w:rFonts w:hint="eastAsia"/>
              </w:rPr>
              <w:t>……</w:t>
            </w:r>
          </w:p>
        </w:tc>
        <w:tc>
          <w:tcPr>
            <w:tcW w:w="2190" w:type="dxa"/>
            <w:noWrap w:val="0"/>
            <w:vAlign w:val="center"/>
          </w:tcPr>
          <w:p w14:paraId="43FE8669">
            <w:pPr>
              <w:rPr>
                <w:rFonts w:hint="eastAsia"/>
              </w:rPr>
            </w:pPr>
            <w:r>
              <w:rPr>
                <w:rFonts w:hint="eastAsia"/>
              </w:rPr>
              <w:t>1、……</w:t>
            </w:r>
          </w:p>
          <w:p w14:paraId="0F027FC5">
            <w:pPr>
              <w:rPr>
                <w:rFonts w:hint="eastAsia"/>
              </w:rPr>
            </w:pPr>
            <w:r>
              <w:rPr>
                <w:rFonts w:hint="eastAsia"/>
              </w:rPr>
              <w:t>2、……</w:t>
            </w:r>
          </w:p>
          <w:p w14:paraId="6581A051">
            <w:pPr>
              <w:rPr>
                <w:rFonts w:hint="eastAsia" w:ascii="Times New Roman" w:hAnsi="Times New Roman"/>
                <w:color w:val="auto"/>
                <w:szCs w:val="24"/>
              </w:rPr>
            </w:pPr>
            <w:r>
              <w:rPr>
                <w:rFonts w:hint="eastAsia"/>
              </w:rPr>
              <w:t>……</w:t>
            </w:r>
          </w:p>
        </w:tc>
        <w:tc>
          <w:tcPr>
            <w:tcW w:w="2436" w:type="dxa"/>
            <w:noWrap w:val="0"/>
            <w:vAlign w:val="center"/>
          </w:tcPr>
          <w:p w14:paraId="6A9942ED">
            <w:pPr>
              <w:rPr>
                <w:rFonts w:hint="eastAsia"/>
              </w:rPr>
            </w:pPr>
            <w:r>
              <w:rPr>
                <w:rFonts w:hint="eastAsia"/>
              </w:rPr>
              <w:t>1、……</w:t>
            </w:r>
          </w:p>
          <w:p w14:paraId="6725E6BE">
            <w:pPr>
              <w:rPr>
                <w:rFonts w:hint="eastAsia"/>
              </w:rPr>
            </w:pPr>
            <w:r>
              <w:rPr>
                <w:rFonts w:hint="eastAsia"/>
              </w:rPr>
              <w:t>2、……</w:t>
            </w:r>
          </w:p>
          <w:p w14:paraId="70D2DBCB">
            <w:pPr>
              <w:rPr>
                <w:rFonts w:hint="eastAsia" w:ascii="Times New Roman" w:hAnsi="Times New Roman"/>
                <w:color w:val="auto"/>
                <w:szCs w:val="24"/>
              </w:rPr>
            </w:pPr>
            <w:r>
              <w:rPr>
                <w:rFonts w:hint="eastAsia"/>
              </w:rPr>
              <w:t>……</w:t>
            </w:r>
          </w:p>
        </w:tc>
        <w:tc>
          <w:tcPr>
            <w:tcW w:w="3353" w:type="dxa"/>
            <w:gridSpan w:val="2"/>
            <w:noWrap w:val="0"/>
            <w:vAlign w:val="center"/>
          </w:tcPr>
          <w:p w14:paraId="5968ACAD">
            <w:pPr>
              <w:rPr>
                <w:rFonts w:hint="eastAsia" w:ascii="Times New Roman" w:hAnsi="Times New Roman"/>
                <w:color w:val="auto"/>
                <w:szCs w:val="24"/>
              </w:rPr>
            </w:pPr>
          </w:p>
        </w:tc>
      </w:tr>
      <w:tr w14:paraId="71140C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shd w:val="clear" w:color="auto" w:fill="auto"/>
            <w:noWrap w:val="0"/>
            <w:vAlign w:val="center"/>
          </w:tcPr>
          <w:p w14:paraId="5B7AE2BD">
            <w:pPr>
              <w:jc w:val="both"/>
              <w:rPr>
                <w:rFonts w:hint="eastAsia" w:ascii="Times New Roman" w:hAnsi="Times New Roman" w:eastAsia="宋体" w:cs="Times New Roman"/>
                <w:color w:val="auto"/>
                <w:sz w:val="21"/>
                <w:szCs w:val="24"/>
                <w:lang w:val="en-US" w:eastAsia="zh-CN" w:bidi="ar-SA"/>
              </w:rPr>
            </w:pPr>
            <w:r>
              <w:rPr>
                <w:rFonts w:hint="eastAsia"/>
              </w:rPr>
              <w:t>……</w:t>
            </w:r>
          </w:p>
        </w:tc>
        <w:tc>
          <w:tcPr>
            <w:tcW w:w="2190" w:type="dxa"/>
            <w:shd w:val="clear" w:color="auto" w:fill="auto"/>
            <w:noWrap w:val="0"/>
            <w:vAlign w:val="center"/>
          </w:tcPr>
          <w:p w14:paraId="6701011A">
            <w:pPr>
              <w:rPr>
                <w:rFonts w:hint="eastAsia"/>
              </w:rPr>
            </w:pPr>
            <w:r>
              <w:rPr>
                <w:rFonts w:hint="eastAsia"/>
              </w:rPr>
              <w:t>1、……</w:t>
            </w:r>
          </w:p>
          <w:p w14:paraId="6D61DF99">
            <w:pPr>
              <w:rPr>
                <w:rFonts w:hint="eastAsia"/>
              </w:rPr>
            </w:pPr>
            <w:r>
              <w:rPr>
                <w:rFonts w:hint="eastAsia"/>
              </w:rPr>
              <w:t>2、……</w:t>
            </w:r>
          </w:p>
          <w:p w14:paraId="065462A6">
            <w:pPr>
              <w:rPr>
                <w:rFonts w:hint="eastAsia" w:ascii="Times New Roman" w:hAnsi="Times New Roman" w:eastAsia="宋体" w:cs="Times New Roman"/>
                <w:color w:val="auto"/>
                <w:sz w:val="21"/>
                <w:szCs w:val="24"/>
                <w:lang w:val="en-US" w:eastAsia="zh-CN" w:bidi="ar-SA"/>
              </w:rPr>
            </w:pPr>
            <w:r>
              <w:rPr>
                <w:rFonts w:hint="eastAsia"/>
              </w:rPr>
              <w:t>……</w:t>
            </w:r>
          </w:p>
        </w:tc>
        <w:tc>
          <w:tcPr>
            <w:tcW w:w="2436" w:type="dxa"/>
            <w:shd w:val="clear" w:color="auto" w:fill="auto"/>
            <w:noWrap w:val="0"/>
            <w:vAlign w:val="center"/>
          </w:tcPr>
          <w:p w14:paraId="0954AE11">
            <w:pPr>
              <w:rPr>
                <w:rFonts w:hint="eastAsia"/>
              </w:rPr>
            </w:pPr>
            <w:r>
              <w:rPr>
                <w:rFonts w:hint="eastAsia"/>
              </w:rPr>
              <w:t>1、……</w:t>
            </w:r>
          </w:p>
          <w:p w14:paraId="2B2482D6">
            <w:pPr>
              <w:rPr>
                <w:rFonts w:hint="eastAsia"/>
              </w:rPr>
            </w:pPr>
            <w:r>
              <w:rPr>
                <w:rFonts w:hint="eastAsia"/>
              </w:rPr>
              <w:t>2、……</w:t>
            </w:r>
          </w:p>
          <w:p w14:paraId="2A23D4EE">
            <w:pPr>
              <w:rPr>
                <w:rFonts w:hint="eastAsia" w:ascii="Times New Roman" w:hAnsi="Times New Roman" w:eastAsia="宋体" w:cs="Times New Roman"/>
                <w:color w:val="auto"/>
                <w:sz w:val="21"/>
                <w:szCs w:val="24"/>
                <w:lang w:val="en-US" w:eastAsia="zh-CN" w:bidi="ar-SA"/>
              </w:rPr>
            </w:pPr>
            <w:r>
              <w:rPr>
                <w:rFonts w:hint="eastAsia"/>
              </w:rPr>
              <w:t>……</w:t>
            </w:r>
          </w:p>
        </w:tc>
        <w:tc>
          <w:tcPr>
            <w:tcW w:w="3353" w:type="dxa"/>
            <w:gridSpan w:val="2"/>
            <w:noWrap w:val="0"/>
            <w:vAlign w:val="center"/>
          </w:tcPr>
          <w:p w14:paraId="2C6DE1ED">
            <w:pPr>
              <w:rPr>
                <w:rFonts w:hint="eastAsia" w:ascii="Times New Roman" w:hAnsi="Times New Roman"/>
                <w:color w:val="auto"/>
                <w:szCs w:val="24"/>
              </w:rPr>
            </w:pPr>
          </w:p>
        </w:tc>
      </w:tr>
      <w:tr w14:paraId="74F49F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060" w:type="dxa"/>
            <w:shd w:val="clear" w:color="auto" w:fill="auto"/>
            <w:noWrap w:val="0"/>
            <w:vAlign w:val="center"/>
          </w:tcPr>
          <w:p w14:paraId="463121F0">
            <w:pPr>
              <w:spacing w:line="340" w:lineRule="exact"/>
              <w:jc w:val="center"/>
              <w:rPr>
                <w:rFonts w:hint="eastAsia" w:ascii="宋体" w:hAnsi="宋体" w:eastAsia="宋体" w:cs="Times New Roman"/>
                <w:sz w:val="21"/>
                <w:szCs w:val="21"/>
                <w:shd w:val="clear" w:color="auto" w:fill="FFFFFF"/>
                <w:lang w:val="en-US" w:eastAsia="zh-CN" w:bidi="ar-SA"/>
              </w:rPr>
            </w:pPr>
            <w:r>
              <w:rPr>
                <w:rFonts w:hint="eastAsia" w:ascii="宋体" w:hAnsi="宋体"/>
                <w:szCs w:val="21"/>
                <w:shd w:val="clear" w:color="auto" w:fill="FFFFFF"/>
              </w:rPr>
              <w:t>……</w:t>
            </w:r>
          </w:p>
        </w:tc>
        <w:tc>
          <w:tcPr>
            <w:tcW w:w="2190" w:type="dxa"/>
            <w:shd w:val="clear" w:color="auto" w:fill="auto"/>
            <w:noWrap w:val="0"/>
            <w:vAlign w:val="center"/>
          </w:tcPr>
          <w:p w14:paraId="75C281A3">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c>
          <w:tcPr>
            <w:tcW w:w="2436" w:type="dxa"/>
            <w:shd w:val="clear" w:color="auto" w:fill="auto"/>
            <w:noWrap w:val="0"/>
            <w:vAlign w:val="center"/>
          </w:tcPr>
          <w:p w14:paraId="507E13EC">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c>
          <w:tcPr>
            <w:tcW w:w="3353" w:type="dxa"/>
            <w:gridSpan w:val="2"/>
            <w:shd w:val="clear" w:color="auto" w:fill="auto"/>
            <w:noWrap w:val="0"/>
            <w:vAlign w:val="center"/>
          </w:tcPr>
          <w:p w14:paraId="417CC925">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r>
    </w:tbl>
    <w:p w14:paraId="3A68889E">
      <w:pPr>
        <w:pStyle w:val="19"/>
        <w:tabs>
          <w:tab w:val="left" w:pos="180"/>
          <w:tab w:val="left" w:pos="1620"/>
        </w:tabs>
        <w:rPr>
          <w:rFonts w:hint="eastAsia"/>
        </w:rPr>
      </w:pPr>
      <w:r>
        <w:rPr>
          <w:rFonts w:hint="eastAsia"/>
        </w:rPr>
        <w:t>说明：</w:t>
      </w:r>
    </w:p>
    <w:p w14:paraId="0A302356">
      <w:pPr>
        <w:pStyle w:val="19"/>
        <w:tabs>
          <w:tab w:val="left" w:pos="180"/>
          <w:tab w:val="left" w:pos="1620"/>
        </w:tabs>
        <w:rPr>
          <w:rFonts w:hint="eastAsia"/>
        </w:rPr>
      </w:pPr>
      <w:r>
        <w:rPr>
          <w:rFonts w:hint="eastAsia"/>
          <w:highlight w:val="none"/>
          <w:lang w:val="en-US" w:eastAsia="zh-CN"/>
        </w:rPr>
        <w:t>1.针对询价文件“四、采购项目技术规格、参数及要求”的内容，供应商须按所投项目逐条说明所投货物对“技术规格、参数及要求”的实质性响应情况，并逐条明确注明“响应”或“偏离”。对于带有具体参数要求的产品指标，供应商必须提供所投货物的具体参数值。如仅在响应文件中以“符合”、“满足”或“完全响应”等方式概括表述，将被视为无效响应，其竞标报价文件将予以拒绝。</w:t>
      </w:r>
    </w:p>
    <w:p w14:paraId="75712AE8">
      <w:pPr>
        <w:pStyle w:val="19"/>
        <w:tabs>
          <w:tab w:val="left" w:pos="180"/>
          <w:tab w:val="left" w:pos="1620"/>
        </w:tabs>
        <w:rPr>
          <w:rFonts w:hint="eastAsia"/>
        </w:rPr>
      </w:pPr>
      <w:r>
        <w:rPr>
          <w:rFonts w:hint="eastAsia"/>
          <w:lang w:val="en-US" w:eastAsia="zh-CN"/>
        </w:rPr>
        <w:t>2.</w:t>
      </w:r>
      <w:r>
        <w:rPr>
          <w:rFonts w:hint="eastAsia"/>
        </w:rPr>
        <w:t>若</w:t>
      </w:r>
      <w:r>
        <w:rPr>
          <w:rFonts w:hint="eastAsia"/>
          <w:lang w:val="en-US" w:eastAsia="zh-CN"/>
        </w:rPr>
        <w:t>询价文件</w:t>
      </w:r>
      <w:r>
        <w:rPr>
          <w:rFonts w:hint="eastAsia"/>
        </w:rPr>
        <w:t>“四、采购项目技术规格、参数及要求”中所列产品参数存在不明确或错误之处，供应商应以详实、正确的参数进行响应并作出承诺，同时在本表的“说明”栏中予以说明。</w:t>
      </w:r>
    </w:p>
    <w:p w14:paraId="5C19C3F0">
      <w:pPr>
        <w:pStyle w:val="19"/>
        <w:tabs>
          <w:tab w:val="left" w:pos="180"/>
          <w:tab w:val="left" w:pos="1620"/>
        </w:tabs>
      </w:pPr>
      <w:r>
        <w:rPr>
          <w:rFonts w:hint="eastAsia" w:hAnsi="宋体"/>
          <w:sz w:val="21"/>
          <w:highlight w:val="none"/>
          <w:shd w:val="clear" w:color="auto" w:fill="FFFFFF"/>
          <w:lang w:val="en-US" w:eastAsia="zh-CN"/>
        </w:rPr>
        <w:t>3询价文件“四、采购项目技术规格、参数及要求”，逐条对应商务要求进行承诺，并申明与商务要求各条文的响应和偏离。“询价文件要求”栏及“ 供应商的承诺或说明”栏仅注明“符合”、“满足”或“完全响应”概括，或未按要求对应各栏内容填写的将导致响应文件被拒绝。</w:t>
      </w:r>
    </w:p>
    <w:p w14:paraId="61224F3F">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                              报价供应商名称（签章）：</w:t>
      </w:r>
    </w:p>
    <w:p w14:paraId="75E9955C">
      <w:pPr>
        <w:spacing w:before="120" w:line="500" w:lineRule="exact"/>
        <w:rPr>
          <w:rFonts w:hint="eastAsia" w:ascii="黑体" w:hAnsi="黑体" w:eastAsia="黑体" w:cs="宋体"/>
          <w:b/>
          <w:bCs/>
          <w:color w:val="000000"/>
          <w:sz w:val="32"/>
          <w:szCs w:val="32"/>
        </w:rPr>
      </w:pPr>
      <w:r>
        <w:rPr>
          <w:rFonts w:hint="eastAsia" w:ascii="宋体" w:hAnsi="宋体" w:cs="宋体"/>
          <w:color w:val="auto"/>
          <w:sz w:val="24"/>
          <w:szCs w:val="24"/>
        </w:rPr>
        <w:t>项目联系人电话：                     报价日期：      年     月     日</w:t>
      </w:r>
    </w:p>
    <w:p w14:paraId="4D120DE2">
      <w:pPr>
        <w:ind w:right="420"/>
        <w:rPr>
          <w:rFonts w:hint="eastAsia" w:ascii="黑体" w:hAnsi="黑体" w:eastAsia="黑体" w:cs="宋体"/>
          <w:b/>
          <w:bCs/>
          <w:color w:val="000000"/>
          <w:sz w:val="32"/>
          <w:szCs w:val="32"/>
        </w:rPr>
      </w:pPr>
    </w:p>
    <w:p w14:paraId="32624C5D">
      <w:pPr>
        <w:ind w:right="420"/>
        <w:rPr>
          <w:rFonts w:hint="eastAsia" w:ascii="黑体" w:hAnsi="黑体" w:eastAsia="黑体" w:cs="宋体"/>
          <w:b/>
          <w:bCs/>
          <w:color w:val="000000"/>
          <w:sz w:val="32"/>
          <w:szCs w:val="32"/>
        </w:rPr>
      </w:pPr>
    </w:p>
    <w:p w14:paraId="0B05E377">
      <w:pPr>
        <w:ind w:right="420"/>
        <w:rPr>
          <w:rFonts w:hint="eastAsia" w:ascii="黑体" w:hAnsi="黑体" w:eastAsia="黑体" w:cs="宋体"/>
          <w:b/>
          <w:bCs/>
          <w:color w:val="000000"/>
          <w:sz w:val="32"/>
          <w:szCs w:val="32"/>
        </w:rPr>
      </w:pPr>
    </w:p>
    <w:p w14:paraId="69A9E8A7">
      <w:pPr>
        <w:ind w:right="420"/>
        <w:rPr>
          <w:rFonts w:hint="eastAsia" w:ascii="黑体" w:hAnsi="黑体" w:eastAsia="黑体" w:cs="宋体"/>
          <w:b/>
          <w:bCs/>
          <w:color w:val="000000"/>
          <w:sz w:val="32"/>
          <w:szCs w:val="32"/>
        </w:rPr>
      </w:pPr>
    </w:p>
    <w:p w14:paraId="2581B14D">
      <w:pPr>
        <w:ind w:right="420"/>
        <w:rPr>
          <w:rFonts w:hint="eastAsia" w:ascii="黑体" w:hAnsi="黑体" w:eastAsia="黑体" w:cs="宋体"/>
          <w:b/>
          <w:bCs/>
          <w:color w:val="000000"/>
          <w:sz w:val="32"/>
          <w:szCs w:val="32"/>
        </w:rPr>
      </w:pPr>
    </w:p>
    <w:p w14:paraId="62B961A4">
      <w:pPr>
        <w:ind w:right="420"/>
        <w:rPr>
          <w:rFonts w:hint="eastAsia" w:ascii="黑体" w:hAnsi="黑体" w:eastAsia="黑体" w:cs="宋体"/>
          <w:b/>
          <w:bCs/>
          <w:color w:val="000000"/>
          <w:sz w:val="32"/>
          <w:szCs w:val="32"/>
        </w:rPr>
      </w:pPr>
    </w:p>
    <w:p w14:paraId="2362DDEB">
      <w:pPr>
        <w:ind w:right="420"/>
        <w:rPr>
          <w:rFonts w:hint="eastAsia" w:ascii="黑体" w:hAnsi="黑体" w:eastAsia="黑体" w:cs="宋体"/>
          <w:b/>
          <w:bCs/>
          <w:color w:val="000000"/>
          <w:sz w:val="32"/>
          <w:szCs w:val="32"/>
        </w:rPr>
      </w:pPr>
    </w:p>
    <w:p w14:paraId="53B7C6F2">
      <w:pPr>
        <w:ind w:right="420"/>
        <w:rPr>
          <w:rFonts w:hint="eastAsia" w:ascii="黑体" w:hAnsi="黑体" w:eastAsia="黑体" w:cs="宋体"/>
          <w:b/>
          <w:bCs/>
          <w:color w:val="000000"/>
          <w:sz w:val="32"/>
          <w:szCs w:val="32"/>
        </w:rPr>
      </w:pPr>
    </w:p>
    <w:p w14:paraId="0820288A">
      <w:pPr>
        <w:ind w:right="420"/>
        <w:rPr>
          <w:rFonts w:hint="eastAsia" w:ascii="黑体" w:hAnsi="黑体" w:eastAsia="黑体" w:cs="宋体"/>
          <w:b/>
          <w:bCs/>
          <w:color w:val="000000"/>
          <w:sz w:val="32"/>
          <w:szCs w:val="32"/>
        </w:rPr>
      </w:pPr>
    </w:p>
    <w:p w14:paraId="0AC62A92">
      <w:pPr>
        <w:ind w:right="420"/>
        <w:rPr>
          <w:rFonts w:hint="eastAsia" w:ascii="黑体" w:hAnsi="黑体" w:eastAsia="黑体" w:cs="宋体"/>
          <w:b/>
          <w:bCs/>
          <w:color w:val="000000"/>
          <w:sz w:val="32"/>
          <w:szCs w:val="32"/>
        </w:rPr>
      </w:pPr>
    </w:p>
    <w:p w14:paraId="1960F804">
      <w:pPr>
        <w:ind w:right="420"/>
        <w:rPr>
          <w:rFonts w:hint="eastAsia" w:ascii="黑体" w:hAnsi="黑体" w:eastAsia="黑体" w:cs="宋体"/>
          <w:b/>
          <w:bCs/>
          <w:color w:val="000000"/>
          <w:sz w:val="32"/>
          <w:szCs w:val="32"/>
        </w:rPr>
      </w:pPr>
    </w:p>
    <w:p w14:paraId="5782996A">
      <w:pPr>
        <w:ind w:right="420"/>
        <w:rPr>
          <w:rFonts w:hint="eastAsia" w:ascii="黑体" w:hAnsi="黑体" w:eastAsia="黑体" w:cs="宋体"/>
          <w:b/>
          <w:bCs/>
          <w:color w:val="000000"/>
          <w:sz w:val="32"/>
          <w:szCs w:val="32"/>
        </w:rPr>
      </w:pPr>
    </w:p>
    <w:p w14:paraId="1517CD09">
      <w:pPr>
        <w:ind w:right="420"/>
        <w:rPr>
          <w:rFonts w:hint="eastAsia" w:ascii="黑体" w:hAnsi="黑体" w:eastAsia="黑体" w:cs="宋体"/>
          <w:b/>
          <w:bCs/>
          <w:color w:val="000000"/>
          <w:sz w:val="32"/>
          <w:szCs w:val="32"/>
        </w:rPr>
      </w:pPr>
    </w:p>
    <w:p w14:paraId="4D541AB4">
      <w:pPr>
        <w:ind w:right="420"/>
        <w:rPr>
          <w:rFonts w:hint="eastAsia" w:ascii="黑体" w:hAnsi="黑体" w:eastAsia="黑体" w:cs="宋体"/>
          <w:b/>
          <w:bCs/>
          <w:color w:val="000000"/>
          <w:sz w:val="32"/>
          <w:szCs w:val="32"/>
        </w:rPr>
      </w:pPr>
    </w:p>
    <w:p w14:paraId="2AB15678">
      <w:pPr>
        <w:ind w:right="420"/>
        <w:rPr>
          <w:rFonts w:hint="eastAsia" w:ascii="黑体" w:hAnsi="黑体" w:eastAsia="黑体" w:cs="宋体"/>
          <w:b/>
          <w:bCs/>
          <w:color w:val="000000"/>
          <w:sz w:val="32"/>
          <w:szCs w:val="32"/>
        </w:rPr>
      </w:pPr>
    </w:p>
    <w:p w14:paraId="1DCA6B6B">
      <w:pPr>
        <w:ind w:right="420"/>
        <w:rPr>
          <w:rFonts w:hint="eastAsia" w:ascii="黑体" w:hAnsi="黑体" w:eastAsia="黑体" w:cs="宋体"/>
          <w:b/>
          <w:bCs/>
          <w:color w:val="000000"/>
          <w:sz w:val="32"/>
          <w:szCs w:val="32"/>
        </w:rPr>
      </w:pPr>
    </w:p>
    <w:p w14:paraId="6C5F5FCF">
      <w:pPr>
        <w:ind w:right="420"/>
        <w:rPr>
          <w:rFonts w:hint="eastAsia" w:ascii="黑体" w:hAnsi="黑体" w:eastAsia="黑体" w:cs="宋体"/>
          <w:b/>
          <w:bCs/>
          <w:color w:val="000000"/>
          <w:sz w:val="32"/>
          <w:szCs w:val="32"/>
        </w:rPr>
      </w:pPr>
    </w:p>
    <w:p w14:paraId="0ED98419">
      <w:pPr>
        <w:ind w:right="420"/>
        <w:rPr>
          <w:rFonts w:hint="eastAsia" w:ascii="黑体" w:hAnsi="黑体" w:eastAsia="黑体" w:cs="宋体"/>
          <w:b/>
          <w:bCs/>
          <w:color w:val="000000"/>
          <w:sz w:val="32"/>
          <w:szCs w:val="32"/>
        </w:rPr>
      </w:pPr>
    </w:p>
    <w:p w14:paraId="565E05C2">
      <w:pPr>
        <w:ind w:right="420"/>
        <w:rPr>
          <w:rFonts w:hint="eastAsia" w:ascii="黑体" w:hAnsi="黑体" w:eastAsia="黑体" w:cs="宋体"/>
          <w:b/>
          <w:bCs/>
          <w:color w:val="000000"/>
          <w:sz w:val="32"/>
          <w:szCs w:val="32"/>
        </w:rPr>
      </w:pPr>
    </w:p>
    <w:p w14:paraId="5A61EBEF">
      <w:pPr>
        <w:ind w:right="420"/>
        <w:rPr>
          <w:rFonts w:hint="eastAsia" w:ascii="黑体" w:hAnsi="黑体" w:eastAsia="黑体" w:cs="宋体"/>
          <w:b/>
          <w:bCs/>
          <w:color w:val="000000"/>
          <w:sz w:val="32"/>
          <w:szCs w:val="32"/>
        </w:rPr>
      </w:pPr>
    </w:p>
    <w:p w14:paraId="72DCCF6E">
      <w:pPr>
        <w:ind w:right="420"/>
        <w:rPr>
          <w:rFonts w:hint="eastAsia" w:ascii="黑体" w:hAnsi="黑体" w:eastAsia="黑体" w:cs="宋体"/>
          <w:b/>
          <w:bCs/>
          <w:color w:val="000000"/>
          <w:sz w:val="32"/>
          <w:szCs w:val="32"/>
        </w:rPr>
      </w:pPr>
    </w:p>
    <w:p w14:paraId="2E132337">
      <w:pPr>
        <w:ind w:right="420"/>
        <w:rPr>
          <w:rFonts w:hint="eastAsia" w:ascii="黑体" w:hAnsi="黑体" w:eastAsia="黑体" w:cs="宋体"/>
          <w:b/>
          <w:bCs/>
          <w:color w:val="000000"/>
          <w:sz w:val="32"/>
          <w:szCs w:val="32"/>
        </w:rPr>
      </w:pPr>
    </w:p>
    <w:p w14:paraId="4807A186">
      <w:pPr>
        <w:ind w:right="420"/>
        <w:rPr>
          <w:rFonts w:hint="eastAsia" w:ascii="黑体" w:hAnsi="黑体" w:eastAsia="黑体" w:cs="宋体"/>
          <w:b/>
          <w:bCs/>
          <w:color w:val="000000"/>
          <w:sz w:val="32"/>
          <w:szCs w:val="32"/>
        </w:rPr>
      </w:pPr>
    </w:p>
    <w:p w14:paraId="39D66E14">
      <w:pPr>
        <w:ind w:right="420"/>
        <w:rPr>
          <w:rFonts w:hint="eastAsia" w:ascii="黑体" w:hAnsi="黑体" w:eastAsia="黑体" w:cs="宋体"/>
          <w:b/>
          <w:bCs/>
          <w:color w:val="000000"/>
          <w:sz w:val="32"/>
          <w:szCs w:val="32"/>
        </w:rPr>
      </w:pPr>
    </w:p>
    <w:p w14:paraId="74639D0C">
      <w:pPr>
        <w:ind w:right="420"/>
        <w:rPr>
          <w:rFonts w:hint="eastAsia" w:ascii="黑体" w:hAnsi="黑体" w:eastAsia="黑体" w:cs="宋体"/>
          <w:b/>
          <w:bCs/>
          <w:color w:val="000000"/>
          <w:sz w:val="32"/>
          <w:szCs w:val="32"/>
        </w:rPr>
      </w:pPr>
    </w:p>
    <w:p w14:paraId="38699490">
      <w:pPr>
        <w:spacing w:line="300" w:lineRule="auto"/>
        <w:rPr>
          <w:rFonts w:hint="eastAsia" w:ascii="黑体" w:hAnsi="黑体" w:eastAsia="黑体" w:cs="宋体"/>
          <w:b/>
          <w:bCs/>
          <w:color w:val="000000"/>
          <w:sz w:val="32"/>
          <w:szCs w:val="32"/>
          <w:lang w:val="en-US" w:eastAsia="zh-CN"/>
        </w:rPr>
      </w:pPr>
      <w:r>
        <w:rPr>
          <w:rFonts w:hint="eastAsia" w:ascii="黑体" w:hAnsi="黑体" w:eastAsia="黑体" w:cs="宋体"/>
          <w:b/>
          <w:bCs/>
          <w:color w:val="000000"/>
          <w:sz w:val="32"/>
          <w:szCs w:val="32"/>
        </w:rPr>
        <w:t>附件</w:t>
      </w:r>
      <w:r>
        <w:rPr>
          <w:rFonts w:hint="eastAsia" w:ascii="黑体" w:hAnsi="黑体" w:eastAsia="黑体" w:cs="宋体"/>
          <w:b/>
          <w:bCs/>
          <w:color w:val="000000"/>
          <w:sz w:val="32"/>
          <w:szCs w:val="32"/>
          <w:lang w:val="en-US" w:eastAsia="zh-CN"/>
        </w:rPr>
        <w:t>3</w:t>
      </w:r>
    </w:p>
    <w:p w14:paraId="0E134B3A">
      <w:pPr>
        <w:spacing w:line="300" w:lineRule="auto"/>
        <w:jc w:val="center"/>
        <w:rPr>
          <w:rFonts w:hint="eastAsia" w:ascii="方正小标宋简体" w:hAnsi="方正小标宋简体" w:eastAsia="方正小标宋简体" w:cs="方正小标宋简体"/>
          <w:b/>
          <w:sz w:val="44"/>
          <w:szCs w:val="44"/>
          <w:shd w:val="clear" w:color="auto" w:fill="FFFFFF"/>
        </w:rPr>
      </w:pPr>
      <w:r>
        <w:rPr>
          <w:rFonts w:hint="eastAsia" w:ascii="方正小标宋简体" w:hAnsi="方正小标宋简体" w:eastAsia="方正小标宋简体" w:cs="方正小标宋简体"/>
          <w:b/>
          <w:sz w:val="44"/>
          <w:szCs w:val="44"/>
          <w:shd w:val="clear" w:color="auto" w:fill="FFFFFF"/>
        </w:rPr>
        <w:t>法定代表人身份证明及法定代表人授权书</w:t>
      </w:r>
    </w:p>
    <w:p w14:paraId="278BD5C9">
      <w:pPr>
        <w:pStyle w:val="19"/>
        <w:spacing w:line="440" w:lineRule="exact"/>
        <w:jc w:val="center"/>
        <w:rPr>
          <w:rFonts w:hint="eastAsia"/>
          <w:b/>
          <w:sz w:val="32"/>
          <w:szCs w:val="32"/>
          <w:shd w:val="clear" w:color="auto" w:fill="FFFFFF"/>
        </w:rPr>
      </w:pPr>
    </w:p>
    <w:p w14:paraId="5D25F376">
      <w:pPr>
        <w:pStyle w:val="19"/>
        <w:spacing w:line="440" w:lineRule="exact"/>
        <w:jc w:val="center"/>
        <w:rPr>
          <w:rFonts w:hint="eastAsia"/>
          <w:b/>
          <w:sz w:val="32"/>
          <w:szCs w:val="32"/>
          <w:shd w:val="clear" w:color="auto" w:fill="FFFFFF"/>
        </w:rPr>
      </w:pPr>
      <w:r>
        <w:rPr>
          <w:rFonts w:hint="eastAsia"/>
          <w:b/>
          <w:sz w:val="32"/>
          <w:szCs w:val="32"/>
          <w:shd w:val="clear" w:color="auto" w:fill="FFFFFF"/>
        </w:rPr>
        <w:t>法定代表人身份证明书（格式）</w:t>
      </w:r>
    </w:p>
    <w:p w14:paraId="5BB5F2AD">
      <w:pPr>
        <w:pStyle w:val="19"/>
        <w:spacing w:line="460" w:lineRule="exact"/>
        <w:ind w:firstLine="542"/>
        <w:jc w:val="center"/>
        <w:rPr>
          <w:rFonts w:hint="eastAsia"/>
          <w:b/>
          <w:shd w:val="clear" w:color="auto" w:fill="FFFFFF"/>
        </w:rPr>
      </w:pPr>
    </w:p>
    <w:p w14:paraId="67F4AD79">
      <w:pPr>
        <w:spacing w:line="500" w:lineRule="exact"/>
        <w:rPr>
          <w:rFonts w:hint="eastAsia" w:ascii="宋体" w:hAnsi="宋体"/>
          <w:szCs w:val="21"/>
          <w:shd w:val="clear" w:color="auto" w:fill="FFFFFF"/>
        </w:rPr>
      </w:pPr>
      <w:r>
        <w:rPr>
          <w:rFonts w:hint="eastAsia" w:ascii="宋体" w:hAnsi="宋体"/>
          <w:szCs w:val="21"/>
          <w:highlight w:val="none"/>
          <w:shd w:val="clear" w:color="auto" w:fill="FFFFFF"/>
        </w:rPr>
        <w:t>报 价 人：</w:t>
      </w:r>
    </w:p>
    <w:p w14:paraId="06B79885">
      <w:pPr>
        <w:spacing w:line="500" w:lineRule="exact"/>
        <w:rPr>
          <w:rFonts w:hint="eastAsia" w:ascii="宋体" w:hAnsi="宋体"/>
          <w:szCs w:val="21"/>
          <w:shd w:val="clear" w:color="auto" w:fill="FFFFFF"/>
        </w:rPr>
      </w:pPr>
      <w:r>
        <w:rPr>
          <w:rFonts w:hint="eastAsia" w:ascii="宋体" w:hAnsi="宋体"/>
          <w:szCs w:val="21"/>
          <w:shd w:val="clear" w:color="auto" w:fill="FFFFFF"/>
        </w:rPr>
        <w:t>单位性质：</w:t>
      </w:r>
      <w:r>
        <w:rPr>
          <w:rFonts w:hint="eastAsia" w:ascii="宋体" w:hAnsi="宋体"/>
          <w:szCs w:val="21"/>
          <w:u w:val="single"/>
          <w:shd w:val="clear" w:color="auto" w:fill="FFFFFF"/>
        </w:rPr>
        <w:t xml:space="preserve">                                                        </w:t>
      </w:r>
    </w:p>
    <w:p w14:paraId="4B10EB4D">
      <w:pPr>
        <w:spacing w:line="500" w:lineRule="exact"/>
        <w:rPr>
          <w:rFonts w:hint="eastAsia" w:ascii="宋体" w:hAnsi="宋体"/>
          <w:szCs w:val="21"/>
          <w:shd w:val="clear" w:color="auto" w:fill="FFFFFF"/>
        </w:rPr>
      </w:pPr>
      <w:r>
        <w:rPr>
          <w:rFonts w:hint="eastAsia" w:ascii="宋体" w:hAnsi="宋体"/>
          <w:szCs w:val="21"/>
          <w:shd w:val="clear" w:color="auto" w:fill="FFFFFF"/>
        </w:rPr>
        <w:t>地    址：</w:t>
      </w:r>
      <w:r>
        <w:rPr>
          <w:rFonts w:hint="eastAsia" w:ascii="宋体" w:hAnsi="宋体"/>
          <w:szCs w:val="21"/>
          <w:u w:val="single"/>
          <w:shd w:val="clear" w:color="auto" w:fill="FFFFFF"/>
        </w:rPr>
        <w:t xml:space="preserve">                                                        </w:t>
      </w:r>
    </w:p>
    <w:p w14:paraId="0D13CCF3">
      <w:pPr>
        <w:spacing w:line="500" w:lineRule="exact"/>
        <w:rPr>
          <w:rFonts w:hint="eastAsia" w:ascii="宋体" w:hAnsi="宋体"/>
          <w:szCs w:val="21"/>
          <w:shd w:val="clear" w:color="auto" w:fill="FFFFFF"/>
        </w:rPr>
      </w:pPr>
      <w:r>
        <w:rPr>
          <w:rFonts w:hint="eastAsia" w:ascii="宋体" w:hAnsi="宋体"/>
          <w:szCs w:val="21"/>
          <w:shd w:val="clear" w:color="auto" w:fill="FFFFFF"/>
        </w:rPr>
        <w:t>成立时间：</w:t>
      </w:r>
      <w:r>
        <w:rPr>
          <w:rFonts w:hint="eastAsia" w:ascii="宋体" w:hAnsi="宋体"/>
          <w:szCs w:val="21"/>
          <w:u w:val="single"/>
          <w:shd w:val="clear" w:color="auto" w:fill="FFFFFF"/>
        </w:rPr>
        <w:t xml:space="preserve">                 </w:t>
      </w:r>
      <w:r>
        <w:rPr>
          <w:rFonts w:hint="eastAsia" w:ascii="宋体" w:hAnsi="宋体"/>
          <w:szCs w:val="21"/>
          <w:shd w:val="clear" w:color="auto" w:fill="FFFFFF"/>
        </w:rPr>
        <w:t>年</w:t>
      </w:r>
      <w:r>
        <w:rPr>
          <w:rFonts w:hint="eastAsia" w:ascii="宋体" w:hAnsi="宋体"/>
          <w:szCs w:val="21"/>
          <w:u w:val="single"/>
          <w:shd w:val="clear" w:color="auto" w:fill="FFFFFF"/>
        </w:rPr>
        <w:t xml:space="preserve">              </w:t>
      </w:r>
      <w:r>
        <w:rPr>
          <w:rFonts w:hint="eastAsia" w:ascii="宋体" w:hAnsi="宋体"/>
          <w:szCs w:val="21"/>
          <w:shd w:val="clear" w:color="auto" w:fill="FFFFFF"/>
        </w:rPr>
        <w:t>月</w:t>
      </w:r>
      <w:r>
        <w:rPr>
          <w:rFonts w:hint="eastAsia" w:ascii="宋体" w:hAnsi="宋体"/>
          <w:szCs w:val="21"/>
          <w:u w:val="single"/>
          <w:shd w:val="clear" w:color="auto" w:fill="FFFFFF"/>
        </w:rPr>
        <w:t xml:space="preserve">              </w:t>
      </w:r>
      <w:r>
        <w:rPr>
          <w:rFonts w:hint="eastAsia" w:ascii="宋体" w:hAnsi="宋体"/>
          <w:szCs w:val="21"/>
          <w:shd w:val="clear" w:color="auto" w:fill="FFFFFF"/>
        </w:rPr>
        <w:t>日</w:t>
      </w:r>
    </w:p>
    <w:p w14:paraId="6550E59F">
      <w:pPr>
        <w:spacing w:line="500" w:lineRule="exact"/>
        <w:rPr>
          <w:rFonts w:hint="eastAsia" w:ascii="宋体" w:hAnsi="宋体"/>
          <w:szCs w:val="21"/>
          <w:shd w:val="clear" w:color="auto" w:fill="FFFFFF"/>
        </w:rPr>
      </w:pPr>
      <w:r>
        <w:rPr>
          <w:rFonts w:hint="eastAsia" w:ascii="宋体" w:hAnsi="宋体"/>
          <w:szCs w:val="21"/>
          <w:shd w:val="clear" w:color="auto" w:fill="FFFFFF"/>
        </w:rPr>
        <w:t>经营期限：</w:t>
      </w:r>
      <w:r>
        <w:rPr>
          <w:rFonts w:hint="eastAsia" w:ascii="宋体" w:hAnsi="宋体"/>
          <w:szCs w:val="21"/>
          <w:u w:val="single"/>
          <w:shd w:val="clear" w:color="auto" w:fill="FFFFFF"/>
        </w:rPr>
        <w:t xml:space="preserve">                                                        </w:t>
      </w:r>
    </w:p>
    <w:p w14:paraId="08F99B52">
      <w:pPr>
        <w:spacing w:line="500" w:lineRule="exact"/>
        <w:rPr>
          <w:rFonts w:hint="eastAsia" w:ascii="宋体" w:hAnsi="宋体"/>
          <w:szCs w:val="21"/>
          <w:shd w:val="clear" w:color="auto" w:fill="FFFFFF"/>
        </w:rPr>
      </w:pPr>
      <w:r>
        <w:rPr>
          <w:rFonts w:hint="eastAsia" w:ascii="宋体" w:hAnsi="宋体"/>
          <w:szCs w:val="21"/>
          <w:shd w:val="clear" w:color="auto" w:fill="FFFFFF"/>
        </w:rPr>
        <w:t>姓    名：</w:t>
      </w:r>
      <w:r>
        <w:rPr>
          <w:rFonts w:hint="eastAsia" w:ascii="宋体" w:hAnsi="宋体"/>
          <w:szCs w:val="21"/>
          <w:u w:val="single"/>
          <w:shd w:val="clear" w:color="auto" w:fill="FFFFFF"/>
        </w:rPr>
        <w:t xml:space="preserve">                          </w:t>
      </w:r>
      <w:r>
        <w:rPr>
          <w:rFonts w:hint="eastAsia" w:ascii="宋体" w:hAnsi="宋体"/>
          <w:szCs w:val="21"/>
          <w:shd w:val="clear" w:color="auto" w:fill="FFFFFF"/>
        </w:rPr>
        <w:t>性      别：</w:t>
      </w:r>
      <w:r>
        <w:rPr>
          <w:rFonts w:hint="eastAsia" w:ascii="宋体" w:hAnsi="宋体"/>
          <w:szCs w:val="21"/>
          <w:u w:val="single"/>
          <w:shd w:val="clear" w:color="auto" w:fill="FFFFFF"/>
        </w:rPr>
        <w:t xml:space="preserve">                </w:t>
      </w:r>
    </w:p>
    <w:p w14:paraId="2DAAE355">
      <w:pPr>
        <w:spacing w:line="500" w:lineRule="exact"/>
        <w:rPr>
          <w:rFonts w:hint="eastAsia" w:ascii="宋体" w:hAnsi="宋体"/>
          <w:szCs w:val="21"/>
          <w:u w:val="single"/>
          <w:shd w:val="clear" w:color="auto" w:fill="FFFFFF"/>
        </w:rPr>
      </w:pPr>
      <w:r>
        <w:rPr>
          <w:rFonts w:hint="eastAsia" w:ascii="宋体" w:hAnsi="宋体"/>
          <w:szCs w:val="21"/>
          <w:shd w:val="clear" w:color="auto" w:fill="FFFFFF"/>
        </w:rPr>
        <w:t>年    龄：</w:t>
      </w:r>
      <w:r>
        <w:rPr>
          <w:rFonts w:hint="eastAsia" w:ascii="宋体" w:hAnsi="宋体"/>
          <w:szCs w:val="21"/>
          <w:u w:val="single"/>
          <w:shd w:val="clear" w:color="auto" w:fill="FFFFFF"/>
        </w:rPr>
        <w:t xml:space="preserve">                          </w:t>
      </w:r>
      <w:r>
        <w:rPr>
          <w:rFonts w:hint="eastAsia" w:ascii="宋体" w:hAnsi="宋体"/>
          <w:szCs w:val="21"/>
          <w:shd w:val="clear" w:color="auto" w:fill="FFFFFF"/>
        </w:rPr>
        <w:t>职      务：</w:t>
      </w:r>
      <w:r>
        <w:rPr>
          <w:rFonts w:hint="eastAsia" w:ascii="宋体" w:hAnsi="宋体"/>
          <w:szCs w:val="21"/>
          <w:u w:val="single"/>
          <w:shd w:val="clear" w:color="auto" w:fill="FFFFFF"/>
        </w:rPr>
        <w:t xml:space="preserve">                </w:t>
      </w:r>
    </w:p>
    <w:p w14:paraId="0D8C3D14">
      <w:pPr>
        <w:spacing w:line="500" w:lineRule="exact"/>
        <w:rPr>
          <w:rFonts w:hint="eastAsia" w:ascii="宋体" w:hAnsi="宋体"/>
          <w:szCs w:val="21"/>
          <w:shd w:val="clear" w:color="auto" w:fill="FFFFFF"/>
        </w:rPr>
      </w:pPr>
      <w:r>
        <w:rPr>
          <w:rFonts w:hint="eastAsia" w:ascii="宋体" w:hAnsi="宋体"/>
          <w:szCs w:val="21"/>
          <w:shd w:val="clear" w:color="auto" w:fill="FFFFFF"/>
        </w:rPr>
        <w:t>身份证</w:t>
      </w:r>
      <w:r>
        <w:rPr>
          <w:rFonts w:hint="eastAsia"/>
          <w:szCs w:val="21"/>
          <w:shd w:val="clear" w:color="auto" w:fill="FFFFFF"/>
        </w:rPr>
        <w:t>号码：</w:t>
      </w:r>
      <w:r>
        <w:rPr>
          <w:rFonts w:hint="eastAsia"/>
          <w:szCs w:val="21"/>
          <w:u w:val="single"/>
          <w:shd w:val="clear" w:color="auto" w:fill="FFFFFF"/>
        </w:rPr>
        <w:t xml:space="preserve">                                 </w:t>
      </w:r>
    </w:p>
    <w:p w14:paraId="1D01EA70">
      <w:pPr>
        <w:spacing w:line="500" w:lineRule="exact"/>
        <w:rPr>
          <w:rFonts w:hint="eastAsia" w:ascii="宋体" w:hAnsi="宋体"/>
          <w:szCs w:val="21"/>
          <w:shd w:val="clear" w:color="auto" w:fill="FFFFFF"/>
        </w:rPr>
      </w:pPr>
      <w:r>
        <w:rPr>
          <w:rFonts w:hint="eastAsia" w:ascii="宋体" w:hAnsi="宋体"/>
          <w:szCs w:val="21"/>
          <w:shd w:val="clear" w:color="auto" w:fill="FFFFFF"/>
        </w:rPr>
        <w:t>系</w:t>
      </w:r>
      <w:r>
        <w:rPr>
          <w:rFonts w:hint="eastAsia" w:ascii="宋体" w:hAnsi="宋体"/>
          <w:szCs w:val="21"/>
          <w:u w:val="single"/>
          <w:shd w:val="clear" w:color="auto" w:fill="FFFFFF"/>
        </w:rPr>
        <w:t xml:space="preserve">                                                 </w:t>
      </w:r>
      <w:r>
        <w:rPr>
          <w:rFonts w:hint="eastAsia" w:ascii="宋体" w:hAnsi="宋体"/>
          <w:szCs w:val="21"/>
          <w:shd w:val="clear" w:color="auto" w:fill="FFFFFF"/>
        </w:rPr>
        <w:t>（供应商名称）的法定代表人。</w:t>
      </w:r>
    </w:p>
    <w:p w14:paraId="0CF9F06F">
      <w:pPr>
        <w:pStyle w:val="19"/>
        <w:spacing w:line="460" w:lineRule="exact"/>
        <w:ind w:firstLine="539"/>
        <w:rPr>
          <w:rFonts w:hint="eastAsia" w:hAnsi="宋体"/>
          <w:sz w:val="21"/>
          <w:shd w:val="clear" w:color="auto" w:fill="FFFFFF"/>
        </w:rPr>
      </w:pPr>
      <w:r>
        <w:rPr>
          <w:rFonts w:hint="eastAsia" w:hAnsi="宋体"/>
          <w:sz w:val="21"/>
          <w:shd w:val="clear" w:color="auto" w:fill="FFFFFF"/>
        </w:rPr>
        <w:t>特此证明。</w:t>
      </w:r>
    </w:p>
    <w:p w14:paraId="2BABB9C6">
      <w:pPr>
        <w:pStyle w:val="19"/>
        <w:spacing w:line="460" w:lineRule="exact"/>
        <w:ind w:firstLine="539"/>
        <w:rPr>
          <w:rFonts w:hint="eastAsia"/>
          <w:sz w:val="21"/>
          <w:shd w:val="clear" w:color="auto" w:fill="FFFFFF"/>
        </w:rPr>
      </w:pPr>
      <w:r>
        <w:rPr>
          <w:rFonts w:hint="eastAsia"/>
          <w:sz w:val="21"/>
          <w:shd w:val="clear" w:color="auto" w:fill="FFFFFF"/>
        </w:rPr>
        <w:t>附：法定代表人有效的身份证正反面复印件，并加盖公章。</w:t>
      </w:r>
    </w:p>
    <w:p w14:paraId="4DBB5A0D">
      <w:pPr>
        <w:pStyle w:val="19"/>
        <w:spacing w:line="460" w:lineRule="exact"/>
        <w:ind w:firstLine="539"/>
        <w:rPr>
          <w:rFonts w:hint="eastAsia"/>
          <w:sz w:val="21"/>
          <w:shd w:val="clear" w:color="auto" w:fill="FFFFFF"/>
        </w:rPr>
      </w:pPr>
    </w:p>
    <w:p w14:paraId="5E64BE06">
      <w:pPr>
        <w:pStyle w:val="19"/>
        <w:spacing w:line="460" w:lineRule="exact"/>
        <w:ind w:firstLine="539"/>
        <w:rPr>
          <w:rFonts w:hint="eastAsia"/>
          <w:sz w:val="21"/>
          <w:shd w:val="clear" w:color="auto" w:fill="FFFFFF"/>
        </w:rPr>
      </w:pPr>
    </w:p>
    <w:p w14:paraId="6FB61D99">
      <w:pPr>
        <w:pStyle w:val="19"/>
        <w:spacing w:line="460" w:lineRule="exact"/>
        <w:ind w:firstLine="539"/>
        <w:jc w:val="right"/>
        <w:rPr>
          <w:rFonts w:hint="eastAsia"/>
          <w:sz w:val="21"/>
          <w:shd w:val="clear" w:color="auto" w:fill="FFFFFF"/>
        </w:rPr>
      </w:pPr>
      <w:r>
        <w:rPr>
          <w:rFonts w:hint="eastAsia"/>
          <w:sz w:val="21"/>
          <w:shd w:val="clear" w:color="auto" w:fill="FFFFFF"/>
        </w:rPr>
        <w:t>供应商：（盖单位公章）</w:t>
      </w:r>
      <w:r>
        <w:rPr>
          <w:rFonts w:hint="eastAsia"/>
          <w:sz w:val="21"/>
          <w:u w:val="single"/>
          <w:shd w:val="clear" w:color="auto" w:fill="FFFFFF"/>
        </w:rPr>
        <w:t xml:space="preserve">                     </w:t>
      </w:r>
    </w:p>
    <w:p w14:paraId="67A1C681">
      <w:pPr>
        <w:pStyle w:val="19"/>
        <w:spacing w:line="460" w:lineRule="exact"/>
        <w:ind w:firstLine="539"/>
        <w:rPr>
          <w:rFonts w:hint="eastAsia"/>
          <w:sz w:val="21"/>
          <w:shd w:val="clear" w:color="auto" w:fill="FFFFFF"/>
        </w:rPr>
      </w:pPr>
    </w:p>
    <w:p w14:paraId="59D1A2BD">
      <w:pPr>
        <w:pStyle w:val="19"/>
        <w:spacing w:line="460" w:lineRule="exact"/>
        <w:ind w:firstLine="525"/>
        <w:jc w:val="right"/>
        <w:rPr>
          <w:rFonts w:hint="eastAsia"/>
          <w:sz w:val="21"/>
          <w:shd w:val="clear" w:color="auto" w:fill="FFFFFF"/>
        </w:rPr>
      </w:pPr>
      <w:r>
        <w:rPr>
          <w:rFonts w:hint="eastAsia"/>
          <w:sz w:val="21"/>
          <w:shd w:val="clear" w:color="auto" w:fill="FFFFFF"/>
        </w:rPr>
        <w:t>日期：   年    月    日</w:t>
      </w:r>
    </w:p>
    <w:p w14:paraId="44B4E2F3">
      <w:pPr>
        <w:spacing w:line="300" w:lineRule="auto"/>
        <w:jc w:val="center"/>
        <w:rPr>
          <w:rFonts w:hint="eastAsia" w:ascii="宋体" w:hAnsi="宋体"/>
          <w:b/>
          <w:szCs w:val="21"/>
          <w:shd w:val="clear" w:color="auto" w:fill="FFFFFF"/>
        </w:rPr>
      </w:pPr>
    </w:p>
    <w:p w14:paraId="6BDAA32C">
      <w:pPr>
        <w:ind w:right="420"/>
        <w:rPr>
          <w:rFonts w:hint="eastAsia" w:ascii="黑体" w:hAnsi="黑体" w:eastAsia="黑体" w:cs="宋体"/>
          <w:b/>
          <w:bCs/>
          <w:color w:val="000000"/>
          <w:sz w:val="32"/>
          <w:szCs w:val="32"/>
          <w:lang w:eastAsia="zh-CN"/>
        </w:rPr>
      </w:pPr>
    </w:p>
    <w:p w14:paraId="63890B50">
      <w:pPr>
        <w:ind w:right="420"/>
        <w:rPr>
          <w:rFonts w:hint="eastAsia" w:ascii="黑体" w:hAnsi="黑体" w:eastAsia="黑体" w:cs="宋体"/>
          <w:b/>
          <w:bCs/>
          <w:color w:val="000000"/>
          <w:sz w:val="32"/>
          <w:szCs w:val="32"/>
          <w:lang w:eastAsia="zh-CN"/>
        </w:rPr>
      </w:pPr>
    </w:p>
    <w:p w14:paraId="29B4A1FC">
      <w:pPr>
        <w:ind w:right="420"/>
        <w:rPr>
          <w:rFonts w:hint="eastAsia" w:ascii="黑体" w:hAnsi="黑体" w:eastAsia="黑体" w:cs="宋体"/>
          <w:b/>
          <w:bCs/>
          <w:color w:val="000000"/>
          <w:sz w:val="32"/>
          <w:szCs w:val="32"/>
          <w:lang w:eastAsia="zh-CN"/>
        </w:rPr>
      </w:pPr>
    </w:p>
    <w:p w14:paraId="51AA8DEB">
      <w:pPr>
        <w:ind w:right="420"/>
        <w:rPr>
          <w:rFonts w:hint="eastAsia" w:ascii="黑体" w:hAnsi="黑体" w:eastAsia="黑体" w:cs="宋体"/>
          <w:b/>
          <w:bCs/>
          <w:color w:val="000000"/>
          <w:sz w:val="32"/>
          <w:szCs w:val="32"/>
          <w:lang w:eastAsia="zh-CN"/>
        </w:rPr>
      </w:pPr>
    </w:p>
    <w:p w14:paraId="027956BE">
      <w:pPr>
        <w:ind w:right="420"/>
        <w:rPr>
          <w:rFonts w:hint="eastAsia" w:ascii="黑体" w:hAnsi="黑体" w:eastAsia="黑体" w:cs="宋体"/>
          <w:b/>
          <w:bCs/>
          <w:color w:val="000000"/>
          <w:sz w:val="32"/>
          <w:szCs w:val="32"/>
          <w:lang w:eastAsia="zh-CN"/>
        </w:rPr>
      </w:pPr>
    </w:p>
    <w:p w14:paraId="4FA629F0">
      <w:pPr>
        <w:ind w:right="420"/>
        <w:rPr>
          <w:rFonts w:hint="eastAsia" w:ascii="黑体" w:hAnsi="黑体" w:eastAsia="黑体" w:cs="宋体"/>
          <w:b/>
          <w:bCs/>
          <w:color w:val="000000"/>
          <w:sz w:val="32"/>
          <w:szCs w:val="32"/>
          <w:lang w:eastAsia="zh-CN"/>
        </w:rPr>
      </w:pPr>
    </w:p>
    <w:p w14:paraId="16E3C4F4">
      <w:pPr>
        <w:ind w:right="420"/>
        <w:rPr>
          <w:rFonts w:hint="eastAsia" w:ascii="黑体" w:hAnsi="黑体" w:eastAsia="黑体" w:cs="宋体"/>
          <w:b/>
          <w:bCs/>
          <w:color w:val="000000"/>
          <w:sz w:val="32"/>
          <w:szCs w:val="32"/>
          <w:lang w:eastAsia="zh-CN"/>
        </w:rPr>
      </w:pPr>
    </w:p>
    <w:p w14:paraId="1940110F">
      <w:pPr>
        <w:ind w:right="420"/>
        <w:rPr>
          <w:rFonts w:hint="eastAsia" w:ascii="黑体" w:hAnsi="黑体" w:eastAsia="黑体" w:cs="宋体"/>
          <w:b/>
          <w:bCs/>
          <w:color w:val="000000"/>
          <w:sz w:val="32"/>
          <w:szCs w:val="32"/>
          <w:lang w:eastAsia="zh-CN"/>
        </w:rPr>
      </w:pPr>
    </w:p>
    <w:p w14:paraId="109AAA6F">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法 定 代 表 人 授 权 书</w:t>
      </w:r>
    </w:p>
    <w:p w14:paraId="14990646">
      <w:pPr>
        <w:ind w:right="420"/>
        <w:rPr>
          <w:rFonts w:hint="eastAsia" w:ascii="黑体" w:hAnsi="黑体" w:eastAsia="黑体" w:cs="宋体"/>
          <w:b/>
          <w:bCs/>
          <w:color w:val="000000"/>
          <w:sz w:val="32"/>
          <w:szCs w:val="32"/>
        </w:rPr>
      </w:pPr>
    </w:p>
    <w:p w14:paraId="7B2D8395">
      <w:pPr>
        <w:spacing w:line="500" w:lineRule="exact"/>
        <w:rPr>
          <w:rFonts w:hint="eastAsia" w:ascii="宋体" w:hAnsi="宋体"/>
          <w:szCs w:val="21"/>
          <w:shd w:val="clear" w:color="auto" w:fill="FFFFFF"/>
        </w:rPr>
      </w:pPr>
      <w:r>
        <w:rPr>
          <w:rFonts w:hint="eastAsia" w:ascii="宋体" w:hAnsi="宋体"/>
          <w:szCs w:val="21"/>
          <w:shd w:val="clear" w:color="auto" w:fill="FFFFFF"/>
        </w:rPr>
        <w:t>致</w:t>
      </w:r>
      <w:r>
        <w:rPr>
          <w:rFonts w:hint="eastAsia" w:ascii="宋体" w:hAnsi="宋体"/>
          <w:szCs w:val="21"/>
          <w:shd w:val="clear" w:color="auto" w:fill="FFFFFF"/>
          <w:lang w:val="en-US" w:eastAsia="zh-CN"/>
        </w:rPr>
        <w:t>广西中医药大学：</w:t>
      </w:r>
    </w:p>
    <w:p w14:paraId="531D6310">
      <w:pPr>
        <w:spacing w:line="500" w:lineRule="exact"/>
        <w:ind w:firstLine="420"/>
        <w:rPr>
          <w:rFonts w:hint="eastAsia" w:ascii="宋体" w:hAnsi="宋体"/>
          <w:szCs w:val="21"/>
          <w:shd w:val="clear" w:color="auto" w:fill="FFFFFF"/>
        </w:rPr>
      </w:pPr>
      <w:r>
        <w:rPr>
          <w:rFonts w:hint="eastAsia" w:ascii="宋体" w:hAnsi="宋体"/>
          <w:szCs w:val="21"/>
          <w:highlight w:val="none"/>
          <w:shd w:val="clear" w:color="auto" w:fill="FFFFFF"/>
        </w:rPr>
        <w:t>我_________（姓名）系_________（供应商名称）的法定代表人，现授权委托本单位在职职工 （姓名）以本单位的名义参加 （项目名称及编号） 项目的竞标活动，并代表本单位全权办理针对上述项目的竞标、开标、评标、签约等具体事务和签署相关文件。</w:t>
      </w:r>
    </w:p>
    <w:p w14:paraId="028F759A">
      <w:pPr>
        <w:spacing w:line="500" w:lineRule="exact"/>
        <w:rPr>
          <w:rFonts w:hint="eastAsia" w:ascii="宋体" w:hAnsi="宋体"/>
          <w:szCs w:val="21"/>
          <w:shd w:val="clear" w:color="auto" w:fill="FFFFFF"/>
        </w:rPr>
      </w:pPr>
      <w:r>
        <w:rPr>
          <w:rFonts w:hint="eastAsia" w:ascii="宋体" w:hAnsi="宋体"/>
          <w:szCs w:val="21"/>
          <w:highlight w:val="none"/>
          <w:shd w:val="clear" w:color="auto" w:fill="FFFFFF"/>
        </w:rPr>
        <w:t>招标人对被授权人的签字事项负全部责任。</w:t>
      </w:r>
    </w:p>
    <w:p w14:paraId="7A33ADF2">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在撤销授权的书面通知以前，本授权书一直有效。被授权人在授权书有效期内签署的所有文件不因授权的撤销而失效。</w:t>
      </w:r>
    </w:p>
    <w:p w14:paraId="55931E47">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被授权人无转委托权，特此委托。</w:t>
      </w:r>
    </w:p>
    <w:p w14:paraId="5C396B19">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附：被授权人有效的身份证正反面复印件，并加盖公章。</w:t>
      </w:r>
    </w:p>
    <w:p w14:paraId="3B6CD772">
      <w:pPr>
        <w:spacing w:line="500" w:lineRule="exact"/>
        <w:rPr>
          <w:rFonts w:hint="eastAsia" w:ascii="宋体" w:hAnsi="宋体"/>
          <w:szCs w:val="21"/>
          <w:shd w:val="clear" w:color="auto" w:fill="FFFFFF"/>
        </w:rPr>
      </w:pPr>
    </w:p>
    <w:p w14:paraId="1EC6A4B4">
      <w:pPr>
        <w:spacing w:line="500" w:lineRule="exact"/>
        <w:rPr>
          <w:rFonts w:hint="eastAsia" w:ascii="宋体" w:hAnsi="宋体"/>
          <w:szCs w:val="21"/>
          <w:shd w:val="clear" w:color="auto" w:fill="FFFFFF"/>
        </w:rPr>
      </w:pPr>
    </w:p>
    <w:p w14:paraId="7B0C0FD6">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被授权人签字：                           法定代表人签字：              </w:t>
      </w:r>
    </w:p>
    <w:p w14:paraId="5E6C2C70">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所在部门职务：                                     职务：                  </w:t>
      </w:r>
    </w:p>
    <w:p w14:paraId="209EF7E5">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被授权人身份证号码：                              </w:t>
      </w:r>
    </w:p>
    <w:p w14:paraId="5428F810">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供应商公章：</w:t>
      </w:r>
    </w:p>
    <w:p w14:paraId="60B6EE96">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年    月    日</w:t>
      </w:r>
    </w:p>
    <w:p w14:paraId="254A826F">
      <w:pPr>
        <w:ind w:right="420"/>
        <w:rPr>
          <w:rFonts w:hint="eastAsia" w:ascii="黑体" w:hAnsi="黑体" w:eastAsia="黑体" w:cs="宋体"/>
          <w:b/>
          <w:bCs/>
          <w:color w:val="000000"/>
          <w:sz w:val="32"/>
          <w:szCs w:val="32"/>
        </w:rPr>
      </w:pPr>
    </w:p>
    <w:p w14:paraId="65C695BC">
      <w:pPr>
        <w:ind w:right="420"/>
        <w:rPr>
          <w:rFonts w:hint="eastAsia" w:ascii="黑体" w:hAnsi="黑体" w:eastAsia="黑体" w:cs="宋体"/>
          <w:b/>
          <w:bCs/>
          <w:color w:val="000000"/>
          <w:sz w:val="32"/>
          <w:szCs w:val="32"/>
        </w:rPr>
      </w:pPr>
    </w:p>
    <w:p w14:paraId="4139FF68">
      <w:pPr>
        <w:ind w:right="420"/>
        <w:rPr>
          <w:rFonts w:hint="eastAsia" w:ascii="黑体" w:hAnsi="黑体" w:eastAsia="黑体" w:cs="宋体"/>
          <w:b/>
          <w:bCs/>
          <w:color w:val="000000"/>
          <w:sz w:val="32"/>
          <w:szCs w:val="32"/>
        </w:rPr>
      </w:pPr>
    </w:p>
    <w:p w14:paraId="04665983">
      <w:pPr>
        <w:ind w:right="420"/>
        <w:rPr>
          <w:rFonts w:hint="eastAsia" w:ascii="黑体" w:hAnsi="黑体" w:eastAsia="黑体" w:cs="宋体"/>
          <w:b/>
          <w:bCs/>
          <w:color w:val="000000"/>
          <w:sz w:val="32"/>
          <w:szCs w:val="32"/>
        </w:rPr>
      </w:pPr>
    </w:p>
    <w:p w14:paraId="0A2F069A">
      <w:pPr>
        <w:ind w:right="420"/>
        <w:rPr>
          <w:rFonts w:hint="eastAsia" w:ascii="黑体" w:hAnsi="黑体" w:eastAsia="黑体" w:cs="宋体"/>
          <w:b/>
          <w:bCs/>
          <w:color w:val="000000"/>
          <w:sz w:val="32"/>
          <w:szCs w:val="32"/>
        </w:rPr>
      </w:pPr>
    </w:p>
    <w:p w14:paraId="3C9F596F">
      <w:pPr>
        <w:ind w:right="420"/>
        <w:rPr>
          <w:rFonts w:hint="eastAsia" w:ascii="黑体" w:hAnsi="黑体" w:eastAsia="黑体" w:cs="宋体"/>
          <w:b/>
          <w:bCs/>
          <w:color w:val="000000"/>
          <w:sz w:val="32"/>
          <w:szCs w:val="32"/>
        </w:rPr>
      </w:pPr>
    </w:p>
    <w:p w14:paraId="37BED008">
      <w:pPr>
        <w:ind w:right="420"/>
        <w:rPr>
          <w:rFonts w:hint="eastAsia" w:ascii="黑体" w:hAnsi="黑体" w:eastAsia="黑体" w:cs="宋体"/>
          <w:b/>
          <w:bCs/>
          <w:color w:val="000000"/>
          <w:sz w:val="32"/>
          <w:szCs w:val="32"/>
        </w:rPr>
      </w:pPr>
    </w:p>
    <w:p w14:paraId="4F23C9A3">
      <w:pPr>
        <w:ind w:right="420"/>
        <w:rPr>
          <w:rFonts w:hint="eastAsia" w:ascii="黑体" w:hAnsi="黑体" w:eastAsia="黑体" w:cs="宋体"/>
          <w:b/>
          <w:bCs/>
          <w:color w:val="000000"/>
          <w:sz w:val="32"/>
          <w:szCs w:val="32"/>
        </w:rPr>
      </w:pPr>
    </w:p>
    <w:p w14:paraId="38E07756">
      <w:pPr>
        <w:ind w:right="420"/>
        <w:rPr>
          <w:rFonts w:hint="eastAsia" w:ascii="黑体" w:hAnsi="黑体" w:eastAsia="黑体" w:cs="宋体"/>
          <w:b/>
          <w:bCs/>
          <w:color w:val="000000"/>
          <w:sz w:val="32"/>
          <w:szCs w:val="32"/>
        </w:rPr>
      </w:pPr>
    </w:p>
    <w:p w14:paraId="6E9758BD">
      <w:pPr>
        <w:ind w:right="420"/>
        <w:rPr>
          <w:rFonts w:hint="eastAsia" w:ascii="黑体" w:hAnsi="黑体" w:eastAsia="黑体" w:cs="宋体"/>
          <w:b/>
          <w:bCs/>
          <w:color w:val="000000"/>
          <w:sz w:val="32"/>
          <w:szCs w:val="32"/>
        </w:rPr>
      </w:pPr>
    </w:p>
    <w:p w14:paraId="5C045E53">
      <w:pPr>
        <w:ind w:right="420"/>
        <w:rPr>
          <w:rFonts w:hint="eastAsia" w:ascii="黑体" w:hAnsi="黑体" w:eastAsia="黑体" w:cs="宋体"/>
          <w:b/>
          <w:bCs/>
          <w:color w:val="000000"/>
          <w:sz w:val="32"/>
          <w:szCs w:val="32"/>
        </w:rPr>
      </w:pPr>
    </w:p>
    <w:p w14:paraId="3BEC0C09">
      <w:pPr>
        <w:ind w:right="420"/>
        <w:rPr>
          <w:rFonts w:hint="default" w:ascii="黑体" w:hAnsi="黑体" w:eastAsia="黑体" w:cs="宋体"/>
          <w:b/>
          <w:bCs/>
          <w:color w:val="000000"/>
          <w:sz w:val="32"/>
          <w:szCs w:val="32"/>
          <w:lang w:val="en-US" w:eastAsia="zh-CN"/>
        </w:rPr>
      </w:pPr>
      <w:r>
        <w:rPr>
          <w:rFonts w:hint="eastAsia" w:ascii="黑体" w:hAnsi="黑体" w:eastAsia="黑体" w:cs="宋体"/>
          <w:b/>
          <w:bCs/>
          <w:color w:val="000000"/>
          <w:sz w:val="32"/>
          <w:szCs w:val="32"/>
        </w:rPr>
        <w:t>附件</w:t>
      </w:r>
      <w:r>
        <w:rPr>
          <w:rFonts w:hint="eastAsia" w:ascii="黑体" w:hAnsi="黑体" w:eastAsia="黑体" w:cs="宋体"/>
          <w:b/>
          <w:bCs/>
          <w:color w:val="000000"/>
          <w:sz w:val="32"/>
          <w:szCs w:val="32"/>
          <w:lang w:val="en-US" w:eastAsia="zh-CN"/>
        </w:rPr>
        <w:t xml:space="preserve">4           </w:t>
      </w:r>
    </w:p>
    <w:p w14:paraId="6F3E1131">
      <w:pPr>
        <w:pStyle w:val="195"/>
        <w:ind w:firstLine="0"/>
        <w:jc w:val="center"/>
        <w:rPr>
          <w:rFonts w:hint="eastAsia" w:hAnsi="宋体" w:cs="宋体"/>
          <w:b/>
          <w:sz w:val="32"/>
          <w:szCs w:val="32"/>
        </w:rPr>
      </w:pPr>
      <w:r>
        <w:rPr>
          <w:rFonts w:hint="eastAsia" w:hAnsi="宋体" w:cs="宋体"/>
          <w:b/>
          <w:sz w:val="32"/>
          <w:szCs w:val="32"/>
        </w:rPr>
        <w:t>售后服务承诺</w:t>
      </w:r>
    </w:p>
    <w:p w14:paraId="709A2691">
      <w:pPr>
        <w:pStyle w:val="32"/>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投标人须提供详细的《售后服务承诺书》，且内容须至少包含以下四项具体要求，否则视为非实质性响应：</w:t>
      </w:r>
    </w:p>
    <w:p w14:paraId="7AA176B3">
      <w:pPr>
        <w:pStyle w:val="32"/>
        <w:keepNext w:val="0"/>
        <w:keepLines w:val="0"/>
        <w:widowControl/>
        <w:numPr>
          <w:ilvl w:val="0"/>
          <w:numId w:val="0"/>
        </w:numPr>
        <w:suppressLineNumbers w:val="0"/>
        <w:spacing w:before="0" w:beforeAutospacing="0" w:after="0" w:afterAutospacing="0"/>
        <w:ind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1.</w:t>
      </w:r>
      <w:r>
        <w:rPr>
          <w:rFonts w:hint="default" w:ascii="Segoe UI" w:hAnsi="Segoe UI" w:eastAsia="Segoe UI" w:cs="Segoe UI"/>
          <w:b/>
          <w:bCs/>
          <w:i w:val="0"/>
          <w:iCs w:val="0"/>
          <w:caps w:val="0"/>
          <w:color w:val="0F1115"/>
          <w:spacing w:val="0"/>
          <w:sz w:val="24"/>
          <w:szCs w:val="24"/>
          <w:shd w:val="clear" w:fill="FFFFFF"/>
        </w:rPr>
        <w:t>质保期限</w:t>
      </w:r>
      <w:r>
        <w:rPr>
          <w:rFonts w:hint="default" w:ascii="Segoe UI" w:hAnsi="Segoe UI" w:eastAsia="Segoe UI" w:cs="Segoe UI"/>
          <w:i w:val="0"/>
          <w:iCs w:val="0"/>
          <w:caps w:val="0"/>
          <w:color w:val="0F1115"/>
          <w:spacing w:val="0"/>
          <w:sz w:val="24"/>
          <w:szCs w:val="24"/>
          <w:shd w:val="clear" w:fill="FFFFFF"/>
        </w:rPr>
        <w:t>：</w:t>
      </w:r>
    </w:p>
    <w:p w14:paraId="45EBE252">
      <w:pPr>
        <w:pStyle w:val="32"/>
        <w:keepNext w:val="0"/>
        <w:keepLines w:val="0"/>
        <w:widowControl/>
        <w:numPr>
          <w:ilvl w:val="0"/>
          <w:numId w:val="0"/>
        </w:numPr>
        <w:suppressLineNumbers w:val="0"/>
        <w:spacing w:before="0" w:beforeAutospacing="0" w:after="0" w:afterAutospacing="0"/>
        <w:ind w:leftChars="0"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2.</w:t>
      </w:r>
      <w:r>
        <w:rPr>
          <w:rFonts w:hint="default" w:ascii="Segoe UI" w:hAnsi="Segoe UI" w:eastAsia="Segoe UI" w:cs="Segoe UI"/>
          <w:b/>
          <w:bCs/>
          <w:i w:val="0"/>
          <w:iCs w:val="0"/>
          <w:caps w:val="0"/>
          <w:color w:val="0F1115"/>
          <w:spacing w:val="0"/>
          <w:sz w:val="24"/>
          <w:szCs w:val="24"/>
          <w:shd w:val="clear" w:fill="FFFFFF"/>
        </w:rPr>
        <w:t>服务时效</w:t>
      </w:r>
      <w:r>
        <w:rPr>
          <w:rFonts w:hint="default" w:ascii="Segoe UI" w:hAnsi="Segoe UI" w:eastAsia="Segoe UI" w:cs="Segoe UI"/>
          <w:i w:val="0"/>
          <w:iCs w:val="0"/>
          <w:caps w:val="0"/>
          <w:color w:val="0F1115"/>
          <w:spacing w:val="0"/>
          <w:sz w:val="24"/>
          <w:szCs w:val="24"/>
          <w:shd w:val="clear" w:fill="FFFFFF"/>
        </w:rPr>
        <w:t>：</w:t>
      </w:r>
    </w:p>
    <w:p w14:paraId="2C39651E">
      <w:pPr>
        <w:pStyle w:val="32"/>
        <w:keepNext w:val="0"/>
        <w:keepLines w:val="0"/>
        <w:widowControl/>
        <w:numPr>
          <w:ilvl w:val="0"/>
          <w:numId w:val="0"/>
        </w:numPr>
        <w:suppressLineNumbers w:val="0"/>
        <w:spacing w:before="0" w:beforeAutospacing="0" w:after="0" w:afterAutospacing="0"/>
        <w:ind w:leftChars="0"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3.</w:t>
      </w:r>
      <w:r>
        <w:rPr>
          <w:rFonts w:hint="default" w:ascii="Segoe UI" w:hAnsi="Segoe UI" w:eastAsia="Segoe UI" w:cs="Segoe UI"/>
          <w:b/>
          <w:bCs/>
          <w:i w:val="0"/>
          <w:iCs w:val="0"/>
          <w:caps w:val="0"/>
          <w:color w:val="0F1115"/>
          <w:spacing w:val="0"/>
          <w:sz w:val="24"/>
          <w:szCs w:val="24"/>
          <w:shd w:val="clear" w:fill="FFFFFF"/>
        </w:rPr>
        <w:t>巡检保养</w:t>
      </w:r>
      <w:r>
        <w:rPr>
          <w:rFonts w:hint="default" w:ascii="Segoe UI" w:hAnsi="Segoe UI" w:eastAsia="Segoe UI" w:cs="Segoe UI"/>
          <w:i w:val="0"/>
          <w:iCs w:val="0"/>
          <w:caps w:val="0"/>
          <w:color w:val="0F1115"/>
          <w:spacing w:val="0"/>
          <w:sz w:val="24"/>
          <w:szCs w:val="24"/>
          <w:shd w:val="clear" w:fill="FFFFFF"/>
        </w:rPr>
        <w:t>：</w:t>
      </w:r>
    </w:p>
    <w:p w14:paraId="1E3D536F">
      <w:pPr>
        <w:pStyle w:val="32"/>
        <w:keepNext w:val="0"/>
        <w:keepLines w:val="0"/>
        <w:widowControl/>
        <w:numPr>
          <w:ilvl w:val="0"/>
          <w:numId w:val="0"/>
        </w:numPr>
        <w:suppressLineNumbers w:val="0"/>
        <w:spacing w:before="0" w:beforeAutospacing="0" w:after="0" w:afterAutospacing="0"/>
        <w:ind w:leftChars="0" w:right="0" w:rightChars="0"/>
        <w:rPr>
          <w:rFonts w:hint="eastAsia" w:ascii="Segoe UI" w:hAnsi="Segoe UI" w:cs="Segoe UI"/>
          <w:b/>
          <w:bCs/>
          <w:i w:val="0"/>
          <w:iCs w:val="0"/>
          <w:caps w:val="0"/>
          <w:color w:val="0F1115"/>
          <w:spacing w:val="0"/>
          <w:sz w:val="24"/>
          <w:szCs w:val="24"/>
          <w:shd w:val="clear" w:fill="FFFFFF"/>
          <w:lang w:val="en-US" w:eastAsia="zh-CN"/>
        </w:rPr>
      </w:pPr>
      <w:r>
        <w:rPr>
          <w:rFonts w:hint="eastAsia" w:ascii="Segoe UI" w:hAnsi="Segoe UI" w:cs="Segoe UI"/>
          <w:b/>
          <w:bCs/>
          <w:i w:val="0"/>
          <w:iCs w:val="0"/>
          <w:caps w:val="0"/>
          <w:color w:val="0F1115"/>
          <w:spacing w:val="0"/>
          <w:sz w:val="24"/>
          <w:szCs w:val="24"/>
          <w:shd w:val="clear" w:fill="FFFFFF"/>
          <w:lang w:val="en-US" w:eastAsia="zh-CN"/>
        </w:rPr>
        <w:t>4.</w:t>
      </w:r>
      <w:r>
        <w:rPr>
          <w:rFonts w:hint="default" w:ascii="Segoe UI" w:hAnsi="Segoe UI" w:cs="Segoe UI"/>
          <w:b/>
          <w:bCs/>
          <w:i w:val="0"/>
          <w:iCs w:val="0"/>
          <w:caps w:val="0"/>
          <w:color w:val="0F1115"/>
          <w:spacing w:val="0"/>
          <w:sz w:val="24"/>
          <w:szCs w:val="24"/>
          <w:shd w:val="clear" w:fill="FFFFFF"/>
          <w:lang w:val="en-US" w:eastAsia="zh-CN"/>
        </w:rPr>
        <w:t>违约处罚：</w:t>
      </w:r>
    </w:p>
    <w:p w14:paraId="513843F5">
      <w:pPr>
        <w:pStyle w:val="195"/>
      </w:pPr>
    </w:p>
    <w:p w14:paraId="3B352104">
      <w:pPr>
        <w:pStyle w:val="195"/>
      </w:pPr>
    </w:p>
    <w:p w14:paraId="797EAE8C">
      <w:pPr>
        <w:pStyle w:val="195"/>
      </w:pPr>
    </w:p>
    <w:p w14:paraId="2F8FFBE5">
      <w:pPr>
        <w:pStyle w:val="195"/>
      </w:pPr>
    </w:p>
    <w:p w14:paraId="648EC781">
      <w:pPr>
        <w:pStyle w:val="195"/>
      </w:pPr>
    </w:p>
    <w:p w14:paraId="460F9150">
      <w:pPr>
        <w:pStyle w:val="195"/>
      </w:pPr>
    </w:p>
    <w:p w14:paraId="5ED56512">
      <w:pPr>
        <w:pStyle w:val="195"/>
      </w:pPr>
    </w:p>
    <w:p w14:paraId="4F5E3CB2">
      <w:pPr>
        <w:pStyle w:val="195"/>
      </w:pPr>
    </w:p>
    <w:p w14:paraId="629DBE62">
      <w:pPr>
        <w:pStyle w:val="195"/>
      </w:pPr>
    </w:p>
    <w:p w14:paraId="139023B0">
      <w:pPr>
        <w:pStyle w:val="195"/>
      </w:pPr>
    </w:p>
    <w:p w14:paraId="0C5148CD">
      <w:pPr>
        <w:pStyle w:val="195"/>
      </w:pPr>
    </w:p>
    <w:p w14:paraId="3834989C">
      <w:pPr>
        <w:pStyle w:val="195"/>
      </w:pPr>
    </w:p>
    <w:p w14:paraId="0691F3AA">
      <w:pPr>
        <w:pStyle w:val="195"/>
      </w:pPr>
    </w:p>
    <w:p w14:paraId="45FDC6E9">
      <w:pPr>
        <w:pStyle w:val="195"/>
      </w:pPr>
    </w:p>
    <w:p w14:paraId="10220AD2">
      <w:pPr>
        <w:pStyle w:val="195"/>
      </w:pPr>
    </w:p>
    <w:p w14:paraId="121D39F7">
      <w:pPr>
        <w:pStyle w:val="195"/>
      </w:pPr>
    </w:p>
    <w:p w14:paraId="493D5E8E">
      <w:pPr>
        <w:pStyle w:val="195"/>
      </w:pPr>
    </w:p>
    <w:p w14:paraId="43DF16C7">
      <w:pPr>
        <w:pStyle w:val="195"/>
      </w:pPr>
    </w:p>
    <w:p w14:paraId="195162EE">
      <w:pPr>
        <w:pStyle w:val="195"/>
      </w:pPr>
    </w:p>
    <w:p w14:paraId="0F3A39D0">
      <w:pPr>
        <w:pStyle w:val="195"/>
      </w:pPr>
    </w:p>
    <w:p w14:paraId="1B152F54">
      <w:pPr>
        <w:pStyle w:val="195"/>
      </w:pPr>
    </w:p>
    <w:p w14:paraId="19BB32D7">
      <w:pPr>
        <w:pStyle w:val="195"/>
      </w:pPr>
    </w:p>
    <w:p w14:paraId="0206D135">
      <w:pPr>
        <w:pStyle w:val="195"/>
      </w:pPr>
    </w:p>
    <w:p w14:paraId="7341F970">
      <w:pPr>
        <w:pStyle w:val="195"/>
        <w:ind w:left="0" w:firstLine="0"/>
        <w:rPr>
          <w:rFonts w:hint="eastAsia" w:ascii="仿宋_GB2312" w:hAnsi="仿宋_GB2312" w:eastAsia="仿宋_GB2312" w:cs="仿宋_GB2312"/>
          <w:b w:val="0"/>
          <w:bCs w:val="0"/>
          <w:color w:val="000000"/>
          <w:spacing w:val="7"/>
          <w:sz w:val="32"/>
          <w:szCs w:val="32"/>
          <w:lang w:val="en-US" w:eastAsia="zh-CN"/>
        </w:rPr>
      </w:pPr>
    </w:p>
    <w:sectPr>
      <w:headerReference r:id="rId4" w:type="default"/>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11ECCE-9534-40D8-A6AF-E85773C9FE30}"/>
  </w:font>
  <w:font w:name="黑体">
    <w:panose1 w:val="02010609060101010101"/>
    <w:charset w:val="86"/>
    <w:family w:val="auto"/>
    <w:pitch w:val="default"/>
    <w:sig w:usb0="800002BF" w:usb1="38CF7CFA" w:usb2="00000016" w:usb3="00000000" w:csb0="00040001" w:csb1="00000000"/>
    <w:embedRegular r:id="rId2" w:fontKey="{225A704C-4E31-40B2-99F0-366C03D60A59}"/>
  </w:font>
  <w:font w:name="Courier New">
    <w:panose1 w:val="02070309020205020404"/>
    <w:charset w:val="01"/>
    <w:family w:val="modern"/>
    <w:pitch w:val="default"/>
    <w:sig w:usb0="E0002EFF" w:usb1="C0007843" w:usb2="00000009" w:usb3="00000000" w:csb0="400001FF" w:csb1="FFFF0000"/>
    <w:embedRegular r:id="rId3" w:fontKey="{FBC2BBB7-0685-4CE0-B2B7-85636D97B21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51576C00-2FC3-45E0-8B52-5CD18DE6D3D1}"/>
  </w:font>
  <w:font w:name="仿宋">
    <w:panose1 w:val="02010609060101010101"/>
    <w:charset w:val="86"/>
    <w:family w:val="auto"/>
    <w:pitch w:val="default"/>
    <w:sig w:usb0="800002BF" w:usb1="38CF7CFA" w:usb2="00000016" w:usb3="00000000" w:csb0="00040001" w:csb1="00000000"/>
    <w:embedRegular r:id="rId5" w:fontKey="{E67F9D34-720D-4ED1-9C5D-AD581F36A3A7}"/>
  </w:font>
  <w:font w:name="仿宋_GB2312">
    <w:panose1 w:val="02010609030101010101"/>
    <w:charset w:val="86"/>
    <w:family w:val="auto"/>
    <w:pitch w:val="default"/>
    <w:sig w:usb0="00000001" w:usb1="080E0000" w:usb2="00000000" w:usb3="00000000" w:csb0="00040000" w:csb1="00000000"/>
    <w:embedRegular r:id="rId6" w:fontKey="{DC93CD43-6261-4147-AF53-3E276991245A}"/>
  </w:font>
  <w:font w:name="Segoe UI">
    <w:panose1 w:val="020B0502040204020203"/>
    <w:charset w:val="00"/>
    <w:family w:val="auto"/>
    <w:pitch w:val="default"/>
    <w:sig w:usb0="E4002EFF" w:usb1="C000E47F" w:usb2="00000009" w:usb3="00000000" w:csb0="200001FF" w:csb1="00000000"/>
    <w:embedRegular r:id="rId7" w:fontKey="{A439BED9-B5C9-4401-9C44-A27AEFD7EAE5}"/>
  </w:font>
  <w:font w:name="方正小标宋简体">
    <w:panose1 w:val="02010600010101010101"/>
    <w:charset w:val="86"/>
    <w:family w:val="auto"/>
    <w:pitch w:val="default"/>
    <w:sig w:usb0="00000001" w:usb1="080E0000" w:usb2="00000000" w:usb3="00000000" w:csb0="00040000" w:csb1="00000000"/>
    <w:embedRegular r:id="rId8" w:fontKey="{9BE4AE50-02DE-4982-B094-216FDE262F78}"/>
  </w:font>
  <w:font w:name="MS Mincho">
    <w:panose1 w:val="02020609040205080304"/>
    <w:charset w:val="80"/>
    <w:family w:val="auto"/>
    <w:pitch w:val="default"/>
    <w:sig w:usb0="A00002BF" w:usb1="68C7FCFB" w:usb2="00000010" w:usb3="00000000" w:csb0="4002009F" w:csb1="DFD70000"/>
    <w:embedRegular r:id="rId9" w:fontKey="{1CF8B733-CF9C-4244-89BB-ECDF7D611950}"/>
  </w:font>
  <w:font w:name="Arial">
    <w:panose1 w:val="020B0604020202020204"/>
    <w:charset w:val="00"/>
    <w:family w:val="auto"/>
    <w:pitch w:val="default"/>
    <w:sig w:usb0="E0002EFF" w:usb1="C000785B" w:usb2="00000009" w:usb3="00000000" w:csb0="400001FF" w:csb1="FFFF0000"/>
    <w:embedRegular r:id="rId10" w:fontKey="{37C722D2-C290-4196-8410-F4E202C10A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511E8">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txbx>
                      <w:txbxContent>
                        <w:p w14:paraId="53174BB8">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M1F99CAgAAfQQAAA4AAAAAAAAAAQAgAAAAHwEAAGRy&#10;cy9lMm9Eb2MueG1sUEsFBgAAAAAGAAYAWQEAANMFAAAAAA==&#10;">
              <v:fill on="f" focussize="0,0"/>
              <v:stroke on="f" weight="0.5pt"/>
              <v:imagedata o:title=""/>
              <o:lock v:ext="edit" aspectratio="f"/>
              <v:textbox inset="0mm,0mm,0mm,0mm" style="mso-fit-shape-to-text:t;">
                <w:txbxContent>
                  <w:p w14:paraId="53174BB8">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85965">
    <w:pPr>
      <w:spacing w:before="43" w:line="213" w:lineRule="auto"/>
      <w:ind w:left="4408"/>
      <w:rPr>
        <w:rFonts w:ascii="MS Mincho" w:hAnsi="MS Mincho" w:eastAsia="MS Mincho" w:cs="MS Mincho"/>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EDFF"/>
    <w:multiLevelType w:val="multilevel"/>
    <w:tmpl w:val="4646EDFF"/>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D3574D"/>
    <w:rsid w:val="1B7E43A7"/>
    <w:rsid w:val="3B726827"/>
    <w:rsid w:val="41B74699"/>
    <w:rsid w:val="692757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169"/>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sz w:val="27"/>
      <w:szCs w:val="27"/>
      <w:lang w:val="en-US" w:eastAsia="zh-CN" w:bidi="ar"/>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qFormat/>
    <w:uiPriority w:val="0"/>
  </w:style>
  <w:style w:type="table" w:default="1" w:styleId="34">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99"/>
    <w:pPr>
      <w:ind w:firstLine="420"/>
    </w:pPr>
    <w:rPr>
      <w:rFonts w:ascii="Calibri" w:hAnsi="Calibri"/>
      <w:szCs w:val="20"/>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qFormat/>
    <w:uiPriority w:val="0"/>
    <w:pPr>
      <w:jc w:val="left"/>
    </w:pPr>
  </w:style>
  <w:style w:type="paragraph" w:styleId="15">
    <w:name w:val="Body Text"/>
    <w:basedOn w:val="1"/>
    <w:qFormat/>
    <w:uiPriority w:val="0"/>
    <w:pPr>
      <w:spacing w:line="380" w:lineRule="exact"/>
    </w:pPr>
    <w:rPr>
      <w:rFonts w:ascii="Times New Roman" w:hAnsi="Times New Roman"/>
      <w:sz w:val="24"/>
      <w:szCs w:val="24"/>
    </w:rPr>
  </w:style>
  <w:style w:type="paragraph" w:styleId="16">
    <w:name w:val="Block Text"/>
    <w:basedOn w:val="1"/>
    <w:unhideWhenUsed/>
    <w:qFormat/>
    <w:uiPriority w:val="99"/>
    <w:pPr>
      <w:spacing w:after="120" w:afterAutospacing="0"/>
      <w:ind w:left="144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qFormat/>
    <w:uiPriority w:val="0"/>
    <w:rPr>
      <w:rFonts w:ascii="宋体" w:cs="Courier New"/>
      <w:szCs w:val="21"/>
    </w:rPr>
  </w:style>
  <w:style w:type="paragraph" w:styleId="20">
    <w:name w:val="toc 8"/>
    <w:basedOn w:val="1"/>
    <w:next w:val="1"/>
    <w:unhideWhenUsed/>
    <w:qFormat/>
    <w:uiPriority w:val="39"/>
    <w:pPr>
      <w:spacing w:after="100"/>
      <w:ind w:left="1540"/>
    </w:pPr>
  </w:style>
  <w:style w:type="paragraph" w:styleId="21">
    <w:name w:val="endnote text"/>
    <w:basedOn w:val="1"/>
    <w:link w:val="192"/>
    <w:semiHidden/>
    <w:unhideWhenUsed/>
    <w:qFormat/>
    <w:uiPriority w:val="99"/>
    <w:pPr>
      <w:spacing w:after="0" w:line="240" w:lineRule="auto"/>
    </w:pPr>
    <w:rPr>
      <w:sz w:val="20"/>
      <w:szCs w:val="20"/>
    </w:rPr>
  </w:style>
  <w:style w:type="paragraph" w:styleId="22">
    <w:name w:val="footer"/>
    <w:basedOn w:val="1"/>
    <w:qFormat/>
    <w:uiPriority w:val="0"/>
    <w:pPr>
      <w:tabs>
        <w:tab w:val="center" w:pos="4153"/>
        <w:tab w:val="right" w:pos="8306"/>
      </w:tabs>
      <w:jc w:val="left"/>
    </w:pPr>
    <w:rPr>
      <w:sz w:val="18"/>
    </w:rPr>
  </w:style>
  <w:style w:type="paragraph" w:styleId="2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styleId="24">
    <w:name w:val="toc 1"/>
    <w:basedOn w:val="1"/>
    <w:next w:val="1"/>
    <w:unhideWhenUsed/>
    <w:qFormat/>
    <w:uiPriority w:val="39"/>
  </w:style>
  <w:style w:type="paragraph" w:styleId="25">
    <w:name w:val="toc 4"/>
    <w:basedOn w:val="1"/>
    <w:next w:val="1"/>
    <w:unhideWhenUsed/>
    <w:qFormat/>
    <w:uiPriority w:val="39"/>
    <w:pPr>
      <w:spacing w:after="100"/>
      <w:ind w:left="660"/>
    </w:pPr>
  </w:style>
  <w:style w:type="paragraph" w:styleId="26">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1"/>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qFormat/>
    <w:uiPriority w:val="0"/>
    <w:rPr>
      <w:sz w:val="24"/>
    </w:rPr>
  </w:style>
  <w:style w:type="paragraph" w:styleId="33">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table" w:styleId="35">
    <w:name w:val="Table Grid"/>
    <w:basedOn w:val="34"/>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0"/>
    <w:rPr>
      <w:b/>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qFormat/>
    <w:uiPriority w:val="0"/>
    <w:rPr>
      <w:color w:val="0000FF"/>
      <w:u w:val="single"/>
    </w:rPr>
  </w:style>
  <w:style w:type="character" w:styleId="42">
    <w:name w:val="footnote reference"/>
    <w:basedOn w:val="36"/>
    <w:semiHidden/>
    <w:unhideWhenUsed/>
    <w:qFormat/>
    <w:uiPriority w:val="99"/>
    <w:rPr>
      <w:vertAlign w:val="superscript"/>
    </w:rPr>
  </w:style>
  <w:style w:type="table" w:customStyle="1" w:styleId="43">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8">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9">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0">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1">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2">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3">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5">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6">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7">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8">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9">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0">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2">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3">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4">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5">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6">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7">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9">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0">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1">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2">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3">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1">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7">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8">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5">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7">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8">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9">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0">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1">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2">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8">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9">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0">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1">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2">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3">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5">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2">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9">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0">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1">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2">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3">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4">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6">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7">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8">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9">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0">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1">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6"/>
    <w:qFormat/>
    <w:uiPriority w:val="9"/>
    <w:rPr>
      <w:rFonts w:ascii="Arial" w:hAnsi="Arial" w:eastAsia="Arial" w:cs="Arial"/>
      <w:color w:val="376092" w:themeColor="accent1" w:themeShade="BF"/>
      <w:sz w:val="40"/>
      <w:szCs w:val="40"/>
    </w:rPr>
  </w:style>
  <w:style w:type="character" w:customStyle="1" w:styleId="169">
    <w:name w:val="Heading 2 Char"/>
    <w:basedOn w:val="36"/>
    <w:link w:val="3"/>
    <w:qFormat/>
    <w:uiPriority w:val="9"/>
    <w:rPr>
      <w:rFonts w:ascii="Arial" w:hAnsi="Arial" w:eastAsia="Arial" w:cs="Arial"/>
      <w:color w:val="376092" w:themeColor="accent1" w:themeShade="BF"/>
      <w:sz w:val="32"/>
      <w:szCs w:val="32"/>
    </w:rPr>
  </w:style>
  <w:style w:type="character" w:customStyle="1" w:styleId="170">
    <w:name w:val="Heading 3 Char"/>
    <w:basedOn w:val="36"/>
    <w:qFormat/>
    <w:uiPriority w:val="9"/>
    <w:rPr>
      <w:rFonts w:ascii="Arial" w:hAnsi="Arial" w:eastAsia="Arial" w:cs="Arial"/>
      <w:color w:val="376092" w:themeColor="accent1" w:themeShade="BF"/>
      <w:sz w:val="28"/>
      <w:szCs w:val="28"/>
    </w:rPr>
  </w:style>
  <w:style w:type="character" w:customStyle="1" w:styleId="171">
    <w:name w:val="Heading 4 Char"/>
    <w:basedOn w:val="36"/>
    <w:link w:val="5"/>
    <w:qFormat/>
    <w:uiPriority w:val="9"/>
    <w:rPr>
      <w:rFonts w:ascii="Arial" w:hAnsi="Arial" w:eastAsia="Arial" w:cs="Arial"/>
      <w:i/>
      <w:iCs/>
      <w:color w:val="376092" w:themeColor="accent1" w:themeShade="BF"/>
    </w:rPr>
  </w:style>
  <w:style w:type="character" w:customStyle="1" w:styleId="172">
    <w:name w:val="Heading 5 Char"/>
    <w:basedOn w:val="36"/>
    <w:link w:val="6"/>
    <w:qFormat/>
    <w:uiPriority w:val="9"/>
    <w:rPr>
      <w:rFonts w:ascii="Arial" w:hAnsi="Arial" w:eastAsia="Arial" w:cs="Arial"/>
      <w:color w:val="376092" w:themeColor="accent1" w:themeShade="BF"/>
    </w:rPr>
  </w:style>
  <w:style w:type="character" w:customStyle="1" w:styleId="173">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6"/>
    <w:link w:val="33"/>
    <w:qFormat/>
    <w:uiPriority w:val="10"/>
    <w:rPr>
      <w:rFonts w:ascii="Arial" w:hAnsi="Arial" w:eastAsia="Arial" w:cs="Arial"/>
      <w:spacing w:val="-10"/>
      <w:sz w:val="56"/>
      <w:szCs w:val="56"/>
    </w:rPr>
  </w:style>
  <w:style w:type="character" w:customStyle="1" w:styleId="178">
    <w:name w:val="Subtitle Char"/>
    <w:basedOn w:val="36"/>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6"/>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6"/>
    <w:qFormat/>
    <w:uiPriority w:val="21"/>
    <w:rPr>
      <w:i/>
      <w:iCs/>
      <w:color w:val="376092" w:themeColor="accent1" w:themeShade="BF"/>
    </w:rPr>
  </w:style>
  <w:style w:type="paragraph" w:styleId="182">
    <w:name w:val="Intense Quote"/>
    <w:basedOn w:val="1"/>
    <w:next w:val="1"/>
    <w:link w:val="18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3">
    <w:name w:val="Intense Quote Char"/>
    <w:basedOn w:val="36"/>
    <w:link w:val="182"/>
    <w:qFormat/>
    <w:uiPriority w:val="30"/>
    <w:rPr>
      <w:i/>
      <w:iCs/>
      <w:color w:val="376092" w:themeColor="accent1" w:themeShade="BF"/>
    </w:rPr>
  </w:style>
  <w:style w:type="character" w:customStyle="1" w:styleId="184">
    <w:name w:val="Intense Reference"/>
    <w:basedOn w:val="36"/>
    <w:qFormat/>
    <w:uiPriority w:val="32"/>
    <w:rPr>
      <w:b/>
      <w:bCs/>
      <w:smallCaps/>
      <w:color w:val="376092"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6"/>
    <w:qFormat/>
    <w:uiPriority w:val="33"/>
    <w:rPr>
      <w:b/>
      <w:bCs/>
      <w:i/>
      <w:iCs/>
      <w:spacing w:val="5"/>
    </w:rPr>
  </w:style>
  <w:style w:type="character" w:customStyle="1" w:styleId="189">
    <w:name w:val="Header Char"/>
    <w:basedOn w:val="36"/>
    <w:qFormat/>
    <w:uiPriority w:val="99"/>
  </w:style>
  <w:style w:type="character" w:customStyle="1" w:styleId="190">
    <w:name w:val="Footer Char"/>
    <w:basedOn w:val="36"/>
    <w:qFormat/>
    <w:uiPriority w:val="99"/>
  </w:style>
  <w:style w:type="character" w:customStyle="1" w:styleId="191">
    <w:name w:val="Footnote Text Char"/>
    <w:basedOn w:val="36"/>
    <w:link w:val="27"/>
    <w:semiHidden/>
    <w:qFormat/>
    <w:uiPriority w:val="99"/>
    <w:rPr>
      <w:sz w:val="20"/>
      <w:szCs w:val="20"/>
    </w:rPr>
  </w:style>
  <w:style w:type="character" w:customStyle="1" w:styleId="192">
    <w:name w:val="Endnote Text Char"/>
    <w:basedOn w:val="36"/>
    <w:link w:val="21"/>
    <w:semiHidden/>
    <w:qFormat/>
    <w:uiPriority w:val="99"/>
    <w:rPr>
      <w:sz w:val="20"/>
      <w:szCs w:val="20"/>
    </w:rPr>
  </w:style>
  <w:style w:type="character" w:styleId="193">
    <w:name w:val="Placeholder Text"/>
    <w:basedOn w:val="36"/>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paragraph" w:customStyle="1" w:styleId="195">
    <w:name w:val="首行缩进"/>
    <w:basedOn w:val="1"/>
    <w:qFormat/>
    <w:uiPriority w:val="0"/>
    <w:pPr>
      <w:spacing w:line="360" w:lineRule="auto"/>
      <w:ind w:firstLine="480"/>
      <w:jc w:val="left"/>
    </w:pPr>
    <w:rPr>
      <w:sz w:val="24"/>
      <w:szCs w:val="20"/>
    </w:rPr>
  </w:style>
  <w:style w:type="character" w:customStyle="1" w:styleId="196">
    <w:name w:val="font71"/>
    <w:basedOn w:val="36"/>
    <w:qFormat/>
    <w:uiPriority w:val="0"/>
    <w:rPr>
      <w:rFonts w:ascii="Arial" w:hAnsi="Arial" w:cs="Arial"/>
      <w:color w:val="000000"/>
      <w:sz w:val="18"/>
      <w:szCs w:val="18"/>
      <w:u w:val="none"/>
    </w:rPr>
  </w:style>
  <w:style w:type="table" w:customStyle="1" w:styleId="197">
    <w:name w:val="Table Normal"/>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8">
    <w:name w:val="font41"/>
    <w:basedOn w:val="36"/>
    <w:qFormat/>
    <w:uiPriority w:val="0"/>
    <w:rPr>
      <w:rFonts w:hint="eastAsia" w:ascii="宋体" w:hAnsi="宋体" w:eastAsia="宋体" w:cs="宋体"/>
      <w:color w:val="000000"/>
      <w:sz w:val="22"/>
      <w:szCs w:val="22"/>
      <w:u w:val="none"/>
    </w:rPr>
  </w:style>
  <w:style w:type="paragraph" w:styleId="199">
    <w:name w:val="List Paragraph"/>
    <w:basedOn w:val="1"/>
    <w:qFormat/>
    <w:uiPriority w:val="34"/>
    <w:pPr>
      <w:ind w:firstLine="420"/>
    </w:pPr>
  </w:style>
  <w:style w:type="character" w:customStyle="1" w:styleId="200">
    <w:name w:val="fontstyle01"/>
    <w:qFormat/>
    <w:uiPriority w:val="0"/>
    <w:rPr>
      <w:rFonts w:hint="eastAsia" w:ascii="宋体" w:hAnsi="宋体" w:eastAsia="宋体"/>
      <w:color w:val="000000"/>
      <w:sz w:val="22"/>
      <w:szCs w:val="22"/>
    </w:rPr>
  </w:style>
  <w:style w:type="paragraph" w:customStyle="1" w:styleId="201">
    <w:name w:val="Table Text"/>
    <w:basedOn w:val="1"/>
    <w:semiHidden/>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6451</Words>
  <Characters>6989</Characters>
  <TotalTime>2</TotalTime>
  <ScaleCrop>false</ScaleCrop>
  <LinksUpToDate>false</LinksUpToDate>
  <CharactersWithSpaces>7328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2026-06-15T12:01:00Z</dcterms:created>
  <dc:creator>DELL</dc:creator>
  <cp:lastModifiedBy>文军</cp:lastModifiedBy>
  <dcterms:modified xsi:type="dcterms:W3CDTF">2026-07-22T00:53:20Z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eyJoZGlkIjoiZGY3NDY0ODlmOWYyYjI3YTFjYmRmOTg5OWUyNTNkYWUiLCJ1c2VySWQiOiIyNDYwODA3NDUifQ==</vt:lpwstr>
  </property>
  <property fmtid="{D5CDD505-2E9C-101B-9397-08002B2CF9AE}" pid="3" name="KSOProductBuildVer">
    <vt:lpwstr>2052-12.1.0.26895</vt:lpwstr>
  </property>
  <property fmtid="{D5CDD505-2E9C-101B-9397-08002B2CF9AE}" pid="4" name="ICV">
    <vt:lpwstr>17E35E56DE4146D18EBE5CA103AD7007_13</vt:lpwstr>
  </property>
</Properties>
</file>