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4D9A4">
      <w:pPr>
        <w:jc w:val="center"/>
        <w:rPr>
          <w:rFonts w:ascii="仿宋" w:hAnsi="仿宋" w:eastAsia="仿宋" w:cs="仿宋"/>
        </w:rPr>
      </w:pPr>
    </w:p>
    <w:p w14:paraId="5F5E13BC">
      <w:pPr>
        <w:jc w:val="center"/>
        <w:rPr>
          <w:rFonts w:ascii="仿宋" w:hAnsi="仿宋" w:eastAsia="仿宋" w:cs="仿宋"/>
        </w:rPr>
      </w:pPr>
    </w:p>
    <w:p w14:paraId="3728051D">
      <w:pPr>
        <w:jc w:val="center"/>
        <w:rPr>
          <w:rFonts w:ascii="仿宋" w:hAnsi="仿宋" w:eastAsia="仿宋" w:cs="仿宋"/>
        </w:rPr>
      </w:pPr>
    </w:p>
    <w:p w14:paraId="15590001">
      <w:pPr>
        <w:jc w:val="center"/>
        <w:rPr>
          <w:rFonts w:ascii="仿宋" w:hAnsi="仿宋" w:eastAsia="仿宋" w:cs="仿宋"/>
        </w:rPr>
      </w:pPr>
    </w:p>
    <w:p w14:paraId="1261F15F">
      <w:pPr>
        <w:jc w:val="center"/>
        <w:rPr>
          <w:rFonts w:ascii="仿宋" w:hAnsi="仿宋" w:eastAsia="仿宋" w:cs="仿宋"/>
        </w:rPr>
      </w:pPr>
    </w:p>
    <w:p w14:paraId="5275762B">
      <w:pPr>
        <w:jc w:val="center"/>
        <w:rPr>
          <w:rFonts w:ascii="仿宋" w:hAnsi="仿宋" w:eastAsia="仿宋" w:cs="仿宋"/>
        </w:rPr>
      </w:pPr>
    </w:p>
    <w:p w14:paraId="7F433359">
      <w:pPr>
        <w:jc w:val="center"/>
        <w:rPr>
          <w:rFonts w:ascii="仿宋" w:hAnsi="仿宋" w:eastAsia="仿宋" w:cs="仿宋"/>
        </w:rPr>
      </w:pPr>
    </w:p>
    <w:p w14:paraId="5015D478">
      <w:pPr>
        <w:jc w:val="center"/>
        <w:rPr>
          <w:rFonts w:ascii="仿宋" w:hAnsi="仿宋" w:eastAsia="仿宋" w:cs="仿宋"/>
        </w:rPr>
      </w:pPr>
    </w:p>
    <w:p w14:paraId="7084D23D">
      <w:pPr>
        <w:pStyle w:val="6"/>
      </w:pPr>
    </w:p>
    <w:p w14:paraId="3282556A">
      <w:pPr>
        <w:jc w:val="center"/>
        <w:rPr>
          <w:rFonts w:ascii="仿宋" w:hAnsi="仿宋" w:eastAsia="仿宋" w:cs="仿宋"/>
        </w:rPr>
      </w:pPr>
    </w:p>
    <w:p w14:paraId="4D1382AC">
      <w:pPr>
        <w:spacing w:line="586" w:lineRule="exact"/>
        <w:jc w:val="center"/>
        <w:rPr>
          <w:rFonts w:ascii="黑体" w:hAnsi="黑体" w:eastAsia="黑体" w:cs="黑体"/>
          <w:sz w:val="44"/>
          <w:szCs w:val="44"/>
        </w:rPr>
      </w:pPr>
    </w:p>
    <w:p w14:paraId="0088DF0C">
      <w:pPr>
        <w:spacing w:line="586"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spacing w:val="-20"/>
          <w:sz w:val="44"/>
          <w:szCs w:val="44"/>
        </w:rPr>
        <w:t>广西卫生职业技术学院桃源校区电梯</w:t>
      </w:r>
      <w:r>
        <w:rPr>
          <w:rFonts w:hint="eastAsia" w:ascii="方正小标宋简体" w:hAnsi="方正小标宋简体" w:eastAsia="方正小标宋简体" w:cs="方正小标宋简体"/>
          <w:sz w:val="44"/>
          <w:szCs w:val="44"/>
        </w:rPr>
        <w:t>采购（含拆卸旧梯）</w:t>
      </w:r>
    </w:p>
    <w:p w14:paraId="1DE18BAE">
      <w:pPr>
        <w:rPr>
          <w:rFonts w:ascii="仿宋" w:hAnsi="仿宋" w:eastAsia="仿宋" w:cs="仿宋"/>
        </w:rPr>
      </w:pPr>
    </w:p>
    <w:p w14:paraId="70B84E27">
      <w:pPr>
        <w:rPr>
          <w:rFonts w:ascii="仿宋" w:hAnsi="仿宋" w:eastAsia="仿宋" w:cs="仿宋"/>
        </w:rPr>
      </w:pPr>
    </w:p>
    <w:p w14:paraId="699B1F7F">
      <w:pPr>
        <w:pStyle w:val="6"/>
        <w:rPr>
          <w:rFonts w:ascii="仿宋" w:hAnsi="仿宋" w:eastAsia="仿宋" w:cs="仿宋"/>
        </w:rPr>
      </w:pPr>
    </w:p>
    <w:p w14:paraId="7F142DF7">
      <w:pPr>
        <w:rPr>
          <w:rFonts w:ascii="仿宋" w:hAnsi="仿宋" w:eastAsia="仿宋" w:cs="仿宋"/>
        </w:rPr>
      </w:pPr>
    </w:p>
    <w:p w14:paraId="44344CF9">
      <w:pPr>
        <w:pStyle w:val="6"/>
        <w:rPr>
          <w:rFonts w:ascii="仿宋" w:hAnsi="仿宋" w:eastAsia="仿宋" w:cs="仿宋"/>
        </w:rPr>
      </w:pPr>
    </w:p>
    <w:p w14:paraId="2579CA32">
      <w:pPr>
        <w:rPr>
          <w:rFonts w:ascii="仿宋" w:hAnsi="仿宋" w:eastAsia="仿宋" w:cs="仿宋"/>
        </w:rPr>
      </w:pPr>
    </w:p>
    <w:p w14:paraId="7ED8DCDB">
      <w:pPr>
        <w:pStyle w:val="6"/>
        <w:jc w:val="both"/>
        <w:rPr>
          <w:rFonts w:hint="eastAsia" w:ascii="仿宋" w:hAnsi="仿宋" w:eastAsia="仿宋" w:cs="仿宋"/>
        </w:rPr>
      </w:pPr>
    </w:p>
    <w:p w14:paraId="609DC5A0">
      <w:pPr>
        <w:rPr>
          <w:rFonts w:ascii="仿宋" w:hAnsi="仿宋" w:eastAsia="仿宋" w:cs="仿宋"/>
        </w:rPr>
      </w:pPr>
    </w:p>
    <w:p w14:paraId="1FB385EF">
      <w:pPr>
        <w:jc w:val="center"/>
        <w:rPr>
          <w:rFonts w:ascii="仿宋_GB2312" w:hAnsi="仿宋_GB2312" w:eastAsia="仿宋_GB2312" w:cs="仿宋_GB2312"/>
        </w:rPr>
      </w:pPr>
      <w:r>
        <w:rPr>
          <w:rFonts w:hint="eastAsia" w:ascii="仿宋_GB2312" w:hAnsi="仿宋_GB2312" w:eastAsia="仿宋_GB2312" w:cs="仿宋_GB2312"/>
          <w:sz w:val="30"/>
          <w:szCs w:val="30"/>
        </w:rPr>
        <w:t>项目名称：广西卫生职业技术学院桃源校区电梯采购（含拆卸旧梯）</w:t>
      </w:r>
      <w:r>
        <w:rPr>
          <w:rFonts w:hint="eastAsia" w:ascii="仿宋_GB2312" w:hAnsi="仿宋_GB2312" w:eastAsia="仿宋_GB2312" w:cs="仿宋_GB2312"/>
          <w:spacing w:val="45"/>
          <w:sz w:val="30"/>
          <w:szCs w:val="30"/>
        </w:rPr>
        <w:t xml:space="preserve"> </w:t>
      </w:r>
      <w:r>
        <w:rPr>
          <w:rFonts w:hint="eastAsia" w:ascii="仿宋_GB2312" w:hAnsi="仿宋_GB2312" w:eastAsia="仿宋_GB2312" w:cs="仿宋_GB2312"/>
          <w:sz w:val="30"/>
          <w:szCs w:val="30"/>
        </w:rPr>
        <w:t>采购单位：广西卫生职业技术学院</w:t>
      </w:r>
    </w:p>
    <w:p w14:paraId="4525F080">
      <w:pPr>
        <w:rPr>
          <w:rFonts w:ascii="仿宋" w:hAnsi="仿宋" w:eastAsia="仿宋" w:cs="仿宋"/>
        </w:rPr>
      </w:pPr>
    </w:p>
    <w:p w14:paraId="5B882DB3">
      <w:pPr>
        <w:rPr>
          <w:rFonts w:ascii="仿宋" w:hAnsi="仿宋" w:eastAsia="仿宋" w:cs="仿宋"/>
        </w:rPr>
      </w:pPr>
    </w:p>
    <w:p w14:paraId="124E05A5">
      <w:pPr>
        <w:jc w:val="center"/>
        <w:rPr>
          <w:rFonts w:ascii="仿宋" w:hAnsi="仿宋" w:eastAsia="仿宋" w:cs="仿宋"/>
          <w:b/>
          <w:bCs/>
          <w:sz w:val="32"/>
          <w:szCs w:val="32"/>
        </w:rPr>
        <w:sectPr>
          <w:pgSz w:w="11906" w:h="16838"/>
          <w:pgMar w:top="1440" w:right="1486" w:bottom="1440" w:left="1800" w:header="851" w:footer="992" w:gutter="0"/>
          <w:cols w:space="425" w:num="1"/>
          <w:docGrid w:type="lines" w:linePitch="312" w:charSpace="0"/>
        </w:sectPr>
      </w:pPr>
    </w:p>
    <w:p w14:paraId="563B47B5">
      <w:pPr>
        <w:jc w:val="center"/>
        <w:rPr>
          <w:rFonts w:ascii="仿宋" w:hAnsi="仿宋" w:eastAsia="仿宋" w:cs="仿宋"/>
          <w:b/>
          <w:bCs/>
        </w:rPr>
      </w:pPr>
      <w:r>
        <w:rPr>
          <w:rFonts w:hint="eastAsia" w:ascii="仿宋" w:hAnsi="仿宋" w:eastAsia="仿宋" w:cs="仿宋"/>
          <w:b/>
          <w:bCs/>
          <w:sz w:val="32"/>
          <w:szCs w:val="32"/>
        </w:rPr>
        <w:t>采购需求表</w:t>
      </w:r>
    </w:p>
    <w:tbl>
      <w:tblPr>
        <w:tblStyle w:val="1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2312"/>
        <w:gridCol w:w="568"/>
        <w:gridCol w:w="6563"/>
      </w:tblGrid>
      <w:tr w14:paraId="5A5D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5" w:type="dxa"/>
            <w:gridSpan w:val="4"/>
          </w:tcPr>
          <w:p w14:paraId="3B3AD082">
            <w:pPr>
              <w:rPr>
                <w:rFonts w:ascii="宋体" w:hAnsi="宋体" w:eastAsia="宋体" w:cs="宋体"/>
                <w:b/>
                <w:bCs/>
              </w:rPr>
            </w:pPr>
            <w:r>
              <w:rPr>
                <w:rFonts w:hint="eastAsia" w:ascii="宋体" w:hAnsi="宋体" w:eastAsia="宋体" w:cs="宋体"/>
                <w:b/>
                <w:bCs/>
              </w:rPr>
              <w:t>注：本表价格单位为人民币元。</w:t>
            </w:r>
          </w:p>
        </w:tc>
      </w:tr>
      <w:tr w14:paraId="1D97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5" w:type="dxa"/>
            <w:gridSpan w:val="4"/>
          </w:tcPr>
          <w:p w14:paraId="5D40E4D5">
            <w:pPr>
              <w:rPr>
                <w:rFonts w:ascii="宋体" w:hAnsi="宋体" w:eastAsia="宋体" w:cs="宋体"/>
                <w:b/>
                <w:bCs/>
              </w:rPr>
            </w:pPr>
            <w:r>
              <w:rPr>
                <w:rFonts w:hint="eastAsia"/>
                <w:b/>
              </w:rPr>
              <w:t>采购</w:t>
            </w:r>
            <w:r>
              <w:rPr>
                <w:b/>
              </w:rPr>
              <w:t>需求表中标注</w:t>
            </w:r>
            <w:r>
              <w:rPr>
                <w:rFonts w:hint="eastAsia" w:hAnsi="宋体" w:cs="宋体"/>
                <w:b/>
                <w:bCs/>
                <w:kern w:val="0"/>
              </w:rPr>
              <w:t>▲</w:t>
            </w:r>
            <w:r>
              <w:rPr>
                <w:b/>
              </w:rPr>
              <w:t>号的内容为实质性要求和条件，必须完全响应，否则按无效投标处理。</w:t>
            </w:r>
          </w:p>
        </w:tc>
      </w:tr>
      <w:tr w14:paraId="09F7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5" w:type="dxa"/>
            <w:gridSpan w:val="4"/>
          </w:tcPr>
          <w:p w14:paraId="5D4DBA76">
            <w:pPr>
              <w:rPr>
                <w:b/>
              </w:rPr>
            </w:pPr>
            <w:r>
              <w:rPr>
                <w:rFonts w:hint="eastAsia" w:ascii="宋体" w:hAnsi="宋体"/>
                <w:b/>
                <w:bCs/>
              </w:rPr>
              <w:t>本次采购内容主要包括：旧梯拆除工程、新梯采购、安装维护服务等</w:t>
            </w:r>
          </w:p>
        </w:tc>
      </w:tr>
      <w:tr w14:paraId="1B29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975" w:type="dxa"/>
            <w:gridSpan w:val="4"/>
            <w:vAlign w:val="center"/>
          </w:tcPr>
          <w:p w14:paraId="692713A5">
            <w:pPr>
              <w:jc w:val="center"/>
              <w:rPr>
                <w:rFonts w:ascii="宋体" w:hAnsi="宋体" w:eastAsia="宋体" w:cs="宋体"/>
                <w:b/>
                <w:bCs/>
              </w:rPr>
            </w:pPr>
            <w:r>
              <w:rPr>
                <w:rFonts w:hint="eastAsia" w:ascii="宋体" w:hAnsi="宋体" w:eastAsia="宋体" w:cs="宋体"/>
                <w:b/>
                <w:bCs/>
              </w:rPr>
              <w:t>一、项目要求及技术需求</w:t>
            </w:r>
          </w:p>
        </w:tc>
      </w:tr>
      <w:tr w14:paraId="0096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75" w:type="dxa"/>
            <w:gridSpan w:val="4"/>
          </w:tcPr>
          <w:p w14:paraId="266B61E0">
            <w:pPr>
              <w:spacing w:line="360" w:lineRule="auto"/>
              <w:jc w:val="left"/>
              <w:rPr>
                <w:rFonts w:ascii="宋体" w:hAnsi="宋体" w:eastAsia="宋体" w:cs="宋体"/>
                <w:b/>
                <w:bCs/>
                <w:sz w:val="28"/>
                <w:szCs w:val="28"/>
              </w:rPr>
            </w:pPr>
            <w:r>
              <w:rPr>
                <w:rFonts w:hint="eastAsia" w:ascii="宋体" w:hAnsi="宋体" w:eastAsia="宋体" w:cs="宋体"/>
                <w:b/>
                <w:bCs/>
                <w:sz w:val="22"/>
                <w:szCs w:val="22"/>
              </w:rPr>
              <w:t>预算总价：</w:t>
            </w:r>
            <w:r>
              <w:rPr>
                <w:rFonts w:hint="eastAsia" w:ascii="宋体" w:hAnsi="宋体" w:eastAsia="宋体" w:cs="宋体"/>
                <w:b/>
                <w:bCs/>
                <w:szCs w:val="21"/>
              </w:rPr>
              <w:t>人民币  肆拾玖万捌仟元整（￥ 49.8万元）</w:t>
            </w:r>
          </w:p>
        </w:tc>
      </w:tr>
      <w:tr w14:paraId="7420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32" w:type="dxa"/>
            <w:vAlign w:val="center"/>
          </w:tcPr>
          <w:p w14:paraId="2B7E7D29">
            <w:pPr>
              <w:spacing w:line="300" w:lineRule="exact"/>
              <w:jc w:val="center"/>
              <w:rPr>
                <w:rFonts w:ascii="宋体" w:hAnsi="宋体" w:eastAsia="宋体" w:cs="宋体"/>
                <w:b/>
                <w:bCs/>
              </w:rPr>
            </w:pPr>
            <w:r>
              <w:rPr>
                <w:rFonts w:hint="eastAsia" w:ascii="宋体" w:hAnsi="宋体" w:eastAsia="宋体" w:cs="宋体"/>
                <w:b/>
                <w:bCs/>
              </w:rPr>
              <w:t>序号</w:t>
            </w:r>
          </w:p>
        </w:tc>
        <w:tc>
          <w:tcPr>
            <w:tcW w:w="2312" w:type="dxa"/>
            <w:vAlign w:val="center"/>
          </w:tcPr>
          <w:p w14:paraId="2E9446C5">
            <w:pPr>
              <w:spacing w:line="300" w:lineRule="exact"/>
              <w:jc w:val="center"/>
              <w:rPr>
                <w:rFonts w:ascii="宋体" w:hAnsi="宋体" w:eastAsia="宋体" w:cs="宋体"/>
                <w:b/>
                <w:bCs/>
              </w:rPr>
            </w:pPr>
            <w:r>
              <w:rPr>
                <w:rFonts w:hint="eastAsia" w:ascii="宋体" w:hAnsi="宋体" w:eastAsia="宋体" w:cs="宋体"/>
                <w:b/>
                <w:bCs/>
              </w:rPr>
              <w:t>产品名称、品牌、型号</w:t>
            </w:r>
          </w:p>
        </w:tc>
        <w:tc>
          <w:tcPr>
            <w:tcW w:w="568" w:type="dxa"/>
            <w:vAlign w:val="center"/>
          </w:tcPr>
          <w:p w14:paraId="096BAD61">
            <w:pPr>
              <w:spacing w:line="300" w:lineRule="exact"/>
              <w:jc w:val="center"/>
              <w:rPr>
                <w:rFonts w:ascii="宋体" w:hAnsi="宋体" w:eastAsia="宋体" w:cs="宋体"/>
                <w:b/>
                <w:bCs/>
              </w:rPr>
            </w:pPr>
            <w:r>
              <w:rPr>
                <w:rFonts w:hint="eastAsia" w:ascii="宋体" w:hAnsi="宋体" w:eastAsia="宋体" w:cs="宋体"/>
                <w:b/>
                <w:bCs/>
              </w:rPr>
              <w:t>数量</w:t>
            </w:r>
          </w:p>
        </w:tc>
        <w:tc>
          <w:tcPr>
            <w:tcW w:w="6563" w:type="dxa"/>
            <w:vAlign w:val="center"/>
          </w:tcPr>
          <w:p w14:paraId="02E707BE">
            <w:pPr>
              <w:jc w:val="center"/>
              <w:rPr>
                <w:rFonts w:ascii="宋体" w:hAnsi="宋体" w:eastAsia="宋体" w:cs="宋体"/>
                <w:b/>
                <w:bCs/>
              </w:rPr>
            </w:pPr>
            <w:r>
              <w:rPr>
                <w:rFonts w:hint="eastAsia" w:ascii="宋体" w:hAnsi="宋体" w:eastAsia="宋体" w:cs="宋体"/>
                <w:b/>
                <w:bCs/>
              </w:rPr>
              <w:t>技术参数及性能配置要求</w:t>
            </w:r>
          </w:p>
        </w:tc>
      </w:tr>
      <w:tr w14:paraId="0988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28898FF4">
            <w:pPr>
              <w:jc w:val="center"/>
              <w:rPr>
                <w:rFonts w:ascii="宋体" w:hAnsi="宋体" w:eastAsia="宋体" w:cs="宋体"/>
              </w:rPr>
            </w:pPr>
            <w:r>
              <w:rPr>
                <w:rFonts w:hint="eastAsia" w:ascii="宋体" w:hAnsi="宋体" w:eastAsia="宋体" w:cs="宋体"/>
                <w:b/>
                <w:bCs/>
              </w:rPr>
              <w:t>T1</w:t>
            </w:r>
          </w:p>
        </w:tc>
        <w:tc>
          <w:tcPr>
            <w:tcW w:w="2312" w:type="dxa"/>
            <w:vAlign w:val="center"/>
          </w:tcPr>
          <w:p w14:paraId="40644966">
            <w:pPr>
              <w:rPr>
                <w:rFonts w:ascii="宋体" w:hAnsi="宋体" w:eastAsia="宋体" w:cs="宋体"/>
              </w:rPr>
            </w:pPr>
          </w:p>
          <w:p w14:paraId="6260AC03">
            <w:pPr>
              <w:jc w:val="center"/>
              <w:rPr>
                <w:rFonts w:ascii="宋体" w:hAnsi="宋体" w:eastAsia="宋体" w:cs="宋体"/>
              </w:rPr>
            </w:pPr>
          </w:p>
          <w:p w14:paraId="31B3E6C0">
            <w:pPr>
              <w:spacing w:line="360" w:lineRule="auto"/>
              <w:jc w:val="center"/>
              <w:rPr>
                <w:rFonts w:ascii="宋体" w:hAnsi="宋体" w:eastAsia="宋体" w:cs="宋体"/>
                <w:b/>
                <w:bCs/>
              </w:rPr>
            </w:pPr>
            <w:r>
              <w:rPr>
                <w:rFonts w:hint="eastAsia" w:ascii="宋体" w:hAnsi="宋体" w:eastAsia="宋体" w:cs="宋体"/>
                <w:b/>
                <w:bCs/>
              </w:rPr>
              <w:t>产品名称：</w:t>
            </w:r>
          </w:p>
          <w:p w14:paraId="5DA830A9">
            <w:pPr>
              <w:spacing w:line="360" w:lineRule="auto"/>
              <w:jc w:val="center"/>
              <w:rPr>
                <w:rFonts w:ascii="宋体" w:hAnsi="宋体" w:eastAsia="宋体" w:cs="宋体"/>
                <w:b/>
                <w:bCs/>
              </w:rPr>
            </w:pPr>
            <w:r>
              <w:rPr>
                <w:rFonts w:hint="eastAsia" w:ascii="宋体" w:hAnsi="宋体" w:eastAsia="宋体" w:cs="宋体"/>
                <w:b/>
                <w:bCs/>
              </w:rPr>
              <w:t>有机房乘客电梯</w:t>
            </w:r>
          </w:p>
          <w:p w14:paraId="185FA63A">
            <w:pPr>
              <w:spacing w:line="100" w:lineRule="exact"/>
              <w:jc w:val="center"/>
              <w:rPr>
                <w:rFonts w:ascii="宋体" w:hAnsi="宋体" w:eastAsia="宋体" w:cs="宋体"/>
                <w:b/>
                <w:bCs/>
              </w:rPr>
            </w:pPr>
          </w:p>
          <w:p w14:paraId="2878C8F4">
            <w:pPr>
              <w:jc w:val="center"/>
              <w:rPr>
                <w:rFonts w:ascii="宋体" w:hAnsi="宋体" w:eastAsia="宋体" w:cs="宋体"/>
                <w:b/>
                <w:bCs/>
              </w:rPr>
            </w:pPr>
            <w:r>
              <w:rPr>
                <w:rFonts w:hint="eastAsia" w:ascii="宋体" w:hAnsi="宋体" w:eastAsia="宋体" w:cs="宋体"/>
                <w:b/>
                <w:bCs/>
              </w:rPr>
              <w:t>品牌：上海三菱</w:t>
            </w:r>
          </w:p>
          <w:p w14:paraId="3CC1EFDD">
            <w:pPr>
              <w:spacing w:line="100" w:lineRule="exact"/>
              <w:jc w:val="center"/>
              <w:rPr>
                <w:rFonts w:ascii="宋体" w:hAnsi="宋体" w:eastAsia="宋体" w:cs="宋体"/>
                <w:b/>
                <w:bCs/>
              </w:rPr>
            </w:pPr>
          </w:p>
          <w:p w14:paraId="771BC61A">
            <w:pPr>
              <w:jc w:val="center"/>
              <w:rPr>
                <w:rFonts w:ascii="宋体" w:hAnsi="宋体" w:eastAsia="宋体" w:cs="宋体"/>
                <w:b/>
                <w:bCs/>
              </w:rPr>
            </w:pPr>
            <w:r>
              <w:rPr>
                <w:rFonts w:hint="eastAsia" w:ascii="宋体" w:hAnsi="宋体" w:eastAsia="宋体" w:cs="宋体"/>
                <w:b/>
                <w:bCs/>
              </w:rPr>
              <w:t>型号：</w:t>
            </w:r>
            <w:r>
              <w:rPr>
                <w:rFonts w:ascii="宋体" w:hAnsi="宋体" w:eastAsia="宋体" w:cs="宋体"/>
                <w:b/>
                <w:bCs/>
              </w:rPr>
              <w:t>LEHY-S</w:t>
            </w:r>
          </w:p>
          <w:p w14:paraId="7F8BC4F5">
            <w:pPr>
              <w:jc w:val="center"/>
              <w:rPr>
                <w:rFonts w:ascii="宋体" w:hAnsi="宋体" w:eastAsia="宋体" w:cs="宋体"/>
              </w:rPr>
            </w:pPr>
          </w:p>
        </w:tc>
        <w:tc>
          <w:tcPr>
            <w:tcW w:w="568" w:type="dxa"/>
            <w:vAlign w:val="center"/>
          </w:tcPr>
          <w:p w14:paraId="300FF267">
            <w:pPr>
              <w:jc w:val="center"/>
              <w:rPr>
                <w:rFonts w:ascii="宋体" w:hAnsi="宋体" w:eastAsia="宋体" w:cs="宋体"/>
              </w:rPr>
            </w:pPr>
            <w:r>
              <w:rPr>
                <w:rFonts w:hint="eastAsia" w:ascii="宋体" w:hAnsi="宋体" w:eastAsia="宋体" w:cs="宋体"/>
                <w:b/>
                <w:bCs/>
              </w:rPr>
              <w:t>1台</w:t>
            </w:r>
          </w:p>
        </w:tc>
        <w:tc>
          <w:tcPr>
            <w:tcW w:w="6563" w:type="dxa"/>
          </w:tcPr>
          <w:p w14:paraId="6ED31595">
            <w:pPr>
              <w:spacing w:line="420" w:lineRule="exact"/>
              <w:rPr>
                <w:rFonts w:asciiTheme="minorEastAsia" w:hAnsiTheme="minorEastAsia" w:cstheme="minorEastAsia"/>
                <w:b/>
                <w:bCs/>
                <w:szCs w:val="21"/>
              </w:rPr>
            </w:pPr>
            <w:r>
              <w:rPr>
                <w:rFonts w:hint="eastAsia" w:asciiTheme="minorEastAsia" w:hAnsiTheme="minorEastAsia" w:cstheme="minorEastAsia"/>
                <w:b/>
                <w:bCs/>
                <w:szCs w:val="21"/>
              </w:rPr>
              <w:t>（一）技术规格参数要求：</w:t>
            </w:r>
          </w:p>
          <w:p w14:paraId="32EFEFDD">
            <w:pPr>
              <w:spacing w:line="420" w:lineRule="exact"/>
              <w:rPr>
                <w:rFonts w:asciiTheme="minorEastAsia" w:hAnsiTheme="minorEastAsia" w:cstheme="minorEastAsia"/>
                <w:bCs/>
                <w:szCs w:val="21"/>
              </w:rPr>
            </w:pPr>
            <w:r>
              <w:rPr>
                <w:rFonts w:hint="eastAsia" w:asciiTheme="minorEastAsia" w:hAnsiTheme="minorEastAsia" w:cstheme="minorEastAsia"/>
                <w:bCs/>
                <w:szCs w:val="21"/>
              </w:rPr>
              <w:t>1、井道尺寸：2150mm宽</w:t>
            </w:r>
            <w:r>
              <w:rPr>
                <w:rFonts w:asciiTheme="minorEastAsia" w:hAnsiTheme="minorEastAsia" w:cstheme="minorEastAsia"/>
                <w:bCs/>
                <w:szCs w:val="21"/>
              </w:rPr>
              <w:t>×</w:t>
            </w:r>
            <w:r>
              <w:rPr>
                <w:rFonts w:hint="eastAsia" w:asciiTheme="minorEastAsia" w:hAnsiTheme="minorEastAsia" w:cstheme="minorEastAsia"/>
                <w:bCs/>
                <w:szCs w:val="21"/>
              </w:rPr>
              <w:t>2150mm深（以现场实际尺寸并经双方确认图纸为准）；</w:t>
            </w:r>
          </w:p>
          <w:p w14:paraId="39D1B924">
            <w:pPr>
              <w:spacing w:line="420" w:lineRule="exact"/>
              <w:rPr>
                <w:rFonts w:asciiTheme="minorEastAsia" w:hAnsiTheme="minorEastAsia" w:cstheme="minorEastAsia"/>
                <w:bCs/>
                <w:szCs w:val="21"/>
              </w:rPr>
            </w:pPr>
            <w:r>
              <w:rPr>
                <w:rFonts w:hint="eastAsia" w:asciiTheme="minorEastAsia" w:hAnsiTheme="minorEastAsia" w:cstheme="minorEastAsia"/>
                <w:szCs w:val="21"/>
              </w:rPr>
              <w:t>▲</w:t>
            </w:r>
            <w:r>
              <w:rPr>
                <w:rFonts w:hint="eastAsia" w:asciiTheme="minorEastAsia" w:hAnsiTheme="minorEastAsia" w:cstheme="minorEastAsia"/>
                <w:bCs/>
                <w:szCs w:val="21"/>
              </w:rPr>
              <w:t>2、载重：1050kg；</w:t>
            </w:r>
          </w:p>
          <w:p w14:paraId="3DB87B56">
            <w:pPr>
              <w:spacing w:line="420" w:lineRule="exact"/>
              <w:rPr>
                <w:rFonts w:asciiTheme="minorEastAsia" w:hAnsiTheme="minorEastAsia" w:cstheme="minorEastAsia"/>
                <w:bCs/>
                <w:szCs w:val="21"/>
              </w:rPr>
            </w:pPr>
            <w:r>
              <w:rPr>
                <w:rFonts w:hint="eastAsia" w:asciiTheme="minorEastAsia" w:hAnsiTheme="minorEastAsia" w:cstheme="minorEastAsia"/>
                <w:szCs w:val="21"/>
              </w:rPr>
              <w:t>▲</w:t>
            </w:r>
            <w:r>
              <w:rPr>
                <w:rFonts w:hint="eastAsia" w:asciiTheme="minorEastAsia" w:hAnsiTheme="minorEastAsia" w:cstheme="minorEastAsia"/>
                <w:bCs/>
                <w:szCs w:val="21"/>
              </w:rPr>
              <w:t>3、速度：1.</w:t>
            </w:r>
            <w:r>
              <w:rPr>
                <w:rFonts w:asciiTheme="minorEastAsia" w:hAnsiTheme="minorEastAsia" w:cstheme="minorEastAsia"/>
                <w:bCs/>
                <w:szCs w:val="21"/>
              </w:rPr>
              <w:t>7</w:t>
            </w:r>
            <w:r>
              <w:rPr>
                <w:rFonts w:hint="eastAsia" w:asciiTheme="minorEastAsia" w:hAnsiTheme="minorEastAsia" w:cstheme="minorEastAsia"/>
                <w:bCs/>
                <w:szCs w:val="21"/>
              </w:rPr>
              <w:t>5m/s；</w:t>
            </w:r>
          </w:p>
          <w:p w14:paraId="6960633D">
            <w:pPr>
              <w:spacing w:line="420" w:lineRule="exact"/>
              <w:rPr>
                <w:rFonts w:asciiTheme="minorEastAsia" w:hAnsiTheme="minorEastAsia" w:cstheme="minorEastAsia"/>
                <w:szCs w:val="21"/>
              </w:rPr>
            </w:pPr>
            <w:r>
              <w:rPr>
                <w:rFonts w:hint="eastAsia" w:asciiTheme="minorEastAsia" w:hAnsiTheme="minorEastAsia" w:cstheme="minorEastAsia"/>
                <w:szCs w:val="21"/>
              </w:rPr>
              <w:t>▲4、层站门：</w:t>
            </w:r>
            <w:r>
              <w:rPr>
                <w:rFonts w:asciiTheme="minorEastAsia" w:hAnsiTheme="minorEastAsia" w:cstheme="minorEastAsia"/>
                <w:color w:val="C00000"/>
                <w:szCs w:val="21"/>
              </w:rPr>
              <w:t>13</w:t>
            </w:r>
            <w:r>
              <w:rPr>
                <w:rFonts w:hint="eastAsia" w:asciiTheme="minorEastAsia" w:hAnsiTheme="minorEastAsia" w:cstheme="minorEastAsia"/>
                <w:color w:val="C00000"/>
                <w:szCs w:val="21"/>
              </w:rPr>
              <w:t>层</w:t>
            </w:r>
            <w:r>
              <w:rPr>
                <w:rFonts w:asciiTheme="minorEastAsia" w:hAnsiTheme="minorEastAsia" w:cstheme="minorEastAsia"/>
                <w:color w:val="C00000"/>
                <w:szCs w:val="21"/>
              </w:rPr>
              <w:t>13</w:t>
            </w:r>
            <w:r>
              <w:rPr>
                <w:rFonts w:hint="eastAsia" w:asciiTheme="minorEastAsia" w:hAnsiTheme="minorEastAsia" w:cstheme="minorEastAsia"/>
                <w:color w:val="C00000"/>
                <w:szCs w:val="21"/>
              </w:rPr>
              <w:t>站</w:t>
            </w:r>
            <w:r>
              <w:rPr>
                <w:rFonts w:asciiTheme="minorEastAsia" w:hAnsiTheme="minorEastAsia" w:cstheme="minorEastAsia"/>
                <w:color w:val="C00000"/>
                <w:szCs w:val="21"/>
              </w:rPr>
              <w:t>13</w:t>
            </w:r>
            <w:r>
              <w:rPr>
                <w:rFonts w:hint="eastAsia" w:asciiTheme="minorEastAsia" w:hAnsiTheme="minorEastAsia" w:cstheme="minorEastAsia"/>
                <w:color w:val="C00000"/>
                <w:szCs w:val="21"/>
              </w:rPr>
              <w:t>门</w:t>
            </w:r>
          </w:p>
          <w:p w14:paraId="31CC0290">
            <w:pPr>
              <w:spacing w:line="420" w:lineRule="exact"/>
              <w:rPr>
                <w:rFonts w:asciiTheme="minorEastAsia" w:hAnsiTheme="minorEastAsia" w:cstheme="minorEastAsia"/>
                <w:bCs/>
                <w:szCs w:val="21"/>
              </w:rPr>
            </w:pPr>
            <w:r>
              <w:rPr>
                <w:rFonts w:hint="eastAsia" w:asciiTheme="minorEastAsia" w:hAnsiTheme="minorEastAsia" w:cstheme="minorEastAsia"/>
                <w:szCs w:val="21"/>
              </w:rPr>
              <w:t>▲</w:t>
            </w:r>
            <w:r>
              <w:rPr>
                <w:rFonts w:hint="eastAsia" w:asciiTheme="minorEastAsia" w:hAnsiTheme="minorEastAsia" w:cstheme="minorEastAsia"/>
                <w:bCs/>
                <w:szCs w:val="21"/>
              </w:rPr>
              <w:t>4、开门方式：中分门；</w:t>
            </w:r>
          </w:p>
          <w:p w14:paraId="7A8B1B43">
            <w:pPr>
              <w:spacing w:line="420" w:lineRule="exact"/>
              <w:rPr>
                <w:rFonts w:asciiTheme="minorEastAsia" w:hAnsiTheme="minorEastAsia" w:cstheme="minorEastAsia"/>
                <w:bCs/>
                <w:szCs w:val="21"/>
              </w:rPr>
            </w:pPr>
            <w:r>
              <w:rPr>
                <w:rFonts w:hint="eastAsia" w:asciiTheme="minorEastAsia" w:hAnsiTheme="minorEastAsia" w:cstheme="minorEastAsia"/>
                <w:bCs/>
                <w:szCs w:val="21"/>
              </w:rPr>
              <w:t>▲5、开门宽度：900mm宽</w:t>
            </w:r>
            <w:r>
              <w:rPr>
                <w:rFonts w:asciiTheme="minorEastAsia" w:hAnsiTheme="minorEastAsia" w:cstheme="minorEastAsia"/>
                <w:bCs/>
                <w:szCs w:val="21"/>
              </w:rPr>
              <w:t>×</w:t>
            </w:r>
            <w:r>
              <w:rPr>
                <w:rFonts w:hint="eastAsia" w:asciiTheme="minorEastAsia" w:hAnsiTheme="minorEastAsia" w:cstheme="minorEastAsia"/>
                <w:bCs/>
                <w:szCs w:val="21"/>
              </w:rPr>
              <w:t>2100mm深（以现场实际尺寸并经双方确认图纸为准）；</w:t>
            </w:r>
          </w:p>
          <w:p w14:paraId="45A1C815">
            <w:pPr>
              <w:spacing w:line="420" w:lineRule="exact"/>
              <w:rPr>
                <w:rFonts w:asciiTheme="minorEastAsia" w:hAnsiTheme="minorEastAsia" w:cstheme="minorEastAsia"/>
                <w:bCs/>
                <w:szCs w:val="21"/>
              </w:rPr>
            </w:pPr>
            <w:r>
              <w:rPr>
                <w:rFonts w:hint="eastAsia" w:asciiTheme="minorEastAsia" w:hAnsiTheme="minorEastAsia" w:cstheme="minorEastAsia"/>
                <w:bCs/>
                <w:szCs w:val="21"/>
              </w:rPr>
              <w:t>6、底坑深度：1400mm（以现场实际尺寸并经双方确认图纸为准）；</w:t>
            </w:r>
          </w:p>
          <w:p w14:paraId="6A85B973">
            <w:pPr>
              <w:spacing w:line="420" w:lineRule="exact"/>
              <w:rPr>
                <w:rFonts w:asciiTheme="minorEastAsia" w:hAnsiTheme="minorEastAsia" w:cstheme="minorEastAsia"/>
                <w:bCs/>
                <w:szCs w:val="21"/>
              </w:rPr>
            </w:pPr>
            <w:r>
              <w:rPr>
                <w:rFonts w:hint="eastAsia" w:asciiTheme="minorEastAsia" w:hAnsiTheme="minorEastAsia" w:cstheme="minorEastAsia"/>
                <w:bCs/>
                <w:szCs w:val="21"/>
              </w:rPr>
              <w:t>7、顶层高度：</w:t>
            </w:r>
            <w:r>
              <w:rPr>
                <w:rFonts w:asciiTheme="minorEastAsia" w:hAnsiTheme="minorEastAsia" w:cstheme="minorEastAsia"/>
                <w:bCs/>
                <w:szCs w:val="21"/>
              </w:rPr>
              <w:t>4450</w:t>
            </w:r>
            <w:r>
              <w:rPr>
                <w:rFonts w:hint="eastAsia" w:asciiTheme="minorEastAsia" w:hAnsiTheme="minorEastAsia" w:cstheme="minorEastAsia"/>
                <w:bCs/>
                <w:szCs w:val="21"/>
              </w:rPr>
              <w:t>mm（以现场实际尺寸并经双方确认图纸为准）；</w:t>
            </w:r>
          </w:p>
          <w:p w14:paraId="2728593B">
            <w:pPr>
              <w:spacing w:line="420" w:lineRule="exact"/>
              <w:rPr>
                <w:rFonts w:asciiTheme="minorEastAsia" w:hAnsiTheme="minorEastAsia" w:cstheme="minorEastAsia"/>
                <w:bCs/>
                <w:szCs w:val="21"/>
              </w:rPr>
            </w:pPr>
            <w:r>
              <w:rPr>
                <w:rFonts w:hint="eastAsia" w:asciiTheme="minorEastAsia" w:hAnsiTheme="minorEastAsia" w:cstheme="minorEastAsia"/>
                <w:bCs/>
                <w:szCs w:val="21"/>
              </w:rPr>
              <w:t>8、提升高度：</w:t>
            </w:r>
            <w:r>
              <w:rPr>
                <w:rFonts w:asciiTheme="minorEastAsia" w:hAnsiTheme="minorEastAsia" w:cstheme="minorEastAsia"/>
                <w:bCs/>
                <w:szCs w:val="21"/>
              </w:rPr>
              <w:t>40830</w:t>
            </w:r>
            <w:r>
              <w:rPr>
                <w:rFonts w:hint="eastAsia" w:asciiTheme="minorEastAsia" w:hAnsiTheme="minorEastAsia" w:cstheme="minorEastAsia"/>
                <w:bCs/>
                <w:szCs w:val="21"/>
              </w:rPr>
              <w:t>mm（以现场实际尺寸并经双方确认图纸为准）；</w:t>
            </w:r>
          </w:p>
          <w:p w14:paraId="51F3E7DA">
            <w:pPr>
              <w:spacing w:line="420" w:lineRule="exact"/>
              <w:rPr>
                <w:rFonts w:asciiTheme="minorEastAsia" w:hAnsiTheme="minorEastAsia" w:cstheme="minorEastAsia"/>
                <w:bCs/>
                <w:szCs w:val="21"/>
              </w:rPr>
            </w:pPr>
            <w:r>
              <w:rPr>
                <w:rFonts w:hint="eastAsia" w:asciiTheme="minorEastAsia" w:hAnsiTheme="minorEastAsia" w:cstheme="minorEastAsia"/>
                <w:bCs/>
                <w:szCs w:val="21"/>
              </w:rPr>
              <w:t>▲10、轿厢规格：1600mm宽</w:t>
            </w:r>
            <w:r>
              <w:rPr>
                <w:rFonts w:asciiTheme="minorEastAsia" w:hAnsiTheme="minorEastAsia" w:cstheme="minorEastAsia"/>
                <w:bCs/>
                <w:szCs w:val="21"/>
              </w:rPr>
              <w:t>×</w:t>
            </w:r>
            <w:r>
              <w:rPr>
                <w:rFonts w:hint="eastAsia" w:asciiTheme="minorEastAsia" w:hAnsiTheme="minorEastAsia" w:cstheme="minorEastAsia"/>
                <w:bCs/>
                <w:szCs w:val="21"/>
              </w:rPr>
              <w:t>1500mm深（以现场实际尺寸并经双方确认图纸为准）；</w:t>
            </w:r>
          </w:p>
          <w:p w14:paraId="1512719C">
            <w:pPr>
              <w:spacing w:line="420" w:lineRule="exact"/>
              <w:rPr>
                <w:rFonts w:asciiTheme="minorEastAsia" w:hAnsiTheme="minorEastAsia" w:cstheme="minorEastAsia"/>
                <w:bCs/>
                <w:szCs w:val="21"/>
              </w:rPr>
            </w:pPr>
            <w:r>
              <w:rPr>
                <w:rFonts w:hint="eastAsia" w:asciiTheme="minorEastAsia" w:hAnsiTheme="minorEastAsia" w:cstheme="minorEastAsia"/>
                <w:bCs/>
                <w:szCs w:val="21"/>
              </w:rPr>
              <w:t>▲11、轿厢净高度：2400mm（以现场实际尺寸并经双方确认图纸为准）；</w:t>
            </w:r>
          </w:p>
          <w:p w14:paraId="7F9D3839">
            <w:pPr>
              <w:spacing w:line="420" w:lineRule="exact"/>
              <w:rPr>
                <w:rFonts w:asciiTheme="minorEastAsia" w:hAnsiTheme="minorEastAsia" w:cstheme="minorEastAsia"/>
              </w:rPr>
            </w:pPr>
            <w:r>
              <w:rPr>
                <w:rFonts w:hint="eastAsia" w:asciiTheme="minorEastAsia" w:hAnsiTheme="minorEastAsia" w:cstheme="minorEastAsia"/>
                <w:bCs/>
                <w:szCs w:val="21"/>
              </w:rPr>
              <w:t>12、</w:t>
            </w:r>
            <w:r>
              <w:rPr>
                <w:rFonts w:hint="eastAsia" w:asciiTheme="minorEastAsia" w:hAnsiTheme="minorEastAsia" w:cstheme="minorEastAsia"/>
              </w:rPr>
              <w:t>动力电源：AC380V±10%，50Hz±1Hz；</w:t>
            </w:r>
          </w:p>
          <w:p w14:paraId="4D82D8A5">
            <w:pPr>
              <w:spacing w:line="420" w:lineRule="exact"/>
              <w:ind w:firstLine="420" w:firstLineChars="200"/>
              <w:rPr>
                <w:rFonts w:asciiTheme="minorEastAsia" w:hAnsiTheme="minorEastAsia" w:cstheme="minorEastAsia"/>
                <w:bCs/>
                <w:szCs w:val="21"/>
              </w:rPr>
            </w:pPr>
            <w:r>
              <w:rPr>
                <w:rFonts w:hint="eastAsia" w:asciiTheme="minorEastAsia" w:hAnsiTheme="minorEastAsia" w:cstheme="minorEastAsia"/>
              </w:rPr>
              <w:t>照明电源：AC220V±10%，50Hz±1Hz。</w:t>
            </w:r>
          </w:p>
          <w:p w14:paraId="2FBE082F">
            <w:pPr>
              <w:spacing w:line="420" w:lineRule="exact"/>
              <w:rPr>
                <w:rFonts w:asciiTheme="minorEastAsia" w:hAnsiTheme="minorEastAsia" w:cstheme="minorEastAsia"/>
                <w:bCs/>
                <w:szCs w:val="21"/>
              </w:rPr>
            </w:pPr>
            <w:r>
              <w:rPr>
                <w:rFonts w:hint="eastAsia" w:asciiTheme="minorEastAsia" w:hAnsiTheme="minorEastAsia" w:cstheme="minorEastAsia"/>
                <w:bCs/>
                <w:szCs w:val="21"/>
              </w:rPr>
              <w:t>▲13、门保护方式：光幕保护；</w:t>
            </w:r>
          </w:p>
          <w:p w14:paraId="284CCF8A">
            <w:pPr>
              <w:spacing w:line="420" w:lineRule="exact"/>
              <w:rPr>
                <w:rFonts w:asciiTheme="minorEastAsia" w:hAnsiTheme="minorEastAsia" w:cstheme="minorEastAsia"/>
                <w:bCs/>
                <w:szCs w:val="21"/>
              </w:rPr>
            </w:pPr>
            <w:r>
              <w:rPr>
                <w:rFonts w:hint="eastAsia" w:asciiTheme="minorEastAsia" w:hAnsiTheme="minorEastAsia" w:cstheme="minorEastAsia"/>
                <w:bCs/>
                <w:szCs w:val="21"/>
              </w:rPr>
              <w:t>14、控制方式：单控；</w:t>
            </w:r>
          </w:p>
          <w:p w14:paraId="25C29A28">
            <w:pPr>
              <w:spacing w:line="420" w:lineRule="exact"/>
              <w:rPr>
                <w:rFonts w:asciiTheme="minorEastAsia" w:hAnsiTheme="minorEastAsia" w:cstheme="minorEastAsia"/>
                <w:bCs/>
                <w:szCs w:val="21"/>
              </w:rPr>
            </w:pPr>
            <w:r>
              <w:rPr>
                <w:rFonts w:hint="eastAsia" w:asciiTheme="minorEastAsia" w:hAnsiTheme="minorEastAsia" w:cstheme="minorEastAsia"/>
                <w:bCs/>
                <w:szCs w:val="21"/>
              </w:rPr>
              <w:t>15、基站：1F；</w:t>
            </w:r>
          </w:p>
          <w:p w14:paraId="35A0ACC6">
            <w:pPr>
              <w:autoSpaceDE w:val="0"/>
              <w:autoSpaceDN w:val="0"/>
              <w:spacing w:line="420" w:lineRule="exact"/>
              <w:rPr>
                <w:rFonts w:asciiTheme="minorEastAsia" w:hAnsiTheme="minorEastAsia" w:cstheme="minorEastAsia"/>
                <w:b/>
                <w:szCs w:val="21"/>
              </w:rPr>
            </w:pPr>
            <w:r>
              <w:rPr>
                <w:rFonts w:hint="eastAsia" w:asciiTheme="minorEastAsia" w:hAnsiTheme="minorEastAsia" w:cstheme="minorEastAsia"/>
                <w:b/>
                <w:szCs w:val="21"/>
              </w:rPr>
              <w:t>※具体安装技术参数，以实地测量尺寸为准。</w:t>
            </w:r>
          </w:p>
          <w:p w14:paraId="70110344">
            <w:pPr>
              <w:spacing w:line="420" w:lineRule="exact"/>
              <w:rPr>
                <w:rFonts w:asciiTheme="minorEastAsia" w:hAnsiTheme="minorEastAsia" w:cstheme="minorEastAsia"/>
                <w:szCs w:val="21"/>
              </w:rPr>
            </w:pPr>
            <w:r>
              <w:rPr>
                <w:rFonts w:hint="eastAsia" w:asciiTheme="minorEastAsia" w:hAnsiTheme="minorEastAsia" w:cstheme="minorEastAsia"/>
                <w:b/>
                <w:bCs/>
                <w:szCs w:val="21"/>
              </w:rPr>
              <w:t xml:space="preserve">▲（二）性能、主要部件及要求：  </w:t>
            </w:r>
            <w:r>
              <w:rPr>
                <w:rFonts w:hint="eastAsia" w:asciiTheme="minorEastAsia" w:hAnsiTheme="minorEastAsia" w:cstheme="minorEastAsia"/>
                <w:szCs w:val="21"/>
              </w:rPr>
              <w:t xml:space="preserve">                                        </w:t>
            </w:r>
          </w:p>
          <w:p w14:paraId="57B731A7">
            <w:pPr>
              <w:spacing w:line="4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1、变频系统：</w:t>
            </w:r>
            <w:r>
              <w:rPr>
                <w:rFonts w:hint="eastAsia" w:asciiTheme="minorEastAsia" w:hAnsiTheme="minorEastAsia" w:cstheme="minorEastAsia"/>
                <w:szCs w:val="21"/>
                <w:lang w:val="zh-CN"/>
              </w:rPr>
              <w:t>微机控制交流变频调压调速VVVF</w:t>
            </w:r>
            <w:r>
              <w:rPr>
                <w:rFonts w:hint="eastAsia" w:asciiTheme="minorEastAsia" w:hAnsiTheme="minorEastAsia" w:cstheme="minorEastAsia"/>
                <w:szCs w:val="21"/>
              </w:rPr>
              <w:t>；</w:t>
            </w:r>
          </w:p>
          <w:p w14:paraId="29F8A784">
            <w:pPr>
              <w:spacing w:line="420" w:lineRule="exact"/>
              <w:rPr>
                <w:rFonts w:asciiTheme="minorEastAsia" w:hAnsiTheme="minorEastAsia" w:cstheme="minorEastAsia"/>
                <w:szCs w:val="21"/>
              </w:rPr>
            </w:pPr>
            <w:r>
              <w:rPr>
                <w:rFonts w:hint="eastAsia" w:asciiTheme="minorEastAsia" w:hAnsiTheme="minorEastAsia" w:cstheme="minorEastAsia"/>
                <w:szCs w:val="21"/>
              </w:rPr>
              <w:t>2、驱动系统：永磁同步无齿轮曳引机；</w:t>
            </w:r>
          </w:p>
          <w:p w14:paraId="433F303F">
            <w:pPr>
              <w:pStyle w:val="2"/>
              <w:spacing w:before="0" w:after="0" w:line="420" w:lineRule="exact"/>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①曳引机外壳防护等级IP43。（提供具有CNAS认证的第三方检测机构出具的检测报告）</w:t>
            </w:r>
          </w:p>
          <w:p w14:paraId="6A2AAAB0">
            <w:pPr>
              <w:pStyle w:val="2"/>
              <w:spacing w:before="0" w:after="0" w:line="420" w:lineRule="exact"/>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②曳引机具有可靠的绝缘系统。电磁线耐电晕试验满足：冲击电压≥3kV，脉冲频率≥20kHz，50h不击穿；电磁线局部放电性能满足：放电电荷阈值100pc时，放电起始电压≥1200V。（提供具有CNAS认证的第三方检测机构出具的检测报告）</w:t>
            </w:r>
          </w:p>
          <w:p w14:paraId="01E31EEC">
            <w:pPr>
              <w:spacing w:line="420" w:lineRule="exact"/>
              <w:rPr>
                <w:rFonts w:asciiTheme="minorEastAsia" w:hAnsiTheme="minorEastAsia" w:cstheme="minorEastAsia"/>
                <w:szCs w:val="21"/>
              </w:rPr>
            </w:pPr>
            <w:r>
              <w:rPr>
                <w:rFonts w:hint="eastAsia" w:asciiTheme="minorEastAsia" w:hAnsiTheme="minorEastAsia" w:cstheme="minorEastAsia"/>
                <w:szCs w:val="21"/>
              </w:rPr>
              <w:t>3、门机驱动方式：变频门机系统，无连杆同步带方式；</w:t>
            </w:r>
          </w:p>
          <w:p w14:paraId="0125F651">
            <w:pPr>
              <w:spacing w:line="420" w:lineRule="exact"/>
              <w:rPr>
                <w:rFonts w:asciiTheme="minorEastAsia" w:hAnsiTheme="minorEastAsia" w:cstheme="minorEastAsia"/>
                <w:szCs w:val="21"/>
              </w:rPr>
            </w:pPr>
            <w:r>
              <w:rPr>
                <w:rFonts w:hint="eastAsia" w:asciiTheme="minorEastAsia" w:hAnsiTheme="minorEastAsia" w:cstheme="minorEastAsia"/>
                <w:szCs w:val="21"/>
              </w:rPr>
              <w:t>4、控制系统：全电脑数字控制技术。双32位微电脑一体化控制系统，集微电脑控制器与变频器为一体，采用微机串行通信系统（CAN BUS 总线控制技术）；</w:t>
            </w:r>
          </w:p>
          <w:p w14:paraId="286725D8">
            <w:pPr>
              <w:pStyle w:val="2"/>
              <w:spacing w:before="0" w:after="0" w:line="420" w:lineRule="exact"/>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4、电源系统：采用全数字化电源系统（DC-DC电源技术），380VAC50HZ,三相五线。</w:t>
            </w:r>
          </w:p>
          <w:p w14:paraId="1823A496">
            <w:pPr>
              <w:pStyle w:val="2"/>
              <w:spacing w:before="0" w:after="0" w:line="420" w:lineRule="exact"/>
              <w:rPr>
                <w:rFonts w:asciiTheme="minorEastAsia" w:hAnsiTheme="minorEastAsia" w:eastAsiaTheme="minorEastAsia"/>
                <w:b w:val="0"/>
                <w:sz w:val="21"/>
                <w:szCs w:val="21"/>
              </w:rPr>
            </w:pPr>
            <w:r>
              <w:rPr>
                <w:rFonts w:asciiTheme="minorEastAsia" w:hAnsiTheme="minorEastAsia" w:eastAsiaTheme="minorEastAsia"/>
                <w:b w:val="0"/>
                <w:sz w:val="21"/>
                <w:szCs w:val="21"/>
              </w:rPr>
              <w:t>5</w:t>
            </w:r>
            <w:r>
              <w:rPr>
                <w:rFonts w:hint="eastAsia" w:asciiTheme="minorEastAsia" w:hAnsiTheme="minorEastAsia" w:eastAsiaTheme="minorEastAsia"/>
                <w:b w:val="0"/>
                <w:sz w:val="21"/>
                <w:szCs w:val="21"/>
              </w:rPr>
              <w:t>、抗雷击设计：抗雷击电压≥20kV。（提供具有CNAS认证的第三方检测机构出具的检测报告）</w:t>
            </w:r>
          </w:p>
          <w:p w14:paraId="2A6DBC03">
            <w:pPr>
              <w:pStyle w:val="2"/>
              <w:spacing w:before="0" w:after="0" w:line="420" w:lineRule="exact"/>
              <w:rPr>
                <w:rFonts w:asciiTheme="minorEastAsia" w:hAnsiTheme="minorEastAsia" w:eastAsiaTheme="minorEastAsia"/>
                <w:b w:val="0"/>
                <w:sz w:val="21"/>
                <w:szCs w:val="21"/>
              </w:rPr>
            </w:pPr>
            <w:r>
              <w:rPr>
                <w:rFonts w:asciiTheme="minorEastAsia" w:hAnsiTheme="minorEastAsia" w:eastAsiaTheme="minorEastAsia"/>
                <w:b w:val="0"/>
                <w:sz w:val="21"/>
                <w:szCs w:val="21"/>
              </w:rPr>
              <w:t>6</w:t>
            </w:r>
            <w:r>
              <w:rPr>
                <w:rFonts w:hint="eastAsia" w:asciiTheme="minorEastAsia" w:hAnsiTheme="minorEastAsia" w:eastAsiaTheme="minorEastAsia"/>
                <w:b w:val="0"/>
                <w:sz w:val="21"/>
                <w:szCs w:val="21"/>
              </w:rPr>
              <w:t>、所投产品电梯的轿厢内载有110%额定载荷，启动-全程运行-停止-正常开关门，电梯可连续正常运行6</w:t>
            </w:r>
            <w:r>
              <w:rPr>
                <w:rFonts w:asciiTheme="minorEastAsia" w:hAnsiTheme="minorEastAsia" w:eastAsiaTheme="minorEastAsia"/>
                <w:b w:val="0"/>
                <w:sz w:val="21"/>
                <w:szCs w:val="21"/>
              </w:rPr>
              <w:t>0000</w:t>
            </w:r>
            <w:r>
              <w:rPr>
                <w:rFonts w:hint="eastAsia" w:asciiTheme="minorEastAsia" w:hAnsiTheme="minorEastAsia" w:eastAsiaTheme="minorEastAsia"/>
                <w:b w:val="0"/>
                <w:sz w:val="21"/>
                <w:szCs w:val="21"/>
              </w:rPr>
              <w:t>次，符合要求，电梯无故障的。（提供具有CNAS认证的第三方检测机构出具的检测报告）</w:t>
            </w:r>
          </w:p>
          <w:p w14:paraId="4ED2930C">
            <w:pPr>
              <w:pStyle w:val="2"/>
              <w:spacing w:before="0" w:after="0" w:line="420" w:lineRule="exact"/>
              <w:rPr>
                <w:rFonts w:asciiTheme="minorEastAsia" w:hAnsiTheme="minorEastAsia" w:eastAsiaTheme="minorEastAsia"/>
                <w:b w:val="0"/>
                <w:sz w:val="21"/>
                <w:szCs w:val="21"/>
              </w:rPr>
            </w:pPr>
            <w:r>
              <w:rPr>
                <w:rFonts w:asciiTheme="minorEastAsia" w:hAnsiTheme="minorEastAsia" w:eastAsiaTheme="minorEastAsia"/>
                <w:b w:val="0"/>
                <w:sz w:val="21"/>
                <w:szCs w:val="21"/>
              </w:rPr>
              <w:t>7</w:t>
            </w:r>
            <w:r>
              <w:rPr>
                <w:rFonts w:hint="eastAsia" w:asciiTheme="minorEastAsia" w:hAnsiTheme="minorEastAsia" w:eastAsiaTheme="minorEastAsia"/>
                <w:b w:val="0"/>
                <w:sz w:val="21"/>
                <w:szCs w:val="21"/>
              </w:rPr>
              <w:t>、所投产品轿门锁结构完整、动作顺畅、无卡阻。动作寿命≥850万次。 （提供具有CNAS认证的第三方检测机构出具的门锁独立检测报告）</w:t>
            </w:r>
          </w:p>
          <w:p w14:paraId="7F600E48">
            <w:pPr>
              <w:pStyle w:val="2"/>
              <w:spacing w:before="0" w:after="0" w:line="420" w:lineRule="exact"/>
              <w:rPr>
                <w:rFonts w:asciiTheme="minorEastAsia" w:hAnsiTheme="minorEastAsia" w:eastAsiaTheme="minorEastAsia"/>
                <w:b w:val="0"/>
                <w:sz w:val="21"/>
                <w:szCs w:val="21"/>
              </w:rPr>
            </w:pPr>
            <w:r>
              <w:rPr>
                <w:rFonts w:asciiTheme="minorEastAsia" w:hAnsiTheme="minorEastAsia" w:eastAsiaTheme="minorEastAsia"/>
                <w:b w:val="0"/>
                <w:sz w:val="21"/>
                <w:szCs w:val="21"/>
              </w:rPr>
              <w:t>8</w:t>
            </w:r>
            <w:r>
              <w:rPr>
                <w:rFonts w:hint="eastAsia" w:asciiTheme="minorEastAsia" w:hAnsiTheme="minorEastAsia" w:eastAsiaTheme="minorEastAsia"/>
                <w:b w:val="0"/>
                <w:sz w:val="21"/>
                <w:szCs w:val="21"/>
              </w:rPr>
              <w:t>、电源配置设计：电梯配置符合GB/T 7251.2-2023的工业等级的配电箱，具有高稳定性和高可靠性，能在极端条件下保持高效运作。（提供中国质量认证中心出具的CQC产品认证证书）</w:t>
            </w:r>
          </w:p>
          <w:p w14:paraId="2310DD4A">
            <w:pPr>
              <w:spacing w:line="420" w:lineRule="exact"/>
              <w:rPr>
                <w:rFonts w:asciiTheme="minorEastAsia" w:hAnsiTheme="minorEastAsia" w:cstheme="minorEastAsia"/>
                <w:b/>
                <w:bCs/>
                <w:szCs w:val="21"/>
              </w:rPr>
            </w:pPr>
            <w:r>
              <w:rPr>
                <w:rFonts w:asciiTheme="minorEastAsia" w:hAnsiTheme="minorEastAsia" w:cstheme="minorEastAsia"/>
                <w:szCs w:val="21"/>
              </w:rPr>
              <w:t>9</w:t>
            </w:r>
            <w:r>
              <w:rPr>
                <w:rFonts w:hint="eastAsia" w:asciiTheme="minorEastAsia" w:hAnsiTheme="minorEastAsia" w:cstheme="minorEastAsia"/>
                <w:szCs w:val="21"/>
              </w:rPr>
              <w:t>、曳引机、控制柜｛含调速器、控制器｝、门锁装置、安全钳、缓冲器、限速器、上行超速保护装置、轿厢意外移动保护装置、安全电路以上主要部件必须是专业厂家设计和制造。</w:t>
            </w:r>
            <w:r>
              <w:rPr>
                <w:rFonts w:hint="eastAsia" w:asciiTheme="minorEastAsia" w:hAnsiTheme="minorEastAsia" w:cstheme="minorEastAsia"/>
                <w:b/>
                <w:bCs/>
                <w:szCs w:val="21"/>
              </w:rPr>
              <w:t>（投标时提供符合《电梯型式试验规则》要求的整梯特种设备型式试验报告及证书复印件）。</w:t>
            </w:r>
          </w:p>
          <w:p w14:paraId="5906208B">
            <w:pPr>
              <w:pStyle w:val="7"/>
              <w:spacing w:after="0" w:line="420" w:lineRule="exact"/>
              <w:rPr>
                <w:rFonts w:asciiTheme="minorEastAsia" w:hAnsiTheme="minorEastAsia" w:cstheme="minorEastAsia"/>
                <w:szCs w:val="21"/>
              </w:rPr>
            </w:pPr>
            <w:r>
              <w:rPr>
                <w:rFonts w:asciiTheme="minorEastAsia" w:hAnsiTheme="minorEastAsia" w:cstheme="minorEastAsia"/>
              </w:rPr>
              <w:t>10</w:t>
            </w:r>
            <w:r>
              <w:rPr>
                <w:rFonts w:hint="eastAsia" w:asciiTheme="minorEastAsia" w:hAnsiTheme="minorEastAsia" w:cstheme="minorEastAsia"/>
                <w:lang w:val="zh-CN"/>
              </w:rPr>
              <w:t>、</w:t>
            </w:r>
            <w:r>
              <w:rPr>
                <w:rFonts w:hint="eastAsia" w:asciiTheme="minorEastAsia" w:hAnsiTheme="minorEastAsia" w:cstheme="minorEastAsia"/>
                <w:szCs w:val="21"/>
              </w:rPr>
              <w:t>采购人有权对以上主要部件聘请专家进行核查，若出现弄虚作假情况，一经查实，采购人将予以退货或换货，并将追究供应商的法律责任并要求供应商赔偿相关损失。</w:t>
            </w:r>
          </w:p>
          <w:p w14:paraId="5B1B6B55">
            <w:pPr>
              <w:autoSpaceDE w:val="0"/>
              <w:autoSpaceDN w:val="0"/>
              <w:spacing w:line="440" w:lineRule="exact"/>
              <w:rPr>
                <w:rFonts w:asciiTheme="minorEastAsia" w:hAnsiTheme="minorEastAsia" w:cstheme="minorEastAsia"/>
                <w:b/>
                <w:bCs/>
                <w:szCs w:val="21"/>
              </w:rPr>
            </w:pPr>
            <w:r>
              <w:rPr>
                <w:rFonts w:hint="eastAsia" w:asciiTheme="minorEastAsia" w:hAnsiTheme="minorEastAsia" w:cstheme="minorEastAsia"/>
                <w:szCs w:val="21"/>
              </w:rPr>
              <w:t>▲</w:t>
            </w:r>
            <w:r>
              <w:rPr>
                <w:rFonts w:hint="eastAsia" w:asciiTheme="minorEastAsia" w:hAnsiTheme="minorEastAsia" w:cstheme="minorEastAsia"/>
                <w:b/>
                <w:bCs/>
                <w:szCs w:val="21"/>
              </w:rPr>
              <w:t>（三）装饰材质要求：</w:t>
            </w:r>
          </w:p>
          <w:p w14:paraId="45F178DD">
            <w:pPr>
              <w:autoSpaceDE w:val="0"/>
              <w:autoSpaceDN w:val="0"/>
              <w:spacing w:line="440" w:lineRule="exact"/>
              <w:rPr>
                <w:rFonts w:asciiTheme="minorEastAsia" w:hAnsiTheme="minorEastAsia" w:cstheme="minorEastAsia"/>
                <w:bCs/>
                <w:szCs w:val="21"/>
              </w:rPr>
            </w:pPr>
            <w:r>
              <w:rPr>
                <w:rFonts w:hint="eastAsia" w:ascii="宋体" w:hAnsi="宋体" w:cs="宋体"/>
                <w:bCs/>
                <w:szCs w:val="21"/>
              </w:rPr>
              <w:t>1</w:t>
            </w:r>
            <w:r>
              <w:rPr>
                <w:rFonts w:hint="eastAsia" w:asciiTheme="minorEastAsia" w:hAnsiTheme="minorEastAsia" w:cstheme="minorEastAsia"/>
                <w:bCs/>
                <w:szCs w:val="21"/>
              </w:rPr>
              <w:t>、轿厢轿顶：吊顶,LED灯照；</w:t>
            </w:r>
          </w:p>
          <w:p w14:paraId="5BB6A015">
            <w:pPr>
              <w:autoSpaceDE w:val="0"/>
              <w:autoSpaceDN w:val="0"/>
              <w:spacing w:line="440" w:lineRule="exact"/>
              <w:rPr>
                <w:rFonts w:asciiTheme="minorEastAsia" w:hAnsiTheme="minorEastAsia" w:cstheme="minorEastAsia"/>
                <w:bCs/>
                <w:szCs w:val="21"/>
              </w:rPr>
            </w:pPr>
            <w:r>
              <w:rPr>
                <w:rFonts w:hint="eastAsia" w:asciiTheme="minorEastAsia" w:hAnsiTheme="minorEastAsia" w:cstheme="minorEastAsia"/>
                <w:bCs/>
                <w:szCs w:val="21"/>
              </w:rPr>
              <w:t>2、轿厢通风系统：轿顶风口送风，轴流风扇；</w:t>
            </w:r>
          </w:p>
          <w:p w14:paraId="082831C1">
            <w:pPr>
              <w:autoSpaceDE w:val="0"/>
              <w:autoSpaceDN w:val="0"/>
              <w:spacing w:line="440" w:lineRule="exact"/>
              <w:rPr>
                <w:rFonts w:asciiTheme="minorEastAsia" w:hAnsiTheme="minorEastAsia" w:cstheme="minorEastAsia"/>
                <w:bCs/>
                <w:szCs w:val="21"/>
              </w:rPr>
            </w:pPr>
            <w:r>
              <w:rPr>
                <w:rFonts w:hint="eastAsia" w:asciiTheme="minorEastAsia" w:hAnsiTheme="minorEastAsia" w:cstheme="minorEastAsia"/>
                <w:bCs/>
                <w:szCs w:val="21"/>
              </w:rPr>
              <w:t>3、轿厢地板：PVC地板胶；</w:t>
            </w:r>
          </w:p>
          <w:p w14:paraId="090970B7">
            <w:pPr>
              <w:autoSpaceDE w:val="0"/>
              <w:autoSpaceDN w:val="0"/>
              <w:spacing w:line="440" w:lineRule="exact"/>
              <w:rPr>
                <w:rFonts w:asciiTheme="minorEastAsia" w:hAnsiTheme="minorEastAsia" w:cstheme="minorEastAsia"/>
                <w:bCs/>
                <w:szCs w:val="21"/>
              </w:rPr>
            </w:pPr>
            <w:r>
              <w:rPr>
                <w:rFonts w:hint="eastAsia" w:asciiTheme="minorEastAsia" w:hAnsiTheme="minorEastAsia" w:cstheme="minorEastAsia"/>
                <w:bCs/>
                <w:szCs w:val="21"/>
              </w:rPr>
              <w:t>4、轿厢装饰要求：发纹不绣钢，厚度1.2mm；</w:t>
            </w:r>
          </w:p>
          <w:p w14:paraId="4A35C76A">
            <w:pPr>
              <w:autoSpaceDE w:val="0"/>
              <w:autoSpaceDN w:val="0"/>
              <w:spacing w:line="440" w:lineRule="exact"/>
              <w:rPr>
                <w:rFonts w:asciiTheme="minorEastAsia" w:hAnsiTheme="minorEastAsia" w:cstheme="minorEastAsia"/>
                <w:bCs/>
                <w:szCs w:val="21"/>
              </w:rPr>
            </w:pPr>
            <w:r>
              <w:rPr>
                <w:rFonts w:hint="eastAsia" w:asciiTheme="minorEastAsia" w:hAnsiTheme="minorEastAsia" w:cstheme="minorEastAsia"/>
                <w:bCs/>
                <w:szCs w:val="21"/>
              </w:rPr>
              <w:t>5、轿门：发纹不锈钢，厚度1.2mm</w:t>
            </w:r>
          </w:p>
          <w:p w14:paraId="0C300A6C">
            <w:pPr>
              <w:autoSpaceDE w:val="0"/>
              <w:autoSpaceDN w:val="0"/>
              <w:spacing w:line="440" w:lineRule="exact"/>
              <w:rPr>
                <w:rFonts w:asciiTheme="minorEastAsia" w:hAnsiTheme="minorEastAsia" w:cstheme="minorEastAsia"/>
                <w:bCs/>
                <w:szCs w:val="21"/>
              </w:rPr>
            </w:pPr>
            <w:r>
              <w:rPr>
                <w:rFonts w:hint="eastAsia" w:asciiTheme="minorEastAsia" w:hAnsiTheme="minorEastAsia" w:cstheme="minorEastAsia"/>
                <w:bCs/>
                <w:szCs w:val="21"/>
              </w:rPr>
              <w:t xml:space="preserve">6、踢脚板：发纹不锈钢； </w:t>
            </w:r>
          </w:p>
          <w:p w14:paraId="2A0C8DB4">
            <w:pPr>
              <w:autoSpaceDE w:val="0"/>
              <w:autoSpaceDN w:val="0"/>
              <w:spacing w:line="440" w:lineRule="exact"/>
              <w:rPr>
                <w:rFonts w:asciiTheme="minorEastAsia" w:hAnsiTheme="minorEastAsia" w:cstheme="minorEastAsia"/>
                <w:bCs/>
                <w:szCs w:val="21"/>
              </w:rPr>
            </w:pPr>
            <w:r>
              <w:rPr>
                <w:rFonts w:hint="eastAsia" w:asciiTheme="minorEastAsia" w:hAnsiTheme="minorEastAsia" w:cstheme="minorEastAsia"/>
                <w:bCs/>
                <w:szCs w:val="21"/>
              </w:rPr>
              <w:t>7、层门及门套：首层发纹不锈钢层门及标准小门套，其余层涂装钢板，厚度1.2mm；</w:t>
            </w:r>
          </w:p>
          <w:p w14:paraId="3EA4FC45">
            <w:pPr>
              <w:autoSpaceDE w:val="0"/>
              <w:autoSpaceDN w:val="0"/>
              <w:spacing w:line="440" w:lineRule="exact"/>
              <w:rPr>
                <w:rFonts w:asciiTheme="minorEastAsia" w:hAnsiTheme="minorEastAsia" w:cstheme="minorEastAsia"/>
                <w:bCs/>
                <w:szCs w:val="21"/>
              </w:rPr>
            </w:pPr>
            <w:r>
              <w:rPr>
                <w:rFonts w:hint="eastAsia" w:asciiTheme="minorEastAsia" w:hAnsiTheme="minorEastAsia" w:cstheme="minorEastAsia"/>
                <w:bCs/>
                <w:szCs w:val="21"/>
              </w:rPr>
              <w:t xml:space="preserve">9、轿厢召唤箱，点阵显示，发纹不锈钢操纵箱：微动式按钮。             </w:t>
            </w:r>
          </w:p>
          <w:p w14:paraId="5A6EC0A7">
            <w:pPr>
              <w:autoSpaceDE w:val="0"/>
              <w:autoSpaceDN w:val="0"/>
              <w:spacing w:line="440" w:lineRule="exact"/>
              <w:rPr>
                <w:rFonts w:asciiTheme="minorEastAsia" w:hAnsiTheme="minorEastAsia" w:cstheme="minorEastAsia"/>
                <w:bCs/>
                <w:szCs w:val="21"/>
              </w:rPr>
            </w:pPr>
            <w:r>
              <w:rPr>
                <w:rFonts w:hint="eastAsia" w:asciiTheme="minorEastAsia" w:hAnsiTheme="minorEastAsia" w:cstheme="minorEastAsia"/>
                <w:bCs/>
                <w:szCs w:val="21"/>
              </w:rPr>
              <w:t>10、厅门召唤箱：点阵显示屏，发纹不锈钢面板。</w:t>
            </w:r>
          </w:p>
          <w:p w14:paraId="65E19B7C">
            <w:pPr>
              <w:pStyle w:val="7"/>
              <w:spacing w:after="0" w:line="360" w:lineRule="auto"/>
              <w:rPr>
                <w:rFonts w:asciiTheme="minorEastAsia" w:hAnsiTheme="minorEastAsia" w:cstheme="minorEastAsia"/>
                <w:b/>
                <w:bCs/>
                <w:lang w:val="zh-CN"/>
              </w:rPr>
            </w:pPr>
            <w:r>
              <w:rPr>
                <w:rFonts w:hint="eastAsia" w:ascii="宋体" w:hAnsi="宋体" w:cs="宋体"/>
                <w:bCs/>
                <w:szCs w:val="21"/>
              </w:rPr>
              <w:t>▲</w:t>
            </w:r>
            <w:r>
              <w:rPr>
                <w:rFonts w:hint="eastAsia" w:asciiTheme="minorEastAsia" w:hAnsiTheme="minorEastAsia" w:cstheme="minorEastAsia"/>
                <w:b/>
                <w:bCs/>
                <w:lang w:val="zh-CN"/>
              </w:rPr>
              <w:t>备注：发纹不锈钢为品牌不锈钢（不接受不锈钢混合包铁产品）</w:t>
            </w:r>
          </w:p>
          <w:p w14:paraId="1B16D591">
            <w:pPr>
              <w:spacing w:line="420" w:lineRule="exact"/>
              <w:rPr>
                <w:rFonts w:asciiTheme="minorEastAsia" w:hAnsiTheme="minorEastAsia" w:cstheme="minorEastAsia"/>
                <w:kern w:val="0"/>
                <w:szCs w:val="21"/>
              </w:rPr>
            </w:pPr>
            <w:r>
              <w:rPr>
                <w:rFonts w:hint="eastAsia" w:asciiTheme="minorEastAsia" w:hAnsiTheme="minorEastAsia" w:cstheme="minorEastAsia"/>
                <w:b/>
                <w:bCs/>
                <w:szCs w:val="21"/>
              </w:rPr>
              <w:t>▲（四）基本功能要求：</w:t>
            </w:r>
          </w:p>
          <w:p w14:paraId="560BD645">
            <w:pPr>
              <w:numPr>
                <w:ilvl w:val="0"/>
                <w:numId w:val="1"/>
              </w:numPr>
              <w:ind w:firstLine="0"/>
              <w:rPr>
                <w:bCs/>
                <w:szCs w:val="21"/>
              </w:rPr>
            </w:pPr>
            <w:r>
              <w:rPr>
                <w:rFonts w:hint="eastAsia"/>
                <w:bCs/>
                <w:szCs w:val="21"/>
              </w:rPr>
              <w:t>故障低速自救运行功能</w:t>
            </w:r>
          </w:p>
          <w:p w14:paraId="1F27F08E">
            <w:pPr>
              <w:numPr>
                <w:ilvl w:val="0"/>
                <w:numId w:val="1"/>
              </w:numPr>
              <w:ind w:firstLine="0"/>
              <w:rPr>
                <w:bCs/>
                <w:szCs w:val="21"/>
              </w:rPr>
            </w:pPr>
            <w:r>
              <w:rPr>
                <w:rFonts w:hint="eastAsia"/>
                <w:bCs/>
                <w:szCs w:val="21"/>
              </w:rPr>
              <w:t>起动补偿功能</w:t>
            </w:r>
          </w:p>
          <w:p w14:paraId="5A44491B">
            <w:pPr>
              <w:numPr>
                <w:ilvl w:val="0"/>
                <w:numId w:val="1"/>
              </w:numPr>
              <w:ind w:firstLine="0"/>
              <w:rPr>
                <w:bCs/>
                <w:szCs w:val="21"/>
              </w:rPr>
            </w:pPr>
            <w:r>
              <w:rPr>
                <w:rFonts w:hint="eastAsia"/>
                <w:bCs/>
                <w:szCs w:val="21"/>
              </w:rPr>
              <w:t>轿顶检修操作功能</w:t>
            </w:r>
          </w:p>
          <w:p w14:paraId="08B582A1">
            <w:pPr>
              <w:numPr>
                <w:ilvl w:val="0"/>
                <w:numId w:val="1"/>
              </w:numPr>
              <w:ind w:firstLine="0"/>
              <w:rPr>
                <w:bCs/>
                <w:szCs w:val="21"/>
              </w:rPr>
            </w:pPr>
            <w:r>
              <w:rPr>
                <w:rFonts w:hint="eastAsia"/>
                <w:bCs/>
                <w:szCs w:val="21"/>
              </w:rPr>
              <w:t>对讲机通讯功能</w:t>
            </w:r>
          </w:p>
          <w:p w14:paraId="36610A98">
            <w:pPr>
              <w:numPr>
                <w:ilvl w:val="0"/>
                <w:numId w:val="1"/>
              </w:numPr>
              <w:ind w:firstLine="0"/>
              <w:rPr>
                <w:bCs/>
                <w:szCs w:val="21"/>
              </w:rPr>
            </w:pPr>
            <w:r>
              <w:rPr>
                <w:rFonts w:hint="eastAsia"/>
                <w:bCs/>
                <w:szCs w:val="21"/>
              </w:rPr>
              <w:t>停车在非门区报警功能</w:t>
            </w:r>
          </w:p>
          <w:p w14:paraId="43E03439">
            <w:pPr>
              <w:numPr>
                <w:ilvl w:val="0"/>
                <w:numId w:val="1"/>
              </w:numPr>
              <w:ind w:firstLine="0"/>
              <w:rPr>
                <w:bCs/>
                <w:szCs w:val="21"/>
              </w:rPr>
            </w:pPr>
            <w:r>
              <w:rPr>
                <w:rFonts w:hint="eastAsia"/>
                <w:bCs/>
                <w:szCs w:val="21"/>
              </w:rPr>
              <w:t>底坑对讲机通讯功能</w:t>
            </w:r>
          </w:p>
          <w:p w14:paraId="0B4041BB">
            <w:pPr>
              <w:numPr>
                <w:ilvl w:val="0"/>
                <w:numId w:val="1"/>
              </w:numPr>
              <w:ind w:firstLine="0"/>
              <w:rPr>
                <w:bCs/>
                <w:szCs w:val="21"/>
              </w:rPr>
            </w:pPr>
            <w:r>
              <w:rPr>
                <w:rFonts w:hint="eastAsia"/>
                <w:bCs/>
                <w:szCs w:val="21"/>
              </w:rPr>
              <w:t>轿内照明自动控制功能</w:t>
            </w:r>
          </w:p>
          <w:p w14:paraId="3B26604D">
            <w:pPr>
              <w:numPr>
                <w:ilvl w:val="0"/>
                <w:numId w:val="1"/>
              </w:numPr>
              <w:ind w:firstLine="0"/>
              <w:rPr>
                <w:bCs/>
                <w:szCs w:val="21"/>
              </w:rPr>
            </w:pPr>
            <w:r>
              <w:rPr>
                <w:rFonts w:hint="eastAsia"/>
                <w:bCs/>
                <w:szCs w:val="21"/>
              </w:rPr>
              <w:t>反向内指令自动消除功能</w:t>
            </w:r>
          </w:p>
          <w:p w14:paraId="4A493ABF">
            <w:pPr>
              <w:numPr>
                <w:ilvl w:val="0"/>
                <w:numId w:val="1"/>
              </w:numPr>
              <w:ind w:firstLine="0"/>
              <w:rPr>
                <w:bCs/>
                <w:szCs w:val="21"/>
              </w:rPr>
            </w:pPr>
            <w:r>
              <w:rPr>
                <w:rFonts w:hint="eastAsia"/>
                <w:bCs/>
                <w:szCs w:val="21"/>
              </w:rPr>
              <w:t>轿内慢速运行功能</w:t>
            </w:r>
          </w:p>
          <w:p w14:paraId="765F83E1">
            <w:pPr>
              <w:numPr>
                <w:ilvl w:val="0"/>
                <w:numId w:val="1"/>
              </w:numPr>
              <w:ind w:firstLine="0"/>
              <w:rPr>
                <w:bCs/>
                <w:szCs w:val="21"/>
              </w:rPr>
            </w:pPr>
            <w:r>
              <w:rPr>
                <w:rFonts w:hint="eastAsia"/>
                <w:bCs/>
                <w:szCs w:val="21"/>
              </w:rPr>
              <w:t>故障自动检测功能</w:t>
            </w:r>
          </w:p>
          <w:p w14:paraId="49534E6A">
            <w:pPr>
              <w:numPr>
                <w:ilvl w:val="0"/>
                <w:numId w:val="1"/>
              </w:numPr>
              <w:ind w:firstLine="0"/>
              <w:rPr>
                <w:bCs/>
                <w:szCs w:val="21"/>
              </w:rPr>
            </w:pPr>
            <w:r>
              <w:rPr>
                <w:rFonts w:hint="eastAsia"/>
                <w:bCs/>
                <w:szCs w:val="21"/>
              </w:rPr>
              <w:t>电动机空转保护功能</w:t>
            </w:r>
          </w:p>
          <w:p w14:paraId="1BF42621">
            <w:pPr>
              <w:numPr>
                <w:ilvl w:val="0"/>
                <w:numId w:val="1"/>
              </w:numPr>
              <w:ind w:firstLine="0"/>
              <w:rPr>
                <w:bCs/>
                <w:szCs w:val="21"/>
              </w:rPr>
            </w:pPr>
            <w:r>
              <w:rPr>
                <w:rFonts w:hint="eastAsia"/>
                <w:bCs/>
                <w:szCs w:val="21"/>
              </w:rPr>
              <w:t>电梯服务支援系统</w:t>
            </w:r>
          </w:p>
          <w:p w14:paraId="00678FDE">
            <w:pPr>
              <w:numPr>
                <w:ilvl w:val="0"/>
                <w:numId w:val="1"/>
              </w:numPr>
              <w:ind w:firstLine="0"/>
              <w:rPr>
                <w:bCs/>
                <w:szCs w:val="21"/>
              </w:rPr>
            </w:pPr>
            <w:r>
              <w:rPr>
                <w:rFonts w:hint="eastAsia"/>
                <w:bCs/>
                <w:szCs w:val="21"/>
              </w:rPr>
              <w:t>厅轿门旁路检测功能</w:t>
            </w:r>
          </w:p>
          <w:p w14:paraId="2006DCE4">
            <w:pPr>
              <w:numPr>
                <w:ilvl w:val="0"/>
                <w:numId w:val="1"/>
              </w:numPr>
              <w:ind w:firstLine="0"/>
              <w:rPr>
                <w:bCs/>
                <w:szCs w:val="21"/>
              </w:rPr>
            </w:pPr>
            <w:r>
              <w:rPr>
                <w:rFonts w:hint="eastAsia"/>
                <w:bCs/>
                <w:szCs w:val="21"/>
              </w:rPr>
              <w:t>门过载保护功能</w:t>
            </w:r>
          </w:p>
          <w:p w14:paraId="4254D4DF">
            <w:pPr>
              <w:numPr>
                <w:ilvl w:val="0"/>
                <w:numId w:val="1"/>
              </w:numPr>
              <w:ind w:firstLine="0"/>
              <w:rPr>
                <w:bCs/>
                <w:szCs w:val="21"/>
              </w:rPr>
            </w:pPr>
            <w:r>
              <w:rPr>
                <w:rFonts w:hint="eastAsia"/>
                <w:bCs/>
                <w:szCs w:val="21"/>
              </w:rPr>
              <w:t>待机定期自检功能</w:t>
            </w:r>
          </w:p>
          <w:p w14:paraId="4B774029">
            <w:pPr>
              <w:numPr>
                <w:ilvl w:val="0"/>
                <w:numId w:val="1"/>
              </w:numPr>
              <w:ind w:firstLine="0"/>
              <w:rPr>
                <w:bCs/>
                <w:szCs w:val="21"/>
              </w:rPr>
            </w:pPr>
            <w:r>
              <w:rPr>
                <w:rFonts w:hint="eastAsia"/>
                <w:bCs/>
                <w:szCs w:val="21"/>
              </w:rPr>
              <w:t>提前预开门功能（速度≥120m/min时标准设置）</w:t>
            </w:r>
          </w:p>
          <w:p w14:paraId="38E533DF">
            <w:pPr>
              <w:numPr>
                <w:ilvl w:val="0"/>
                <w:numId w:val="1"/>
              </w:numPr>
              <w:ind w:firstLine="0"/>
              <w:rPr>
                <w:bCs/>
                <w:szCs w:val="21"/>
              </w:rPr>
            </w:pPr>
            <w:r>
              <w:rPr>
                <w:rFonts w:hint="eastAsia"/>
                <w:bCs/>
                <w:szCs w:val="21"/>
              </w:rPr>
              <w:t>运行次数显示功能</w:t>
            </w:r>
          </w:p>
          <w:p w14:paraId="4C03B6B8">
            <w:pPr>
              <w:numPr>
                <w:ilvl w:val="0"/>
                <w:numId w:val="1"/>
              </w:numPr>
              <w:ind w:firstLine="0"/>
              <w:rPr>
                <w:bCs/>
                <w:szCs w:val="21"/>
              </w:rPr>
            </w:pPr>
            <w:r>
              <w:rPr>
                <w:rFonts w:hint="eastAsia"/>
                <w:bCs/>
                <w:szCs w:val="21"/>
              </w:rPr>
              <w:t>层高自测定功能</w:t>
            </w:r>
          </w:p>
          <w:p w14:paraId="4585A056">
            <w:pPr>
              <w:numPr>
                <w:ilvl w:val="0"/>
                <w:numId w:val="1"/>
              </w:numPr>
              <w:ind w:firstLine="0"/>
              <w:rPr>
                <w:bCs/>
                <w:szCs w:val="21"/>
              </w:rPr>
            </w:pPr>
            <w:r>
              <w:rPr>
                <w:rFonts w:hint="eastAsia"/>
                <w:bCs/>
                <w:szCs w:val="21"/>
              </w:rPr>
              <w:t>故障自动存储功能</w:t>
            </w:r>
          </w:p>
          <w:p w14:paraId="3264E7DF">
            <w:pPr>
              <w:numPr>
                <w:ilvl w:val="0"/>
                <w:numId w:val="1"/>
              </w:numPr>
              <w:ind w:firstLine="0"/>
              <w:rPr>
                <w:bCs/>
                <w:szCs w:val="21"/>
              </w:rPr>
            </w:pPr>
            <w:r>
              <w:rPr>
                <w:rFonts w:hint="eastAsia"/>
                <w:bCs/>
                <w:szCs w:val="21"/>
              </w:rPr>
              <w:t>目的层按钮闪亮功能</w:t>
            </w:r>
          </w:p>
          <w:p w14:paraId="64202DAD">
            <w:pPr>
              <w:numPr>
                <w:ilvl w:val="0"/>
                <w:numId w:val="1"/>
              </w:numPr>
              <w:ind w:firstLine="0"/>
              <w:rPr>
                <w:bCs/>
                <w:szCs w:val="21"/>
              </w:rPr>
            </w:pPr>
            <w:r>
              <w:rPr>
                <w:rFonts w:hint="eastAsia"/>
                <w:bCs/>
                <w:szCs w:val="21"/>
              </w:rPr>
              <w:t>位置异常自动校正功能</w:t>
            </w:r>
          </w:p>
          <w:p w14:paraId="4185339E">
            <w:pPr>
              <w:numPr>
                <w:ilvl w:val="0"/>
                <w:numId w:val="1"/>
              </w:numPr>
              <w:ind w:firstLine="0"/>
              <w:rPr>
                <w:bCs/>
                <w:szCs w:val="21"/>
              </w:rPr>
            </w:pPr>
            <w:r>
              <w:rPr>
                <w:rFonts w:hint="eastAsia"/>
                <w:bCs/>
                <w:szCs w:val="21"/>
              </w:rPr>
              <w:t>同步电机磁极码自学习功能</w:t>
            </w:r>
          </w:p>
          <w:p w14:paraId="2E1A1236">
            <w:pPr>
              <w:numPr>
                <w:ilvl w:val="0"/>
                <w:numId w:val="1"/>
              </w:numPr>
              <w:ind w:firstLine="0"/>
              <w:rPr>
                <w:bCs/>
                <w:szCs w:val="21"/>
              </w:rPr>
            </w:pPr>
            <w:r>
              <w:rPr>
                <w:rFonts w:hint="eastAsia"/>
                <w:bCs/>
                <w:szCs w:val="21"/>
              </w:rPr>
              <w:t>警铃报警功能</w:t>
            </w:r>
          </w:p>
          <w:p w14:paraId="393964FA">
            <w:pPr>
              <w:numPr>
                <w:ilvl w:val="0"/>
                <w:numId w:val="1"/>
              </w:numPr>
              <w:ind w:firstLine="0"/>
              <w:rPr>
                <w:bCs/>
                <w:szCs w:val="21"/>
              </w:rPr>
            </w:pPr>
            <w:r>
              <w:rPr>
                <w:rFonts w:hint="eastAsia"/>
                <w:bCs/>
                <w:szCs w:val="21"/>
              </w:rPr>
              <w:t>满载直驶运行功能</w:t>
            </w:r>
          </w:p>
          <w:p w14:paraId="69E3AFF9">
            <w:pPr>
              <w:numPr>
                <w:ilvl w:val="0"/>
                <w:numId w:val="1"/>
              </w:numPr>
              <w:ind w:firstLine="0"/>
              <w:rPr>
                <w:bCs/>
                <w:szCs w:val="21"/>
              </w:rPr>
            </w:pPr>
            <w:r>
              <w:rPr>
                <w:rFonts w:hint="eastAsia"/>
                <w:bCs/>
                <w:szCs w:val="21"/>
              </w:rPr>
              <w:t>轿内通风自动控制功能</w:t>
            </w:r>
          </w:p>
          <w:p w14:paraId="5EE2C589">
            <w:pPr>
              <w:numPr>
                <w:ilvl w:val="0"/>
                <w:numId w:val="1"/>
              </w:numPr>
              <w:ind w:firstLine="0"/>
              <w:rPr>
                <w:bCs/>
                <w:szCs w:val="21"/>
              </w:rPr>
            </w:pPr>
            <w:r>
              <w:rPr>
                <w:rFonts w:hint="eastAsia"/>
                <w:bCs/>
                <w:szCs w:val="21"/>
              </w:rPr>
              <w:t>智能辅助制动功能</w:t>
            </w:r>
          </w:p>
          <w:p w14:paraId="3CC1100E">
            <w:pPr>
              <w:numPr>
                <w:ilvl w:val="0"/>
                <w:numId w:val="1"/>
              </w:numPr>
              <w:ind w:firstLine="0"/>
              <w:rPr>
                <w:bCs/>
                <w:szCs w:val="21"/>
              </w:rPr>
            </w:pPr>
            <w:r>
              <w:rPr>
                <w:rFonts w:hint="eastAsia"/>
                <w:bCs/>
                <w:szCs w:val="21"/>
              </w:rPr>
              <w:t>抱闸动作的双安全检测功能</w:t>
            </w:r>
          </w:p>
          <w:p w14:paraId="5591C985">
            <w:pPr>
              <w:numPr>
                <w:ilvl w:val="0"/>
                <w:numId w:val="1"/>
              </w:numPr>
              <w:ind w:firstLine="0"/>
              <w:rPr>
                <w:bCs/>
                <w:szCs w:val="21"/>
              </w:rPr>
            </w:pPr>
            <w:r>
              <w:rPr>
                <w:rFonts w:hint="eastAsia"/>
                <w:bCs/>
                <w:szCs w:val="21"/>
              </w:rPr>
              <w:t>无呼自返基站功能:1层</w:t>
            </w:r>
          </w:p>
          <w:p w14:paraId="54ECC463">
            <w:pPr>
              <w:numPr>
                <w:ilvl w:val="0"/>
                <w:numId w:val="1"/>
              </w:numPr>
              <w:ind w:firstLine="0"/>
              <w:rPr>
                <w:bCs/>
                <w:szCs w:val="21"/>
              </w:rPr>
            </w:pPr>
            <w:r>
              <w:rPr>
                <w:rFonts w:hint="eastAsia"/>
                <w:bCs/>
                <w:szCs w:val="21"/>
              </w:rPr>
              <w:t>电动机过载保护功能</w:t>
            </w:r>
          </w:p>
          <w:p w14:paraId="1A36F856">
            <w:pPr>
              <w:numPr>
                <w:ilvl w:val="0"/>
                <w:numId w:val="1"/>
              </w:numPr>
              <w:ind w:firstLine="0"/>
              <w:rPr>
                <w:bCs/>
                <w:szCs w:val="21"/>
              </w:rPr>
            </w:pPr>
            <w:r>
              <w:rPr>
                <w:rFonts w:hint="eastAsia"/>
                <w:bCs/>
                <w:szCs w:val="21"/>
              </w:rPr>
              <w:t>无效内指令自动消除功能</w:t>
            </w:r>
          </w:p>
          <w:p w14:paraId="49E1C412">
            <w:pPr>
              <w:numPr>
                <w:ilvl w:val="0"/>
                <w:numId w:val="1"/>
              </w:numPr>
              <w:ind w:firstLine="0"/>
              <w:rPr>
                <w:bCs/>
                <w:szCs w:val="21"/>
              </w:rPr>
            </w:pPr>
            <w:r>
              <w:rPr>
                <w:rFonts w:hint="eastAsia"/>
                <w:bCs/>
                <w:szCs w:val="21"/>
              </w:rPr>
              <w:t>抗电磁干扰功能</w:t>
            </w:r>
          </w:p>
          <w:p w14:paraId="752BD5A8">
            <w:pPr>
              <w:numPr>
                <w:ilvl w:val="0"/>
                <w:numId w:val="1"/>
              </w:numPr>
              <w:ind w:firstLine="0"/>
              <w:rPr>
                <w:bCs/>
                <w:szCs w:val="21"/>
              </w:rPr>
            </w:pPr>
            <w:r>
              <w:rPr>
                <w:rFonts w:hint="eastAsia"/>
                <w:bCs/>
                <w:szCs w:val="21"/>
              </w:rPr>
              <w:t>微动平层功能（提升高度≥45米时标准设置）</w:t>
            </w:r>
          </w:p>
          <w:p w14:paraId="2DB0762F">
            <w:pPr>
              <w:numPr>
                <w:ilvl w:val="0"/>
                <w:numId w:val="1"/>
              </w:numPr>
              <w:ind w:firstLine="0"/>
              <w:rPr>
                <w:bCs/>
                <w:szCs w:val="21"/>
              </w:rPr>
            </w:pPr>
            <w:r>
              <w:rPr>
                <w:rFonts w:hint="eastAsia"/>
                <w:bCs/>
                <w:szCs w:val="21"/>
              </w:rPr>
              <w:t>超载报警功能</w:t>
            </w:r>
          </w:p>
          <w:p w14:paraId="65B2AF21">
            <w:pPr>
              <w:numPr>
                <w:ilvl w:val="0"/>
                <w:numId w:val="1"/>
              </w:numPr>
              <w:ind w:firstLine="0"/>
              <w:rPr>
                <w:bCs/>
                <w:szCs w:val="21"/>
              </w:rPr>
            </w:pPr>
            <w:r>
              <w:rPr>
                <w:rFonts w:hint="eastAsia"/>
                <w:bCs/>
                <w:szCs w:val="21"/>
              </w:rPr>
              <w:t>门停止运行功能</w:t>
            </w:r>
          </w:p>
          <w:p w14:paraId="12F57ED3">
            <w:pPr>
              <w:numPr>
                <w:ilvl w:val="0"/>
                <w:numId w:val="1"/>
              </w:numPr>
              <w:ind w:firstLine="0"/>
              <w:rPr>
                <w:bCs/>
                <w:szCs w:val="21"/>
              </w:rPr>
            </w:pPr>
            <w:r>
              <w:rPr>
                <w:rFonts w:hint="eastAsia"/>
                <w:bCs/>
                <w:szCs w:val="21"/>
              </w:rPr>
              <w:t>开门时间自动调整功能</w:t>
            </w:r>
          </w:p>
          <w:p w14:paraId="6F0F2576">
            <w:pPr>
              <w:numPr>
                <w:ilvl w:val="0"/>
                <w:numId w:val="1"/>
              </w:numPr>
              <w:ind w:firstLine="0"/>
              <w:rPr>
                <w:bCs/>
                <w:szCs w:val="21"/>
              </w:rPr>
            </w:pPr>
            <w:r>
              <w:rPr>
                <w:rFonts w:hint="eastAsia"/>
                <w:bCs/>
                <w:szCs w:val="21"/>
              </w:rPr>
              <w:t>全集选控制运行功能</w:t>
            </w:r>
          </w:p>
          <w:p w14:paraId="331D24A4">
            <w:pPr>
              <w:numPr>
                <w:ilvl w:val="0"/>
                <w:numId w:val="1"/>
              </w:numPr>
              <w:ind w:firstLine="0"/>
              <w:rPr>
                <w:bCs/>
                <w:szCs w:val="21"/>
              </w:rPr>
            </w:pPr>
            <w:r>
              <w:rPr>
                <w:rFonts w:hint="eastAsia"/>
                <w:bCs/>
                <w:szCs w:val="21"/>
              </w:rPr>
              <w:t>开关门时间超常保护功能</w:t>
            </w:r>
          </w:p>
          <w:p w14:paraId="00137C54">
            <w:pPr>
              <w:numPr>
                <w:ilvl w:val="0"/>
                <w:numId w:val="1"/>
              </w:numPr>
              <w:ind w:firstLine="0"/>
              <w:rPr>
                <w:bCs/>
                <w:szCs w:val="21"/>
              </w:rPr>
            </w:pPr>
            <w:r>
              <w:rPr>
                <w:rFonts w:hint="eastAsia"/>
                <w:bCs/>
                <w:szCs w:val="21"/>
              </w:rPr>
              <w:t>停电应急照明功能</w:t>
            </w:r>
          </w:p>
          <w:p w14:paraId="06954057">
            <w:pPr>
              <w:numPr>
                <w:ilvl w:val="0"/>
                <w:numId w:val="1"/>
              </w:numPr>
              <w:ind w:firstLine="0"/>
              <w:rPr>
                <w:bCs/>
                <w:szCs w:val="21"/>
              </w:rPr>
            </w:pPr>
            <w:r>
              <w:rPr>
                <w:rFonts w:hint="eastAsia"/>
                <w:bCs/>
                <w:szCs w:val="21"/>
              </w:rPr>
              <w:t>超载保护功能</w:t>
            </w:r>
          </w:p>
          <w:p w14:paraId="26D20853">
            <w:pPr>
              <w:numPr>
                <w:ilvl w:val="0"/>
                <w:numId w:val="1"/>
              </w:numPr>
              <w:ind w:firstLine="0"/>
              <w:rPr>
                <w:bCs/>
                <w:szCs w:val="21"/>
              </w:rPr>
            </w:pPr>
            <w:r>
              <w:rPr>
                <w:rFonts w:hint="eastAsia"/>
                <w:bCs/>
                <w:szCs w:val="21"/>
              </w:rPr>
              <w:t>机房调试操作功能</w:t>
            </w:r>
          </w:p>
          <w:p w14:paraId="62961A8E">
            <w:pPr>
              <w:numPr>
                <w:ilvl w:val="0"/>
                <w:numId w:val="1"/>
              </w:numPr>
              <w:ind w:firstLine="0"/>
              <w:rPr>
                <w:bCs/>
                <w:szCs w:val="21"/>
              </w:rPr>
            </w:pPr>
            <w:r>
              <w:rPr>
                <w:rFonts w:hint="eastAsia"/>
                <w:bCs/>
                <w:szCs w:val="21"/>
              </w:rPr>
              <w:t>超速机械保护功能</w:t>
            </w:r>
          </w:p>
          <w:p w14:paraId="3385AF60">
            <w:pPr>
              <w:numPr>
                <w:ilvl w:val="0"/>
                <w:numId w:val="1"/>
              </w:numPr>
              <w:ind w:firstLine="0"/>
              <w:rPr>
                <w:bCs/>
                <w:szCs w:val="21"/>
              </w:rPr>
            </w:pPr>
            <w:r>
              <w:rPr>
                <w:rFonts w:hint="eastAsia"/>
                <w:bCs/>
                <w:szCs w:val="21"/>
              </w:rPr>
              <w:t>消防迫降功能:1层</w:t>
            </w:r>
          </w:p>
          <w:p w14:paraId="2AA5BE08">
            <w:pPr>
              <w:numPr>
                <w:ilvl w:val="0"/>
                <w:numId w:val="1"/>
              </w:numPr>
              <w:ind w:firstLine="0"/>
              <w:rPr>
                <w:bCs/>
                <w:szCs w:val="21"/>
              </w:rPr>
            </w:pPr>
            <w:r>
              <w:rPr>
                <w:rFonts w:hint="eastAsia"/>
                <w:bCs/>
                <w:szCs w:val="21"/>
              </w:rPr>
              <w:t>泊梯功能:1层</w:t>
            </w:r>
          </w:p>
          <w:p w14:paraId="33780FAD">
            <w:pPr>
              <w:numPr>
                <w:ilvl w:val="0"/>
                <w:numId w:val="1"/>
              </w:numPr>
              <w:ind w:firstLine="0"/>
              <w:rPr>
                <w:bCs/>
                <w:szCs w:val="21"/>
              </w:rPr>
            </w:pPr>
            <w:r>
              <w:rPr>
                <w:rFonts w:hint="eastAsia"/>
                <w:bCs/>
                <w:szCs w:val="21"/>
              </w:rPr>
              <w:t>开门时间自动控制功能</w:t>
            </w:r>
          </w:p>
          <w:p w14:paraId="1FFE205D">
            <w:pPr>
              <w:numPr>
                <w:ilvl w:val="0"/>
                <w:numId w:val="1"/>
              </w:numPr>
              <w:ind w:firstLine="0"/>
              <w:rPr>
                <w:bCs/>
                <w:szCs w:val="21"/>
              </w:rPr>
            </w:pPr>
            <w:r>
              <w:rPr>
                <w:rFonts w:hint="eastAsia"/>
                <w:bCs/>
                <w:szCs w:val="21"/>
              </w:rPr>
              <w:t>超速电气保护功能</w:t>
            </w:r>
          </w:p>
          <w:p w14:paraId="732C5252">
            <w:pPr>
              <w:numPr>
                <w:ilvl w:val="0"/>
                <w:numId w:val="1"/>
              </w:numPr>
              <w:ind w:firstLine="0"/>
              <w:rPr>
                <w:bCs/>
                <w:szCs w:val="21"/>
              </w:rPr>
            </w:pPr>
            <w:r>
              <w:rPr>
                <w:rFonts w:hint="eastAsia"/>
                <w:bCs/>
                <w:szCs w:val="21"/>
              </w:rPr>
              <w:t>开门异常自动选层功能</w:t>
            </w:r>
          </w:p>
          <w:p w14:paraId="065EF905">
            <w:pPr>
              <w:numPr>
                <w:ilvl w:val="0"/>
                <w:numId w:val="1"/>
              </w:numPr>
              <w:ind w:firstLine="0"/>
              <w:rPr>
                <w:bCs/>
                <w:szCs w:val="21"/>
              </w:rPr>
            </w:pPr>
            <w:r>
              <w:rPr>
                <w:rFonts w:hint="eastAsia"/>
                <w:bCs/>
                <w:szCs w:val="21"/>
              </w:rPr>
              <w:t>电动机过热保护功能</w:t>
            </w:r>
          </w:p>
          <w:p w14:paraId="0483F795">
            <w:pPr>
              <w:numPr>
                <w:ilvl w:val="0"/>
                <w:numId w:val="1"/>
              </w:numPr>
              <w:ind w:firstLine="0"/>
              <w:rPr>
                <w:bCs/>
                <w:szCs w:val="21"/>
              </w:rPr>
            </w:pPr>
            <w:r>
              <w:rPr>
                <w:rFonts w:hint="eastAsia"/>
                <w:bCs/>
                <w:szCs w:val="21"/>
              </w:rPr>
              <w:t>厅外检修显示功能</w:t>
            </w:r>
          </w:p>
          <w:p w14:paraId="55BDBC89">
            <w:pPr>
              <w:numPr>
                <w:ilvl w:val="0"/>
                <w:numId w:val="1"/>
              </w:numPr>
              <w:ind w:firstLine="0"/>
              <w:rPr>
                <w:bCs/>
                <w:szCs w:val="21"/>
              </w:rPr>
            </w:pPr>
            <w:r>
              <w:rPr>
                <w:rFonts w:hint="eastAsia"/>
                <w:bCs/>
                <w:szCs w:val="21"/>
              </w:rPr>
              <w:t>消防员专用功能</w:t>
            </w:r>
          </w:p>
          <w:p w14:paraId="6AF6B074">
            <w:pPr>
              <w:numPr>
                <w:ilvl w:val="0"/>
                <w:numId w:val="1"/>
              </w:numPr>
              <w:ind w:firstLine="0"/>
              <w:rPr>
                <w:bCs/>
                <w:szCs w:val="21"/>
              </w:rPr>
            </w:pPr>
            <w:r>
              <w:rPr>
                <w:rFonts w:hint="eastAsia"/>
                <w:bCs/>
                <w:szCs w:val="21"/>
              </w:rPr>
              <w:t>五方通话功能</w:t>
            </w:r>
          </w:p>
          <w:p w14:paraId="14DC466F">
            <w:pPr>
              <w:numPr>
                <w:ilvl w:val="0"/>
                <w:numId w:val="1"/>
              </w:numPr>
              <w:ind w:firstLine="0"/>
              <w:rPr>
                <w:bCs/>
                <w:szCs w:val="21"/>
              </w:rPr>
            </w:pPr>
            <w:r>
              <w:rPr>
                <w:rFonts w:hint="eastAsia"/>
                <w:bCs/>
                <w:szCs w:val="21"/>
              </w:rPr>
              <w:t>停电应急平层</w:t>
            </w:r>
          </w:p>
          <w:p w14:paraId="6186C034">
            <w:pPr>
              <w:numPr>
                <w:ilvl w:val="0"/>
                <w:numId w:val="1"/>
              </w:numPr>
              <w:ind w:firstLine="0"/>
              <w:rPr>
                <w:rFonts w:ascii="宋体" w:hAnsi="宋体" w:eastAsia="宋体" w:cs="宋体"/>
                <w:szCs w:val="21"/>
              </w:rPr>
            </w:pPr>
            <w:r>
              <w:rPr>
                <w:rFonts w:hint="eastAsia"/>
                <w:bCs/>
                <w:szCs w:val="21"/>
              </w:rPr>
              <w:t>轿内误指令取消功能</w:t>
            </w:r>
          </w:p>
        </w:tc>
      </w:tr>
      <w:tr w14:paraId="72B9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50F1C714">
            <w:pPr>
              <w:jc w:val="center"/>
              <w:rPr>
                <w:rFonts w:ascii="宋体" w:hAnsi="宋体" w:eastAsia="宋体" w:cs="宋体"/>
              </w:rPr>
            </w:pPr>
            <w:r>
              <w:rPr>
                <w:rFonts w:hint="eastAsia" w:ascii="宋体" w:hAnsi="宋体" w:eastAsia="宋体" w:cs="宋体"/>
                <w:b/>
                <w:bCs/>
              </w:rPr>
              <w:t>T2</w:t>
            </w:r>
          </w:p>
        </w:tc>
        <w:tc>
          <w:tcPr>
            <w:tcW w:w="2312" w:type="dxa"/>
            <w:vAlign w:val="center"/>
          </w:tcPr>
          <w:p w14:paraId="666F2CDF">
            <w:pPr>
              <w:rPr>
                <w:rFonts w:ascii="宋体" w:hAnsi="宋体" w:eastAsia="宋体" w:cs="宋体"/>
              </w:rPr>
            </w:pPr>
          </w:p>
          <w:p w14:paraId="52194259">
            <w:pPr>
              <w:jc w:val="center"/>
              <w:rPr>
                <w:rFonts w:ascii="宋体" w:hAnsi="宋体" w:eastAsia="宋体" w:cs="宋体"/>
              </w:rPr>
            </w:pPr>
          </w:p>
          <w:p w14:paraId="2E133A48">
            <w:pPr>
              <w:spacing w:line="360" w:lineRule="auto"/>
              <w:jc w:val="center"/>
              <w:rPr>
                <w:rFonts w:ascii="宋体" w:hAnsi="宋体" w:eastAsia="宋体" w:cs="宋体"/>
                <w:b/>
                <w:bCs/>
              </w:rPr>
            </w:pPr>
            <w:r>
              <w:rPr>
                <w:rFonts w:hint="eastAsia" w:ascii="宋体" w:hAnsi="宋体" w:eastAsia="宋体" w:cs="宋体"/>
                <w:b/>
                <w:bCs/>
              </w:rPr>
              <w:t>产品名称：</w:t>
            </w:r>
          </w:p>
          <w:p w14:paraId="32AFAFDA">
            <w:pPr>
              <w:spacing w:line="360" w:lineRule="auto"/>
              <w:jc w:val="center"/>
              <w:rPr>
                <w:rFonts w:ascii="宋体" w:hAnsi="宋体" w:eastAsia="宋体" w:cs="宋体"/>
                <w:b/>
                <w:bCs/>
              </w:rPr>
            </w:pPr>
            <w:r>
              <w:rPr>
                <w:rFonts w:hint="eastAsia" w:ascii="宋体" w:hAnsi="宋体" w:eastAsia="宋体" w:cs="宋体"/>
                <w:b/>
                <w:bCs/>
              </w:rPr>
              <w:t>有机房乘客电梯</w:t>
            </w:r>
          </w:p>
          <w:p w14:paraId="18FA13EA">
            <w:pPr>
              <w:spacing w:line="100" w:lineRule="exact"/>
              <w:jc w:val="center"/>
              <w:rPr>
                <w:rFonts w:ascii="宋体" w:hAnsi="宋体" w:eastAsia="宋体" w:cs="宋体"/>
                <w:b/>
                <w:bCs/>
              </w:rPr>
            </w:pPr>
          </w:p>
          <w:p w14:paraId="4CDACA0E">
            <w:pPr>
              <w:jc w:val="center"/>
              <w:rPr>
                <w:rFonts w:ascii="宋体" w:hAnsi="宋体" w:eastAsia="宋体" w:cs="宋体"/>
                <w:b/>
                <w:bCs/>
              </w:rPr>
            </w:pPr>
            <w:r>
              <w:rPr>
                <w:rFonts w:hint="eastAsia" w:ascii="宋体" w:hAnsi="宋体" w:eastAsia="宋体" w:cs="宋体"/>
                <w:b/>
                <w:bCs/>
              </w:rPr>
              <w:t>品牌：上海三菱</w:t>
            </w:r>
          </w:p>
          <w:p w14:paraId="008650F5">
            <w:pPr>
              <w:spacing w:line="100" w:lineRule="exact"/>
              <w:jc w:val="center"/>
              <w:rPr>
                <w:rFonts w:ascii="宋体" w:hAnsi="宋体" w:eastAsia="宋体" w:cs="宋体"/>
                <w:b/>
                <w:bCs/>
              </w:rPr>
            </w:pPr>
          </w:p>
          <w:p w14:paraId="3BDC80A0">
            <w:pPr>
              <w:jc w:val="center"/>
              <w:rPr>
                <w:rFonts w:ascii="宋体" w:hAnsi="宋体" w:eastAsia="宋体" w:cs="宋体"/>
                <w:b/>
                <w:bCs/>
              </w:rPr>
            </w:pPr>
            <w:r>
              <w:rPr>
                <w:rFonts w:hint="eastAsia" w:ascii="宋体" w:hAnsi="宋体" w:eastAsia="宋体" w:cs="宋体"/>
                <w:b/>
                <w:bCs/>
              </w:rPr>
              <w:t>型号：</w:t>
            </w:r>
            <w:r>
              <w:rPr>
                <w:rFonts w:ascii="宋体" w:hAnsi="宋体" w:eastAsia="宋体" w:cs="宋体"/>
                <w:b/>
                <w:bCs/>
              </w:rPr>
              <w:t>LEHY-S</w:t>
            </w:r>
          </w:p>
          <w:p w14:paraId="153F47C1">
            <w:pPr>
              <w:jc w:val="center"/>
              <w:rPr>
                <w:rFonts w:ascii="宋体" w:hAnsi="宋体" w:eastAsia="宋体" w:cs="宋体"/>
              </w:rPr>
            </w:pPr>
          </w:p>
        </w:tc>
        <w:tc>
          <w:tcPr>
            <w:tcW w:w="568" w:type="dxa"/>
            <w:vAlign w:val="center"/>
          </w:tcPr>
          <w:p w14:paraId="37B07CF3">
            <w:pPr>
              <w:jc w:val="center"/>
              <w:rPr>
                <w:rFonts w:ascii="宋体" w:hAnsi="宋体" w:eastAsia="宋体" w:cs="宋体"/>
              </w:rPr>
            </w:pPr>
            <w:r>
              <w:rPr>
                <w:rFonts w:hint="eastAsia" w:ascii="宋体" w:hAnsi="宋体" w:eastAsia="宋体" w:cs="宋体"/>
                <w:b/>
                <w:bCs/>
              </w:rPr>
              <w:t>1台</w:t>
            </w:r>
          </w:p>
        </w:tc>
        <w:tc>
          <w:tcPr>
            <w:tcW w:w="6563" w:type="dxa"/>
          </w:tcPr>
          <w:p w14:paraId="08B634D9">
            <w:pPr>
              <w:spacing w:line="420" w:lineRule="exact"/>
              <w:rPr>
                <w:rFonts w:asciiTheme="minorEastAsia" w:hAnsiTheme="minorEastAsia" w:cstheme="minorEastAsia"/>
                <w:b/>
                <w:bCs/>
                <w:szCs w:val="21"/>
              </w:rPr>
            </w:pPr>
            <w:r>
              <w:rPr>
                <w:rFonts w:hint="eastAsia" w:asciiTheme="minorEastAsia" w:hAnsiTheme="minorEastAsia" w:cstheme="minorEastAsia"/>
                <w:b/>
                <w:bCs/>
                <w:szCs w:val="21"/>
              </w:rPr>
              <w:t>（一）技术规格参数要求：</w:t>
            </w:r>
          </w:p>
          <w:p w14:paraId="51160FA5">
            <w:pPr>
              <w:spacing w:line="420" w:lineRule="exact"/>
              <w:rPr>
                <w:rFonts w:asciiTheme="minorEastAsia" w:hAnsiTheme="minorEastAsia" w:cstheme="minorEastAsia"/>
                <w:bCs/>
                <w:szCs w:val="21"/>
              </w:rPr>
            </w:pPr>
            <w:r>
              <w:rPr>
                <w:rFonts w:hint="eastAsia" w:asciiTheme="minorEastAsia" w:hAnsiTheme="minorEastAsia" w:cstheme="minorEastAsia"/>
                <w:bCs/>
                <w:szCs w:val="21"/>
              </w:rPr>
              <w:t>1、井道尺寸：2150mm宽</w:t>
            </w:r>
            <w:r>
              <w:rPr>
                <w:rFonts w:asciiTheme="minorEastAsia" w:hAnsiTheme="minorEastAsia" w:cstheme="minorEastAsia"/>
                <w:bCs/>
                <w:szCs w:val="21"/>
              </w:rPr>
              <w:t>×</w:t>
            </w:r>
            <w:r>
              <w:rPr>
                <w:rFonts w:hint="eastAsia" w:asciiTheme="minorEastAsia" w:hAnsiTheme="minorEastAsia" w:cstheme="minorEastAsia"/>
                <w:bCs/>
                <w:szCs w:val="21"/>
              </w:rPr>
              <w:t>2150mm深（以现场实际尺寸并经双方确认图纸为准）；</w:t>
            </w:r>
          </w:p>
          <w:p w14:paraId="56630A3A">
            <w:pPr>
              <w:spacing w:line="420" w:lineRule="exact"/>
              <w:rPr>
                <w:rFonts w:asciiTheme="minorEastAsia" w:hAnsiTheme="minorEastAsia" w:cstheme="minorEastAsia"/>
                <w:bCs/>
                <w:szCs w:val="21"/>
              </w:rPr>
            </w:pPr>
            <w:r>
              <w:rPr>
                <w:rFonts w:hint="eastAsia" w:asciiTheme="minorEastAsia" w:hAnsiTheme="minorEastAsia" w:cstheme="minorEastAsia"/>
                <w:szCs w:val="21"/>
              </w:rPr>
              <w:t>▲</w:t>
            </w:r>
            <w:r>
              <w:rPr>
                <w:rFonts w:hint="eastAsia" w:asciiTheme="minorEastAsia" w:hAnsiTheme="minorEastAsia" w:cstheme="minorEastAsia"/>
                <w:bCs/>
                <w:szCs w:val="21"/>
              </w:rPr>
              <w:t>2、载重：1050kg；</w:t>
            </w:r>
          </w:p>
          <w:p w14:paraId="308C3261">
            <w:pPr>
              <w:spacing w:line="420" w:lineRule="exact"/>
              <w:rPr>
                <w:rFonts w:asciiTheme="minorEastAsia" w:hAnsiTheme="minorEastAsia" w:cstheme="minorEastAsia"/>
                <w:bCs/>
                <w:szCs w:val="21"/>
              </w:rPr>
            </w:pPr>
            <w:r>
              <w:rPr>
                <w:rFonts w:hint="eastAsia" w:asciiTheme="minorEastAsia" w:hAnsiTheme="minorEastAsia" w:cstheme="minorEastAsia"/>
                <w:szCs w:val="21"/>
              </w:rPr>
              <w:t>▲</w:t>
            </w:r>
            <w:r>
              <w:rPr>
                <w:rFonts w:hint="eastAsia" w:asciiTheme="minorEastAsia" w:hAnsiTheme="minorEastAsia" w:cstheme="minorEastAsia"/>
                <w:bCs/>
                <w:szCs w:val="21"/>
              </w:rPr>
              <w:t>3、速度：1.</w:t>
            </w:r>
            <w:r>
              <w:rPr>
                <w:rFonts w:asciiTheme="minorEastAsia" w:hAnsiTheme="minorEastAsia" w:cstheme="minorEastAsia"/>
                <w:bCs/>
                <w:szCs w:val="21"/>
              </w:rPr>
              <w:t>7</w:t>
            </w:r>
            <w:r>
              <w:rPr>
                <w:rFonts w:hint="eastAsia" w:asciiTheme="minorEastAsia" w:hAnsiTheme="minorEastAsia" w:cstheme="minorEastAsia"/>
                <w:bCs/>
                <w:szCs w:val="21"/>
              </w:rPr>
              <w:t>5m/s；</w:t>
            </w:r>
          </w:p>
          <w:p w14:paraId="0D758EE1">
            <w:pPr>
              <w:spacing w:line="420" w:lineRule="exact"/>
              <w:rPr>
                <w:rFonts w:asciiTheme="minorEastAsia" w:hAnsiTheme="minorEastAsia" w:cstheme="minorEastAsia"/>
                <w:szCs w:val="21"/>
              </w:rPr>
            </w:pPr>
            <w:r>
              <w:rPr>
                <w:rFonts w:hint="eastAsia" w:asciiTheme="minorEastAsia" w:hAnsiTheme="minorEastAsia" w:cstheme="minorEastAsia"/>
                <w:szCs w:val="21"/>
              </w:rPr>
              <w:t>▲4、层站门：</w:t>
            </w:r>
            <w:r>
              <w:rPr>
                <w:rFonts w:asciiTheme="minorEastAsia" w:hAnsiTheme="minorEastAsia" w:cstheme="minorEastAsia"/>
                <w:color w:val="C00000"/>
                <w:szCs w:val="21"/>
              </w:rPr>
              <w:t>8</w:t>
            </w:r>
            <w:r>
              <w:rPr>
                <w:rFonts w:hint="eastAsia" w:asciiTheme="minorEastAsia" w:hAnsiTheme="minorEastAsia" w:cstheme="minorEastAsia"/>
                <w:color w:val="C00000"/>
                <w:szCs w:val="21"/>
              </w:rPr>
              <w:t>层</w:t>
            </w:r>
            <w:r>
              <w:rPr>
                <w:rFonts w:asciiTheme="minorEastAsia" w:hAnsiTheme="minorEastAsia" w:cstheme="minorEastAsia"/>
                <w:color w:val="C00000"/>
                <w:szCs w:val="21"/>
              </w:rPr>
              <w:t>8</w:t>
            </w:r>
            <w:r>
              <w:rPr>
                <w:rFonts w:hint="eastAsia" w:asciiTheme="minorEastAsia" w:hAnsiTheme="minorEastAsia" w:cstheme="minorEastAsia"/>
                <w:color w:val="C00000"/>
                <w:szCs w:val="21"/>
              </w:rPr>
              <w:t>站</w:t>
            </w:r>
            <w:r>
              <w:rPr>
                <w:rFonts w:asciiTheme="minorEastAsia" w:hAnsiTheme="minorEastAsia" w:cstheme="minorEastAsia"/>
                <w:color w:val="C00000"/>
                <w:szCs w:val="21"/>
              </w:rPr>
              <w:t>8</w:t>
            </w:r>
            <w:r>
              <w:rPr>
                <w:rFonts w:hint="eastAsia" w:asciiTheme="minorEastAsia" w:hAnsiTheme="minorEastAsia" w:cstheme="minorEastAsia"/>
                <w:color w:val="C00000"/>
                <w:szCs w:val="21"/>
              </w:rPr>
              <w:t>门</w:t>
            </w:r>
          </w:p>
          <w:p w14:paraId="71F706D5">
            <w:pPr>
              <w:spacing w:line="420" w:lineRule="exact"/>
              <w:rPr>
                <w:rFonts w:asciiTheme="minorEastAsia" w:hAnsiTheme="minorEastAsia" w:cstheme="minorEastAsia"/>
                <w:bCs/>
                <w:szCs w:val="21"/>
              </w:rPr>
            </w:pPr>
            <w:r>
              <w:rPr>
                <w:rFonts w:hint="eastAsia" w:asciiTheme="minorEastAsia" w:hAnsiTheme="minorEastAsia" w:cstheme="minorEastAsia"/>
                <w:szCs w:val="21"/>
              </w:rPr>
              <w:t>▲</w:t>
            </w:r>
            <w:r>
              <w:rPr>
                <w:rFonts w:hint="eastAsia" w:asciiTheme="minorEastAsia" w:hAnsiTheme="minorEastAsia" w:cstheme="minorEastAsia"/>
                <w:bCs/>
                <w:szCs w:val="21"/>
              </w:rPr>
              <w:t>4、开门方式：中分门；</w:t>
            </w:r>
          </w:p>
          <w:p w14:paraId="2CCE02F4">
            <w:pPr>
              <w:spacing w:line="420" w:lineRule="exact"/>
              <w:rPr>
                <w:rFonts w:asciiTheme="minorEastAsia" w:hAnsiTheme="minorEastAsia" w:cstheme="minorEastAsia"/>
                <w:bCs/>
                <w:szCs w:val="21"/>
              </w:rPr>
            </w:pPr>
            <w:r>
              <w:rPr>
                <w:rFonts w:hint="eastAsia" w:asciiTheme="minorEastAsia" w:hAnsiTheme="minorEastAsia" w:cstheme="minorEastAsia"/>
                <w:bCs/>
                <w:szCs w:val="21"/>
              </w:rPr>
              <w:t>▲5、开门宽度：900mm宽</w:t>
            </w:r>
            <w:r>
              <w:rPr>
                <w:rFonts w:asciiTheme="minorEastAsia" w:hAnsiTheme="minorEastAsia" w:cstheme="minorEastAsia"/>
                <w:bCs/>
                <w:szCs w:val="21"/>
              </w:rPr>
              <w:t>×</w:t>
            </w:r>
            <w:r>
              <w:rPr>
                <w:rFonts w:hint="eastAsia" w:asciiTheme="minorEastAsia" w:hAnsiTheme="minorEastAsia" w:cstheme="minorEastAsia"/>
                <w:bCs/>
                <w:szCs w:val="21"/>
              </w:rPr>
              <w:t>2100mm深（以现场实际尺寸并经双方确认图纸为准）；</w:t>
            </w:r>
          </w:p>
          <w:p w14:paraId="765421EE">
            <w:pPr>
              <w:spacing w:line="420" w:lineRule="exact"/>
              <w:rPr>
                <w:rFonts w:asciiTheme="minorEastAsia" w:hAnsiTheme="minorEastAsia" w:cstheme="minorEastAsia"/>
                <w:bCs/>
                <w:szCs w:val="21"/>
              </w:rPr>
            </w:pPr>
            <w:r>
              <w:rPr>
                <w:rFonts w:hint="eastAsia" w:asciiTheme="minorEastAsia" w:hAnsiTheme="minorEastAsia" w:cstheme="minorEastAsia"/>
                <w:bCs/>
                <w:szCs w:val="21"/>
              </w:rPr>
              <w:t>6、底坑深度：1400mm（以现场实际尺寸并经双方确认图纸为准）；</w:t>
            </w:r>
          </w:p>
          <w:p w14:paraId="14A698C1">
            <w:pPr>
              <w:spacing w:line="420" w:lineRule="exact"/>
              <w:rPr>
                <w:rFonts w:asciiTheme="minorEastAsia" w:hAnsiTheme="minorEastAsia" w:cstheme="minorEastAsia"/>
                <w:bCs/>
                <w:szCs w:val="21"/>
              </w:rPr>
            </w:pPr>
            <w:r>
              <w:rPr>
                <w:rFonts w:hint="eastAsia" w:asciiTheme="minorEastAsia" w:hAnsiTheme="minorEastAsia" w:cstheme="minorEastAsia"/>
                <w:bCs/>
                <w:szCs w:val="21"/>
              </w:rPr>
              <w:t>7、顶层高度：</w:t>
            </w:r>
            <w:r>
              <w:rPr>
                <w:rFonts w:asciiTheme="minorEastAsia" w:hAnsiTheme="minorEastAsia" w:cstheme="minorEastAsia"/>
                <w:bCs/>
                <w:szCs w:val="21"/>
              </w:rPr>
              <w:t>4450</w:t>
            </w:r>
            <w:r>
              <w:rPr>
                <w:rFonts w:hint="eastAsia" w:asciiTheme="minorEastAsia" w:hAnsiTheme="minorEastAsia" w:cstheme="minorEastAsia"/>
                <w:bCs/>
                <w:szCs w:val="21"/>
              </w:rPr>
              <w:t>mm（以现场实际尺寸并经双方确认图纸为准）；</w:t>
            </w:r>
          </w:p>
          <w:p w14:paraId="563EF02A">
            <w:pPr>
              <w:spacing w:line="420" w:lineRule="exact"/>
              <w:rPr>
                <w:rFonts w:asciiTheme="minorEastAsia" w:hAnsiTheme="minorEastAsia" w:cstheme="minorEastAsia"/>
                <w:bCs/>
                <w:szCs w:val="21"/>
              </w:rPr>
            </w:pPr>
            <w:r>
              <w:rPr>
                <w:rFonts w:hint="eastAsia" w:asciiTheme="minorEastAsia" w:hAnsiTheme="minorEastAsia" w:cstheme="minorEastAsia"/>
                <w:bCs/>
                <w:szCs w:val="21"/>
              </w:rPr>
              <w:t>8、提升高度：</w:t>
            </w:r>
            <w:r>
              <w:rPr>
                <w:rFonts w:asciiTheme="minorEastAsia" w:hAnsiTheme="minorEastAsia" w:cstheme="minorEastAsia"/>
                <w:bCs/>
                <w:szCs w:val="21"/>
              </w:rPr>
              <w:t>23100</w:t>
            </w:r>
            <w:r>
              <w:rPr>
                <w:rFonts w:hint="eastAsia" w:asciiTheme="minorEastAsia" w:hAnsiTheme="minorEastAsia" w:cstheme="minorEastAsia"/>
                <w:bCs/>
                <w:szCs w:val="21"/>
              </w:rPr>
              <w:t>mm（以现场实际尺寸并经双方确认图纸为准）；</w:t>
            </w:r>
          </w:p>
          <w:p w14:paraId="4790631C">
            <w:pPr>
              <w:spacing w:line="420" w:lineRule="exact"/>
              <w:rPr>
                <w:rFonts w:asciiTheme="minorEastAsia" w:hAnsiTheme="minorEastAsia" w:cstheme="minorEastAsia"/>
                <w:bCs/>
                <w:szCs w:val="21"/>
              </w:rPr>
            </w:pPr>
            <w:r>
              <w:rPr>
                <w:rFonts w:hint="eastAsia" w:asciiTheme="minorEastAsia" w:hAnsiTheme="minorEastAsia" w:cstheme="minorEastAsia"/>
                <w:bCs/>
                <w:szCs w:val="21"/>
              </w:rPr>
              <w:t>▲10、轿厢规格：1600mm宽</w:t>
            </w:r>
            <w:r>
              <w:rPr>
                <w:rFonts w:asciiTheme="minorEastAsia" w:hAnsiTheme="minorEastAsia" w:cstheme="minorEastAsia"/>
                <w:bCs/>
                <w:szCs w:val="21"/>
              </w:rPr>
              <w:t>×</w:t>
            </w:r>
            <w:r>
              <w:rPr>
                <w:rFonts w:hint="eastAsia" w:asciiTheme="minorEastAsia" w:hAnsiTheme="minorEastAsia" w:cstheme="minorEastAsia"/>
                <w:bCs/>
                <w:szCs w:val="21"/>
              </w:rPr>
              <w:t>1500mm深（以现场实际尺寸并经双方确认图纸为准）；</w:t>
            </w:r>
          </w:p>
          <w:p w14:paraId="0936F993">
            <w:pPr>
              <w:spacing w:line="420" w:lineRule="exact"/>
              <w:rPr>
                <w:rFonts w:asciiTheme="minorEastAsia" w:hAnsiTheme="minorEastAsia" w:cstheme="minorEastAsia"/>
                <w:bCs/>
                <w:szCs w:val="21"/>
              </w:rPr>
            </w:pPr>
            <w:r>
              <w:rPr>
                <w:rFonts w:hint="eastAsia" w:asciiTheme="minorEastAsia" w:hAnsiTheme="minorEastAsia" w:cstheme="minorEastAsia"/>
                <w:bCs/>
                <w:szCs w:val="21"/>
              </w:rPr>
              <w:t>▲11、轿厢净高度：2400mm（以现场实际尺寸并经双方确认图纸为准）；</w:t>
            </w:r>
          </w:p>
          <w:p w14:paraId="1D112C0F">
            <w:pPr>
              <w:spacing w:line="420" w:lineRule="exact"/>
              <w:rPr>
                <w:rFonts w:asciiTheme="minorEastAsia" w:hAnsiTheme="minorEastAsia" w:cstheme="minorEastAsia"/>
              </w:rPr>
            </w:pPr>
            <w:r>
              <w:rPr>
                <w:rFonts w:hint="eastAsia" w:asciiTheme="minorEastAsia" w:hAnsiTheme="minorEastAsia" w:cstheme="minorEastAsia"/>
                <w:bCs/>
                <w:szCs w:val="21"/>
              </w:rPr>
              <w:t>12、</w:t>
            </w:r>
            <w:r>
              <w:rPr>
                <w:rFonts w:hint="eastAsia" w:asciiTheme="minorEastAsia" w:hAnsiTheme="minorEastAsia" w:cstheme="minorEastAsia"/>
              </w:rPr>
              <w:t>动力电源：AC380V±10%，50Hz±1Hz；</w:t>
            </w:r>
          </w:p>
          <w:p w14:paraId="36D40302">
            <w:pPr>
              <w:spacing w:line="420" w:lineRule="exact"/>
              <w:ind w:firstLine="420" w:firstLineChars="200"/>
              <w:rPr>
                <w:rFonts w:asciiTheme="minorEastAsia" w:hAnsiTheme="minorEastAsia" w:cstheme="minorEastAsia"/>
                <w:bCs/>
                <w:szCs w:val="21"/>
              </w:rPr>
            </w:pPr>
            <w:r>
              <w:rPr>
                <w:rFonts w:hint="eastAsia" w:asciiTheme="minorEastAsia" w:hAnsiTheme="minorEastAsia" w:cstheme="minorEastAsia"/>
              </w:rPr>
              <w:t>照明电源：AC220V±10%，50Hz±1Hz。</w:t>
            </w:r>
          </w:p>
          <w:p w14:paraId="7E84291B">
            <w:pPr>
              <w:spacing w:line="420" w:lineRule="exact"/>
              <w:rPr>
                <w:rFonts w:asciiTheme="minorEastAsia" w:hAnsiTheme="minorEastAsia" w:cstheme="minorEastAsia"/>
                <w:bCs/>
                <w:szCs w:val="21"/>
              </w:rPr>
            </w:pPr>
            <w:r>
              <w:rPr>
                <w:rFonts w:hint="eastAsia" w:asciiTheme="minorEastAsia" w:hAnsiTheme="minorEastAsia" w:cstheme="minorEastAsia"/>
                <w:bCs/>
                <w:szCs w:val="21"/>
              </w:rPr>
              <w:t>▲13、门保护方式：光幕保护；</w:t>
            </w:r>
          </w:p>
          <w:p w14:paraId="2F29F8A8">
            <w:pPr>
              <w:spacing w:line="420" w:lineRule="exact"/>
              <w:rPr>
                <w:rFonts w:asciiTheme="minorEastAsia" w:hAnsiTheme="minorEastAsia" w:cstheme="minorEastAsia"/>
                <w:bCs/>
                <w:szCs w:val="21"/>
              </w:rPr>
            </w:pPr>
            <w:r>
              <w:rPr>
                <w:rFonts w:hint="eastAsia" w:asciiTheme="minorEastAsia" w:hAnsiTheme="minorEastAsia" w:cstheme="minorEastAsia"/>
                <w:bCs/>
                <w:szCs w:val="21"/>
              </w:rPr>
              <w:t>14、控制方式：单控；</w:t>
            </w:r>
          </w:p>
          <w:p w14:paraId="783504A4">
            <w:pPr>
              <w:spacing w:line="420" w:lineRule="exact"/>
              <w:rPr>
                <w:rFonts w:asciiTheme="minorEastAsia" w:hAnsiTheme="minorEastAsia" w:cstheme="minorEastAsia"/>
                <w:bCs/>
                <w:szCs w:val="21"/>
              </w:rPr>
            </w:pPr>
            <w:r>
              <w:rPr>
                <w:rFonts w:hint="eastAsia" w:asciiTheme="minorEastAsia" w:hAnsiTheme="minorEastAsia" w:cstheme="minorEastAsia"/>
                <w:bCs/>
                <w:szCs w:val="21"/>
              </w:rPr>
              <w:t>15、基站：1F；</w:t>
            </w:r>
          </w:p>
          <w:p w14:paraId="25000FF3">
            <w:pPr>
              <w:autoSpaceDE w:val="0"/>
              <w:autoSpaceDN w:val="0"/>
              <w:spacing w:line="420" w:lineRule="exact"/>
              <w:rPr>
                <w:rFonts w:asciiTheme="minorEastAsia" w:hAnsiTheme="minorEastAsia" w:cstheme="minorEastAsia"/>
                <w:b/>
                <w:szCs w:val="21"/>
              </w:rPr>
            </w:pPr>
            <w:r>
              <w:rPr>
                <w:rFonts w:hint="eastAsia" w:asciiTheme="minorEastAsia" w:hAnsiTheme="minorEastAsia" w:cstheme="minorEastAsia"/>
                <w:b/>
                <w:szCs w:val="21"/>
              </w:rPr>
              <w:t>※具体安装技术参数，以实地测量尺寸为准。</w:t>
            </w:r>
          </w:p>
          <w:p w14:paraId="0E70A73C">
            <w:pPr>
              <w:spacing w:line="420" w:lineRule="exact"/>
              <w:rPr>
                <w:rFonts w:asciiTheme="minorEastAsia" w:hAnsiTheme="minorEastAsia" w:cstheme="minorEastAsia"/>
                <w:szCs w:val="21"/>
              </w:rPr>
            </w:pPr>
            <w:r>
              <w:rPr>
                <w:rFonts w:hint="eastAsia" w:asciiTheme="minorEastAsia" w:hAnsiTheme="minorEastAsia" w:cstheme="minorEastAsia"/>
                <w:b/>
                <w:bCs/>
                <w:szCs w:val="21"/>
              </w:rPr>
              <w:t xml:space="preserve">▲（二）性能、主要部件及要求：  </w:t>
            </w:r>
            <w:r>
              <w:rPr>
                <w:rFonts w:hint="eastAsia" w:asciiTheme="minorEastAsia" w:hAnsiTheme="minorEastAsia" w:cstheme="minorEastAsia"/>
                <w:szCs w:val="21"/>
              </w:rPr>
              <w:t xml:space="preserve">                                        </w:t>
            </w:r>
          </w:p>
          <w:p w14:paraId="12CC66FE">
            <w:pPr>
              <w:spacing w:line="420" w:lineRule="exact"/>
              <w:ind w:left="210" w:hanging="210" w:hangingChars="100"/>
              <w:rPr>
                <w:rFonts w:asciiTheme="minorEastAsia" w:hAnsiTheme="minorEastAsia" w:cstheme="minorEastAsia"/>
                <w:szCs w:val="21"/>
              </w:rPr>
            </w:pPr>
            <w:r>
              <w:rPr>
                <w:rFonts w:hint="eastAsia" w:asciiTheme="minorEastAsia" w:hAnsiTheme="minorEastAsia" w:cstheme="minorEastAsia"/>
                <w:szCs w:val="21"/>
              </w:rPr>
              <w:t>1、变频系统：</w:t>
            </w:r>
            <w:r>
              <w:rPr>
                <w:rFonts w:hint="eastAsia" w:asciiTheme="minorEastAsia" w:hAnsiTheme="minorEastAsia" w:cstheme="minorEastAsia"/>
                <w:szCs w:val="21"/>
                <w:lang w:val="zh-CN"/>
              </w:rPr>
              <w:t>微机控制交流变频调压调速VVVF</w:t>
            </w:r>
            <w:r>
              <w:rPr>
                <w:rFonts w:hint="eastAsia" w:asciiTheme="minorEastAsia" w:hAnsiTheme="minorEastAsia" w:cstheme="minorEastAsia"/>
                <w:szCs w:val="21"/>
              </w:rPr>
              <w:t>；</w:t>
            </w:r>
          </w:p>
          <w:p w14:paraId="4697C89C">
            <w:pPr>
              <w:spacing w:line="420" w:lineRule="exact"/>
              <w:rPr>
                <w:rFonts w:asciiTheme="minorEastAsia" w:hAnsiTheme="minorEastAsia" w:cstheme="minorEastAsia"/>
                <w:szCs w:val="21"/>
              </w:rPr>
            </w:pPr>
            <w:r>
              <w:rPr>
                <w:rFonts w:hint="eastAsia" w:asciiTheme="minorEastAsia" w:hAnsiTheme="minorEastAsia" w:cstheme="minorEastAsia"/>
                <w:szCs w:val="21"/>
              </w:rPr>
              <w:t>2、驱动系统：永磁同步无齿轮曳引机；</w:t>
            </w:r>
          </w:p>
          <w:p w14:paraId="47F7D433">
            <w:pPr>
              <w:pStyle w:val="2"/>
              <w:spacing w:before="0" w:after="0" w:line="420" w:lineRule="exact"/>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①曳引机外壳防护等级IP43。（提供具有CNAS认证的第三方检测机构出具的检测报告）</w:t>
            </w:r>
          </w:p>
          <w:p w14:paraId="099485F7">
            <w:pPr>
              <w:pStyle w:val="2"/>
              <w:spacing w:before="0" w:after="0" w:line="420" w:lineRule="exact"/>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②曳引机具有可靠的绝缘系统。电磁线耐电晕试验满足：冲击电压≥3kV，脉冲频率≥20kHz，50h不击穿；电磁线局部放电性能满足：放电电荷阈值100pc时，放电起始电压≥1200V。（提供具有CNAS认证的第三方检测机构出具的检测报告）</w:t>
            </w:r>
          </w:p>
          <w:p w14:paraId="21E41B9D">
            <w:pPr>
              <w:spacing w:line="420" w:lineRule="exact"/>
              <w:rPr>
                <w:rFonts w:asciiTheme="minorEastAsia" w:hAnsiTheme="minorEastAsia" w:cstheme="minorEastAsia"/>
                <w:szCs w:val="21"/>
              </w:rPr>
            </w:pPr>
            <w:r>
              <w:rPr>
                <w:rFonts w:hint="eastAsia" w:asciiTheme="minorEastAsia" w:hAnsiTheme="minorEastAsia" w:cstheme="minorEastAsia"/>
                <w:szCs w:val="21"/>
              </w:rPr>
              <w:t>3、门机驱动方式：变频门机系统，无连杆同步带方式；</w:t>
            </w:r>
          </w:p>
          <w:p w14:paraId="4704296E">
            <w:pPr>
              <w:spacing w:line="420" w:lineRule="exact"/>
              <w:rPr>
                <w:rFonts w:asciiTheme="minorEastAsia" w:hAnsiTheme="minorEastAsia" w:cstheme="minorEastAsia"/>
                <w:szCs w:val="21"/>
              </w:rPr>
            </w:pPr>
            <w:r>
              <w:rPr>
                <w:rFonts w:hint="eastAsia" w:asciiTheme="minorEastAsia" w:hAnsiTheme="minorEastAsia" w:cstheme="minorEastAsia"/>
                <w:szCs w:val="21"/>
              </w:rPr>
              <w:t>4、控制系统：全电脑数字控制技术。双32位微电脑一体化控制系统，集微电脑控制器与变频器为一体，采用微机串行通信系统（CAN BUS 总线控制技术）；</w:t>
            </w:r>
          </w:p>
          <w:p w14:paraId="05B6412C">
            <w:pPr>
              <w:pStyle w:val="2"/>
              <w:spacing w:before="0" w:after="0" w:line="420" w:lineRule="exact"/>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4、电源系统：采用全数字化电源系统（DC-DC电源技术），380VAC50HZ,三相五线。</w:t>
            </w:r>
          </w:p>
          <w:p w14:paraId="3BEEF127">
            <w:pPr>
              <w:pStyle w:val="2"/>
              <w:spacing w:before="0" w:after="0" w:line="420" w:lineRule="exact"/>
              <w:rPr>
                <w:rFonts w:asciiTheme="minorEastAsia" w:hAnsiTheme="minorEastAsia" w:eastAsiaTheme="minorEastAsia"/>
                <w:b w:val="0"/>
                <w:sz w:val="21"/>
                <w:szCs w:val="21"/>
              </w:rPr>
            </w:pPr>
            <w:r>
              <w:rPr>
                <w:rFonts w:asciiTheme="minorEastAsia" w:hAnsiTheme="minorEastAsia" w:eastAsiaTheme="minorEastAsia"/>
                <w:b w:val="0"/>
                <w:sz w:val="21"/>
                <w:szCs w:val="21"/>
              </w:rPr>
              <w:t>5</w:t>
            </w:r>
            <w:r>
              <w:rPr>
                <w:rFonts w:hint="eastAsia" w:asciiTheme="minorEastAsia" w:hAnsiTheme="minorEastAsia" w:eastAsiaTheme="minorEastAsia"/>
                <w:b w:val="0"/>
                <w:sz w:val="21"/>
                <w:szCs w:val="21"/>
              </w:rPr>
              <w:t>、抗雷击设计：抗雷击电压≥20kV。（提供具有CNAS认证的第三方检测机构出具的检测报告）</w:t>
            </w:r>
          </w:p>
          <w:p w14:paraId="58A63989">
            <w:pPr>
              <w:pStyle w:val="2"/>
              <w:spacing w:before="0" w:after="0" w:line="420" w:lineRule="exact"/>
              <w:rPr>
                <w:rFonts w:asciiTheme="minorEastAsia" w:hAnsiTheme="minorEastAsia" w:eastAsiaTheme="minorEastAsia"/>
                <w:b w:val="0"/>
                <w:sz w:val="21"/>
                <w:szCs w:val="21"/>
              </w:rPr>
            </w:pPr>
            <w:r>
              <w:rPr>
                <w:rFonts w:asciiTheme="minorEastAsia" w:hAnsiTheme="minorEastAsia" w:eastAsiaTheme="minorEastAsia"/>
                <w:b w:val="0"/>
                <w:sz w:val="21"/>
                <w:szCs w:val="21"/>
              </w:rPr>
              <w:t>6</w:t>
            </w:r>
            <w:r>
              <w:rPr>
                <w:rFonts w:hint="eastAsia" w:asciiTheme="minorEastAsia" w:hAnsiTheme="minorEastAsia" w:eastAsiaTheme="minorEastAsia"/>
                <w:b w:val="0"/>
                <w:sz w:val="21"/>
                <w:szCs w:val="21"/>
              </w:rPr>
              <w:t>、所投产品电梯的轿厢内载有110%额定载荷，启动-全程运行-停止-正常开关门，电梯可连续正常运行6</w:t>
            </w:r>
            <w:r>
              <w:rPr>
                <w:rFonts w:asciiTheme="minorEastAsia" w:hAnsiTheme="minorEastAsia" w:eastAsiaTheme="minorEastAsia"/>
                <w:b w:val="0"/>
                <w:sz w:val="21"/>
                <w:szCs w:val="21"/>
              </w:rPr>
              <w:t>0000</w:t>
            </w:r>
            <w:r>
              <w:rPr>
                <w:rFonts w:hint="eastAsia" w:asciiTheme="minorEastAsia" w:hAnsiTheme="minorEastAsia" w:eastAsiaTheme="minorEastAsia"/>
                <w:b w:val="0"/>
                <w:sz w:val="21"/>
                <w:szCs w:val="21"/>
              </w:rPr>
              <w:t>次，符合要求，电梯无故障的。（提供具有CNAS认证的第三方检测机构出具的检测报告）</w:t>
            </w:r>
          </w:p>
          <w:p w14:paraId="7BFA2AD6">
            <w:pPr>
              <w:pStyle w:val="2"/>
              <w:spacing w:before="0" w:after="0" w:line="420" w:lineRule="exact"/>
              <w:rPr>
                <w:rFonts w:asciiTheme="minorEastAsia" w:hAnsiTheme="minorEastAsia" w:eastAsiaTheme="minorEastAsia"/>
                <w:b w:val="0"/>
                <w:sz w:val="21"/>
                <w:szCs w:val="21"/>
              </w:rPr>
            </w:pPr>
            <w:r>
              <w:rPr>
                <w:rFonts w:asciiTheme="minorEastAsia" w:hAnsiTheme="minorEastAsia" w:eastAsiaTheme="minorEastAsia"/>
                <w:b w:val="0"/>
                <w:sz w:val="21"/>
                <w:szCs w:val="21"/>
              </w:rPr>
              <w:t>7</w:t>
            </w:r>
            <w:r>
              <w:rPr>
                <w:rFonts w:hint="eastAsia" w:asciiTheme="minorEastAsia" w:hAnsiTheme="minorEastAsia" w:eastAsiaTheme="minorEastAsia"/>
                <w:b w:val="0"/>
                <w:sz w:val="21"/>
                <w:szCs w:val="21"/>
              </w:rPr>
              <w:t>、所投产品轿门锁结构完整、动作顺畅、无卡阻。动作寿命≥850万次。 （提供具有CNAS认证的第三方检测机构出具的门锁独立检测报告）</w:t>
            </w:r>
          </w:p>
          <w:p w14:paraId="474A4D6D">
            <w:pPr>
              <w:pStyle w:val="2"/>
              <w:spacing w:before="0" w:after="0" w:line="420" w:lineRule="exact"/>
              <w:rPr>
                <w:rFonts w:asciiTheme="minorEastAsia" w:hAnsiTheme="minorEastAsia" w:eastAsiaTheme="minorEastAsia"/>
                <w:b w:val="0"/>
                <w:sz w:val="21"/>
                <w:szCs w:val="21"/>
              </w:rPr>
            </w:pPr>
            <w:r>
              <w:rPr>
                <w:rFonts w:asciiTheme="minorEastAsia" w:hAnsiTheme="minorEastAsia" w:eastAsiaTheme="minorEastAsia"/>
                <w:b w:val="0"/>
                <w:sz w:val="21"/>
                <w:szCs w:val="21"/>
              </w:rPr>
              <w:t>8</w:t>
            </w:r>
            <w:r>
              <w:rPr>
                <w:rFonts w:hint="eastAsia" w:asciiTheme="minorEastAsia" w:hAnsiTheme="minorEastAsia" w:eastAsiaTheme="minorEastAsia"/>
                <w:b w:val="0"/>
                <w:sz w:val="21"/>
                <w:szCs w:val="21"/>
              </w:rPr>
              <w:t>、电源配置设计：电梯配置符合GB/T 7251.2-2023的工业等级的配电箱，具有高稳定性和高可靠性，能在极端条件下保持高效运作。（提供中国质量认证中心出具的CQC产品认证证书）</w:t>
            </w:r>
          </w:p>
          <w:p w14:paraId="088927D7">
            <w:pPr>
              <w:spacing w:line="420" w:lineRule="exact"/>
              <w:rPr>
                <w:rFonts w:asciiTheme="minorEastAsia" w:hAnsiTheme="minorEastAsia" w:cstheme="minorEastAsia"/>
                <w:b/>
                <w:bCs/>
                <w:szCs w:val="21"/>
              </w:rPr>
            </w:pPr>
            <w:r>
              <w:rPr>
                <w:rFonts w:asciiTheme="minorEastAsia" w:hAnsiTheme="minorEastAsia" w:cstheme="minorEastAsia"/>
                <w:szCs w:val="21"/>
              </w:rPr>
              <w:t>9</w:t>
            </w:r>
            <w:r>
              <w:rPr>
                <w:rFonts w:hint="eastAsia" w:asciiTheme="minorEastAsia" w:hAnsiTheme="minorEastAsia" w:cstheme="minorEastAsia"/>
                <w:szCs w:val="21"/>
              </w:rPr>
              <w:t>、曳引机、控制柜｛含调速器、控制器｝、门锁装置、安全钳、缓冲器、限速器、上行超速保护装置、轿厢意外移动保护装置、安全电路以上主要部件必须是专业厂家设计和制造。</w:t>
            </w:r>
            <w:r>
              <w:rPr>
                <w:rFonts w:hint="eastAsia" w:asciiTheme="minorEastAsia" w:hAnsiTheme="minorEastAsia" w:cstheme="minorEastAsia"/>
                <w:b/>
                <w:bCs/>
                <w:szCs w:val="21"/>
              </w:rPr>
              <w:t>（投标时提供符合《电梯型式试验规则》要求的整梯特种设备型式试验报告及证书复印件）。</w:t>
            </w:r>
          </w:p>
          <w:p w14:paraId="10CA2366">
            <w:pPr>
              <w:pStyle w:val="7"/>
              <w:spacing w:after="0" w:line="420" w:lineRule="exact"/>
              <w:rPr>
                <w:rFonts w:asciiTheme="minorEastAsia" w:hAnsiTheme="minorEastAsia" w:cstheme="minorEastAsia"/>
                <w:szCs w:val="21"/>
              </w:rPr>
            </w:pPr>
            <w:r>
              <w:rPr>
                <w:rFonts w:asciiTheme="minorEastAsia" w:hAnsiTheme="minorEastAsia" w:cstheme="minorEastAsia"/>
              </w:rPr>
              <w:t>10</w:t>
            </w:r>
            <w:r>
              <w:rPr>
                <w:rFonts w:hint="eastAsia" w:asciiTheme="minorEastAsia" w:hAnsiTheme="minorEastAsia" w:cstheme="minorEastAsia"/>
                <w:lang w:val="zh-CN"/>
              </w:rPr>
              <w:t>、</w:t>
            </w:r>
            <w:r>
              <w:rPr>
                <w:rFonts w:hint="eastAsia" w:asciiTheme="minorEastAsia" w:hAnsiTheme="minorEastAsia" w:cstheme="minorEastAsia"/>
                <w:szCs w:val="21"/>
              </w:rPr>
              <w:t>采购人有权对以上主要部件聘请专家进行核查，若出现弄虚作假情况，一经查实，采购人将予以退货或换货，并将追究供应商的法律责任并要求供应商赔偿相关损失。</w:t>
            </w:r>
          </w:p>
          <w:p w14:paraId="35BCADB0">
            <w:pPr>
              <w:autoSpaceDE w:val="0"/>
              <w:autoSpaceDN w:val="0"/>
              <w:spacing w:line="440" w:lineRule="exact"/>
              <w:rPr>
                <w:rFonts w:asciiTheme="minorEastAsia" w:hAnsiTheme="minorEastAsia" w:cstheme="minorEastAsia"/>
                <w:b/>
                <w:bCs/>
                <w:szCs w:val="21"/>
              </w:rPr>
            </w:pPr>
            <w:r>
              <w:rPr>
                <w:rFonts w:hint="eastAsia" w:asciiTheme="minorEastAsia" w:hAnsiTheme="minorEastAsia" w:cstheme="minorEastAsia"/>
                <w:szCs w:val="21"/>
              </w:rPr>
              <w:t>▲</w:t>
            </w:r>
            <w:r>
              <w:rPr>
                <w:rFonts w:hint="eastAsia" w:asciiTheme="minorEastAsia" w:hAnsiTheme="minorEastAsia" w:cstheme="minorEastAsia"/>
                <w:b/>
                <w:bCs/>
                <w:szCs w:val="21"/>
              </w:rPr>
              <w:t>（三）装饰材质要求：</w:t>
            </w:r>
          </w:p>
          <w:p w14:paraId="2260042B">
            <w:pPr>
              <w:autoSpaceDE w:val="0"/>
              <w:autoSpaceDN w:val="0"/>
              <w:spacing w:line="440" w:lineRule="exact"/>
              <w:rPr>
                <w:rFonts w:asciiTheme="minorEastAsia" w:hAnsiTheme="minorEastAsia" w:cstheme="minorEastAsia"/>
                <w:bCs/>
                <w:szCs w:val="21"/>
              </w:rPr>
            </w:pPr>
            <w:r>
              <w:rPr>
                <w:rFonts w:hint="eastAsia" w:ascii="宋体" w:hAnsi="宋体" w:cs="宋体"/>
                <w:bCs/>
                <w:szCs w:val="21"/>
              </w:rPr>
              <w:t>1</w:t>
            </w:r>
            <w:r>
              <w:rPr>
                <w:rFonts w:hint="eastAsia" w:asciiTheme="minorEastAsia" w:hAnsiTheme="minorEastAsia" w:cstheme="minorEastAsia"/>
                <w:bCs/>
                <w:szCs w:val="21"/>
              </w:rPr>
              <w:t>、轿厢轿顶：吊顶,LED灯照；</w:t>
            </w:r>
          </w:p>
          <w:p w14:paraId="588CA72F">
            <w:pPr>
              <w:autoSpaceDE w:val="0"/>
              <w:autoSpaceDN w:val="0"/>
              <w:spacing w:line="440" w:lineRule="exact"/>
              <w:rPr>
                <w:rFonts w:asciiTheme="minorEastAsia" w:hAnsiTheme="minorEastAsia" w:cstheme="minorEastAsia"/>
                <w:bCs/>
                <w:szCs w:val="21"/>
              </w:rPr>
            </w:pPr>
            <w:r>
              <w:rPr>
                <w:rFonts w:hint="eastAsia" w:asciiTheme="minorEastAsia" w:hAnsiTheme="minorEastAsia" w:cstheme="minorEastAsia"/>
                <w:bCs/>
                <w:szCs w:val="21"/>
              </w:rPr>
              <w:t>2、轿厢通风系统：轿顶风口送风，轴流风扇；</w:t>
            </w:r>
          </w:p>
          <w:p w14:paraId="26F68D71">
            <w:pPr>
              <w:autoSpaceDE w:val="0"/>
              <w:autoSpaceDN w:val="0"/>
              <w:spacing w:line="440" w:lineRule="exact"/>
              <w:rPr>
                <w:rFonts w:asciiTheme="minorEastAsia" w:hAnsiTheme="minorEastAsia" w:cstheme="minorEastAsia"/>
                <w:bCs/>
                <w:szCs w:val="21"/>
              </w:rPr>
            </w:pPr>
            <w:r>
              <w:rPr>
                <w:rFonts w:hint="eastAsia" w:asciiTheme="minorEastAsia" w:hAnsiTheme="minorEastAsia" w:cstheme="minorEastAsia"/>
                <w:bCs/>
                <w:szCs w:val="21"/>
              </w:rPr>
              <w:t>3、轿厢地板：PVC地板胶；</w:t>
            </w:r>
          </w:p>
          <w:p w14:paraId="5B9CF9F2">
            <w:pPr>
              <w:autoSpaceDE w:val="0"/>
              <w:autoSpaceDN w:val="0"/>
              <w:spacing w:line="440" w:lineRule="exact"/>
              <w:rPr>
                <w:rFonts w:asciiTheme="minorEastAsia" w:hAnsiTheme="minorEastAsia" w:cstheme="minorEastAsia"/>
                <w:bCs/>
                <w:szCs w:val="21"/>
              </w:rPr>
            </w:pPr>
            <w:r>
              <w:rPr>
                <w:rFonts w:hint="eastAsia" w:asciiTheme="minorEastAsia" w:hAnsiTheme="minorEastAsia" w:cstheme="minorEastAsia"/>
                <w:bCs/>
                <w:szCs w:val="21"/>
              </w:rPr>
              <w:t>4、轿厢装饰要求：发纹不绣钢，厚度1.2mm；</w:t>
            </w:r>
          </w:p>
          <w:p w14:paraId="302DA736">
            <w:pPr>
              <w:autoSpaceDE w:val="0"/>
              <w:autoSpaceDN w:val="0"/>
              <w:spacing w:line="440" w:lineRule="exact"/>
              <w:rPr>
                <w:rFonts w:asciiTheme="minorEastAsia" w:hAnsiTheme="minorEastAsia" w:cstheme="minorEastAsia"/>
                <w:bCs/>
                <w:szCs w:val="21"/>
              </w:rPr>
            </w:pPr>
            <w:r>
              <w:rPr>
                <w:rFonts w:hint="eastAsia" w:asciiTheme="minorEastAsia" w:hAnsiTheme="minorEastAsia" w:cstheme="minorEastAsia"/>
                <w:bCs/>
                <w:szCs w:val="21"/>
              </w:rPr>
              <w:t>5、轿门：发纹不锈钢，厚度1.2mm</w:t>
            </w:r>
          </w:p>
          <w:p w14:paraId="6274847A">
            <w:pPr>
              <w:autoSpaceDE w:val="0"/>
              <w:autoSpaceDN w:val="0"/>
              <w:spacing w:line="440" w:lineRule="exact"/>
              <w:rPr>
                <w:rFonts w:asciiTheme="minorEastAsia" w:hAnsiTheme="minorEastAsia" w:cstheme="minorEastAsia"/>
                <w:bCs/>
                <w:szCs w:val="21"/>
              </w:rPr>
            </w:pPr>
            <w:r>
              <w:rPr>
                <w:rFonts w:hint="eastAsia" w:asciiTheme="minorEastAsia" w:hAnsiTheme="minorEastAsia" w:cstheme="minorEastAsia"/>
                <w:bCs/>
                <w:szCs w:val="21"/>
              </w:rPr>
              <w:t xml:space="preserve">6、踢脚板：发纹不锈钢； </w:t>
            </w:r>
          </w:p>
          <w:p w14:paraId="2B0B2F90">
            <w:pPr>
              <w:autoSpaceDE w:val="0"/>
              <w:autoSpaceDN w:val="0"/>
              <w:spacing w:line="440" w:lineRule="exact"/>
              <w:rPr>
                <w:rFonts w:asciiTheme="minorEastAsia" w:hAnsiTheme="minorEastAsia" w:cstheme="minorEastAsia"/>
                <w:bCs/>
                <w:szCs w:val="21"/>
              </w:rPr>
            </w:pPr>
            <w:r>
              <w:rPr>
                <w:rFonts w:hint="eastAsia" w:asciiTheme="minorEastAsia" w:hAnsiTheme="minorEastAsia" w:cstheme="minorEastAsia"/>
                <w:bCs/>
                <w:szCs w:val="21"/>
              </w:rPr>
              <w:t>7、层门及门套：首层发纹不锈钢层门及标准小门套，其余层涂装钢板，厚度1.2mm；</w:t>
            </w:r>
          </w:p>
          <w:p w14:paraId="672C68B9">
            <w:pPr>
              <w:autoSpaceDE w:val="0"/>
              <w:autoSpaceDN w:val="0"/>
              <w:spacing w:line="440" w:lineRule="exact"/>
              <w:rPr>
                <w:rFonts w:asciiTheme="minorEastAsia" w:hAnsiTheme="minorEastAsia" w:cstheme="minorEastAsia"/>
                <w:bCs/>
                <w:szCs w:val="21"/>
              </w:rPr>
            </w:pPr>
            <w:r>
              <w:rPr>
                <w:rFonts w:hint="eastAsia" w:asciiTheme="minorEastAsia" w:hAnsiTheme="minorEastAsia" w:cstheme="minorEastAsia"/>
                <w:bCs/>
                <w:szCs w:val="21"/>
              </w:rPr>
              <w:t xml:space="preserve">9、轿厢召唤箱，点阵显示，发纹不锈钢操纵箱：微动式按钮。             </w:t>
            </w:r>
          </w:p>
          <w:p w14:paraId="2DBA7100">
            <w:pPr>
              <w:autoSpaceDE w:val="0"/>
              <w:autoSpaceDN w:val="0"/>
              <w:spacing w:line="440" w:lineRule="exact"/>
              <w:rPr>
                <w:rFonts w:asciiTheme="minorEastAsia" w:hAnsiTheme="minorEastAsia" w:cstheme="minorEastAsia"/>
                <w:bCs/>
                <w:szCs w:val="21"/>
              </w:rPr>
            </w:pPr>
            <w:r>
              <w:rPr>
                <w:rFonts w:hint="eastAsia" w:asciiTheme="minorEastAsia" w:hAnsiTheme="minorEastAsia" w:cstheme="minorEastAsia"/>
                <w:bCs/>
                <w:szCs w:val="21"/>
              </w:rPr>
              <w:t>10、厅门召唤箱：点阵显示屏，发纹不锈钢面板。</w:t>
            </w:r>
          </w:p>
          <w:p w14:paraId="648DE723">
            <w:pPr>
              <w:pStyle w:val="7"/>
              <w:spacing w:after="0" w:line="360" w:lineRule="auto"/>
              <w:rPr>
                <w:rFonts w:asciiTheme="minorEastAsia" w:hAnsiTheme="minorEastAsia" w:cstheme="minorEastAsia"/>
                <w:b/>
                <w:bCs/>
                <w:lang w:val="zh-CN"/>
              </w:rPr>
            </w:pPr>
            <w:r>
              <w:rPr>
                <w:rFonts w:hint="eastAsia" w:ascii="宋体" w:hAnsi="宋体" w:cs="宋体"/>
                <w:bCs/>
                <w:szCs w:val="21"/>
              </w:rPr>
              <w:t>▲</w:t>
            </w:r>
            <w:r>
              <w:rPr>
                <w:rFonts w:hint="eastAsia" w:asciiTheme="minorEastAsia" w:hAnsiTheme="minorEastAsia" w:cstheme="minorEastAsia"/>
                <w:b/>
                <w:bCs/>
                <w:lang w:val="zh-CN"/>
              </w:rPr>
              <w:t>备注：发纹不锈钢为品牌不锈钢（不接受不锈钢混合包铁产品）</w:t>
            </w:r>
          </w:p>
          <w:p w14:paraId="32E91743">
            <w:pPr>
              <w:spacing w:line="420" w:lineRule="exact"/>
              <w:rPr>
                <w:rFonts w:asciiTheme="minorEastAsia" w:hAnsiTheme="minorEastAsia" w:cstheme="minorEastAsia"/>
                <w:kern w:val="0"/>
                <w:szCs w:val="21"/>
              </w:rPr>
            </w:pPr>
            <w:r>
              <w:rPr>
                <w:rFonts w:hint="eastAsia" w:asciiTheme="minorEastAsia" w:hAnsiTheme="minorEastAsia" w:cstheme="minorEastAsia"/>
                <w:b/>
                <w:bCs/>
                <w:szCs w:val="21"/>
              </w:rPr>
              <w:t>▲（四）基本功能要求：</w:t>
            </w:r>
          </w:p>
          <w:p w14:paraId="332E2E3F">
            <w:pPr>
              <w:numPr>
                <w:ilvl w:val="0"/>
                <w:numId w:val="1"/>
              </w:numPr>
              <w:ind w:firstLine="0"/>
              <w:rPr>
                <w:bCs/>
                <w:szCs w:val="21"/>
              </w:rPr>
            </w:pPr>
            <w:r>
              <w:rPr>
                <w:rFonts w:hint="eastAsia"/>
                <w:bCs/>
                <w:szCs w:val="21"/>
              </w:rPr>
              <w:t>故障低速自救运行功能</w:t>
            </w:r>
          </w:p>
          <w:p w14:paraId="0DB0F69D">
            <w:pPr>
              <w:numPr>
                <w:ilvl w:val="0"/>
                <w:numId w:val="1"/>
              </w:numPr>
              <w:ind w:firstLine="0"/>
              <w:rPr>
                <w:bCs/>
                <w:szCs w:val="21"/>
              </w:rPr>
            </w:pPr>
            <w:r>
              <w:rPr>
                <w:rFonts w:hint="eastAsia"/>
                <w:bCs/>
                <w:szCs w:val="21"/>
              </w:rPr>
              <w:t>起动补偿功能</w:t>
            </w:r>
          </w:p>
          <w:p w14:paraId="58F1A2B3">
            <w:pPr>
              <w:numPr>
                <w:ilvl w:val="0"/>
                <w:numId w:val="1"/>
              </w:numPr>
              <w:ind w:firstLine="0"/>
              <w:rPr>
                <w:bCs/>
                <w:szCs w:val="21"/>
              </w:rPr>
            </w:pPr>
            <w:r>
              <w:rPr>
                <w:rFonts w:hint="eastAsia"/>
                <w:bCs/>
                <w:szCs w:val="21"/>
              </w:rPr>
              <w:t>轿顶检修操作功能</w:t>
            </w:r>
          </w:p>
          <w:p w14:paraId="48FB99AC">
            <w:pPr>
              <w:numPr>
                <w:ilvl w:val="0"/>
                <w:numId w:val="1"/>
              </w:numPr>
              <w:ind w:firstLine="0"/>
              <w:rPr>
                <w:bCs/>
                <w:szCs w:val="21"/>
              </w:rPr>
            </w:pPr>
            <w:r>
              <w:rPr>
                <w:rFonts w:hint="eastAsia"/>
                <w:bCs/>
                <w:szCs w:val="21"/>
              </w:rPr>
              <w:t>对讲机通讯功能</w:t>
            </w:r>
          </w:p>
          <w:p w14:paraId="774343DB">
            <w:pPr>
              <w:numPr>
                <w:ilvl w:val="0"/>
                <w:numId w:val="1"/>
              </w:numPr>
              <w:ind w:firstLine="0"/>
              <w:rPr>
                <w:bCs/>
                <w:szCs w:val="21"/>
              </w:rPr>
            </w:pPr>
            <w:r>
              <w:rPr>
                <w:rFonts w:hint="eastAsia"/>
                <w:bCs/>
                <w:szCs w:val="21"/>
              </w:rPr>
              <w:t>停车在非门区报警功能</w:t>
            </w:r>
          </w:p>
          <w:p w14:paraId="6A8F29BC">
            <w:pPr>
              <w:numPr>
                <w:ilvl w:val="0"/>
                <w:numId w:val="1"/>
              </w:numPr>
              <w:ind w:firstLine="0"/>
              <w:rPr>
                <w:bCs/>
                <w:szCs w:val="21"/>
              </w:rPr>
            </w:pPr>
            <w:r>
              <w:rPr>
                <w:rFonts w:hint="eastAsia"/>
                <w:bCs/>
                <w:szCs w:val="21"/>
              </w:rPr>
              <w:t>底坑对讲机通讯功能</w:t>
            </w:r>
          </w:p>
          <w:p w14:paraId="1140F0D5">
            <w:pPr>
              <w:numPr>
                <w:ilvl w:val="0"/>
                <w:numId w:val="1"/>
              </w:numPr>
              <w:ind w:firstLine="0"/>
              <w:rPr>
                <w:bCs/>
                <w:szCs w:val="21"/>
              </w:rPr>
            </w:pPr>
            <w:r>
              <w:rPr>
                <w:rFonts w:hint="eastAsia"/>
                <w:bCs/>
                <w:szCs w:val="21"/>
              </w:rPr>
              <w:t>轿内照明自动控制功能</w:t>
            </w:r>
          </w:p>
          <w:p w14:paraId="0363E590">
            <w:pPr>
              <w:numPr>
                <w:ilvl w:val="0"/>
                <w:numId w:val="1"/>
              </w:numPr>
              <w:ind w:firstLine="0"/>
              <w:rPr>
                <w:bCs/>
                <w:szCs w:val="21"/>
              </w:rPr>
            </w:pPr>
            <w:r>
              <w:rPr>
                <w:rFonts w:hint="eastAsia"/>
                <w:bCs/>
                <w:szCs w:val="21"/>
              </w:rPr>
              <w:t>反向内指令自动消除功能</w:t>
            </w:r>
          </w:p>
          <w:p w14:paraId="2A6A720C">
            <w:pPr>
              <w:numPr>
                <w:ilvl w:val="0"/>
                <w:numId w:val="1"/>
              </w:numPr>
              <w:ind w:firstLine="0"/>
              <w:rPr>
                <w:bCs/>
                <w:szCs w:val="21"/>
              </w:rPr>
            </w:pPr>
            <w:r>
              <w:rPr>
                <w:rFonts w:hint="eastAsia"/>
                <w:bCs/>
                <w:szCs w:val="21"/>
              </w:rPr>
              <w:t>轿内慢速运行功能</w:t>
            </w:r>
          </w:p>
          <w:p w14:paraId="50A5FAB1">
            <w:pPr>
              <w:numPr>
                <w:ilvl w:val="0"/>
                <w:numId w:val="1"/>
              </w:numPr>
              <w:ind w:firstLine="0"/>
              <w:rPr>
                <w:bCs/>
                <w:szCs w:val="21"/>
              </w:rPr>
            </w:pPr>
            <w:r>
              <w:rPr>
                <w:rFonts w:hint="eastAsia"/>
                <w:bCs/>
                <w:szCs w:val="21"/>
              </w:rPr>
              <w:t>故障自动检测功能</w:t>
            </w:r>
          </w:p>
          <w:p w14:paraId="0A8F4B52">
            <w:pPr>
              <w:numPr>
                <w:ilvl w:val="0"/>
                <w:numId w:val="1"/>
              </w:numPr>
              <w:ind w:firstLine="0"/>
              <w:rPr>
                <w:bCs/>
                <w:szCs w:val="21"/>
              </w:rPr>
            </w:pPr>
            <w:r>
              <w:rPr>
                <w:rFonts w:hint="eastAsia"/>
                <w:bCs/>
                <w:szCs w:val="21"/>
              </w:rPr>
              <w:t>电动机空转保护功能</w:t>
            </w:r>
          </w:p>
          <w:p w14:paraId="3649354C">
            <w:pPr>
              <w:numPr>
                <w:ilvl w:val="0"/>
                <w:numId w:val="1"/>
              </w:numPr>
              <w:ind w:firstLine="0"/>
              <w:rPr>
                <w:bCs/>
                <w:szCs w:val="21"/>
              </w:rPr>
            </w:pPr>
            <w:r>
              <w:rPr>
                <w:rFonts w:hint="eastAsia"/>
                <w:bCs/>
                <w:szCs w:val="21"/>
              </w:rPr>
              <w:t>电梯服务支援系统</w:t>
            </w:r>
          </w:p>
          <w:p w14:paraId="318E7A67">
            <w:pPr>
              <w:numPr>
                <w:ilvl w:val="0"/>
                <w:numId w:val="1"/>
              </w:numPr>
              <w:ind w:firstLine="0"/>
              <w:rPr>
                <w:bCs/>
                <w:szCs w:val="21"/>
              </w:rPr>
            </w:pPr>
            <w:r>
              <w:rPr>
                <w:rFonts w:hint="eastAsia"/>
                <w:bCs/>
                <w:szCs w:val="21"/>
              </w:rPr>
              <w:t>厅轿门旁路检测功能</w:t>
            </w:r>
          </w:p>
          <w:p w14:paraId="41FA9A6F">
            <w:pPr>
              <w:numPr>
                <w:ilvl w:val="0"/>
                <w:numId w:val="1"/>
              </w:numPr>
              <w:ind w:firstLine="0"/>
              <w:rPr>
                <w:bCs/>
                <w:szCs w:val="21"/>
              </w:rPr>
            </w:pPr>
            <w:r>
              <w:rPr>
                <w:rFonts w:hint="eastAsia"/>
                <w:bCs/>
                <w:szCs w:val="21"/>
              </w:rPr>
              <w:t>门过载保护功能</w:t>
            </w:r>
          </w:p>
          <w:p w14:paraId="46036612">
            <w:pPr>
              <w:numPr>
                <w:ilvl w:val="0"/>
                <w:numId w:val="1"/>
              </w:numPr>
              <w:ind w:firstLine="0"/>
              <w:rPr>
                <w:bCs/>
                <w:szCs w:val="21"/>
              </w:rPr>
            </w:pPr>
            <w:r>
              <w:rPr>
                <w:rFonts w:hint="eastAsia"/>
                <w:bCs/>
                <w:szCs w:val="21"/>
              </w:rPr>
              <w:t>待机定期自检功能</w:t>
            </w:r>
          </w:p>
          <w:p w14:paraId="0B6FA0E6">
            <w:pPr>
              <w:numPr>
                <w:ilvl w:val="0"/>
                <w:numId w:val="1"/>
              </w:numPr>
              <w:ind w:firstLine="0"/>
              <w:rPr>
                <w:bCs/>
                <w:szCs w:val="21"/>
              </w:rPr>
            </w:pPr>
            <w:r>
              <w:rPr>
                <w:rFonts w:hint="eastAsia"/>
                <w:bCs/>
                <w:szCs w:val="21"/>
              </w:rPr>
              <w:t>提前预开门功能（速度≥120m/min时标准设置）</w:t>
            </w:r>
          </w:p>
          <w:p w14:paraId="547C61A8">
            <w:pPr>
              <w:numPr>
                <w:ilvl w:val="0"/>
                <w:numId w:val="1"/>
              </w:numPr>
              <w:ind w:firstLine="0"/>
              <w:rPr>
                <w:bCs/>
                <w:szCs w:val="21"/>
              </w:rPr>
            </w:pPr>
            <w:r>
              <w:rPr>
                <w:rFonts w:hint="eastAsia"/>
                <w:bCs/>
                <w:szCs w:val="21"/>
              </w:rPr>
              <w:t>运行次数显示功能</w:t>
            </w:r>
          </w:p>
          <w:p w14:paraId="42BB5C86">
            <w:pPr>
              <w:numPr>
                <w:ilvl w:val="0"/>
                <w:numId w:val="1"/>
              </w:numPr>
              <w:ind w:firstLine="0"/>
              <w:rPr>
                <w:bCs/>
                <w:szCs w:val="21"/>
              </w:rPr>
            </w:pPr>
            <w:r>
              <w:rPr>
                <w:rFonts w:hint="eastAsia"/>
                <w:bCs/>
                <w:szCs w:val="21"/>
              </w:rPr>
              <w:t>层高自测定功能</w:t>
            </w:r>
          </w:p>
          <w:p w14:paraId="28D94923">
            <w:pPr>
              <w:numPr>
                <w:ilvl w:val="0"/>
                <w:numId w:val="1"/>
              </w:numPr>
              <w:ind w:firstLine="0"/>
              <w:rPr>
                <w:bCs/>
                <w:szCs w:val="21"/>
              </w:rPr>
            </w:pPr>
            <w:r>
              <w:rPr>
                <w:rFonts w:hint="eastAsia"/>
                <w:bCs/>
                <w:szCs w:val="21"/>
              </w:rPr>
              <w:t>故障自动存储功能</w:t>
            </w:r>
          </w:p>
          <w:p w14:paraId="32D78FFE">
            <w:pPr>
              <w:numPr>
                <w:ilvl w:val="0"/>
                <w:numId w:val="1"/>
              </w:numPr>
              <w:ind w:firstLine="0"/>
              <w:rPr>
                <w:bCs/>
                <w:szCs w:val="21"/>
              </w:rPr>
            </w:pPr>
            <w:r>
              <w:rPr>
                <w:rFonts w:hint="eastAsia"/>
                <w:bCs/>
                <w:szCs w:val="21"/>
              </w:rPr>
              <w:t>目的层按钮闪亮功能</w:t>
            </w:r>
          </w:p>
          <w:p w14:paraId="12BBD9AB">
            <w:pPr>
              <w:numPr>
                <w:ilvl w:val="0"/>
                <w:numId w:val="1"/>
              </w:numPr>
              <w:ind w:firstLine="0"/>
              <w:rPr>
                <w:bCs/>
                <w:szCs w:val="21"/>
              </w:rPr>
            </w:pPr>
            <w:r>
              <w:rPr>
                <w:rFonts w:hint="eastAsia"/>
                <w:bCs/>
                <w:szCs w:val="21"/>
              </w:rPr>
              <w:t>位置异常自动校正功能</w:t>
            </w:r>
          </w:p>
          <w:p w14:paraId="4B9A3928">
            <w:pPr>
              <w:numPr>
                <w:ilvl w:val="0"/>
                <w:numId w:val="1"/>
              </w:numPr>
              <w:ind w:firstLine="0"/>
              <w:rPr>
                <w:bCs/>
                <w:szCs w:val="21"/>
              </w:rPr>
            </w:pPr>
            <w:r>
              <w:rPr>
                <w:rFonts w:hint="eastAsia"/>
                <w:bCs/>
                <w:szCs w:val="21"/>
              </w:rPr>
              <w:t>同步电机磁极码自学习功能</w:t>
            </w:r>
          </w:p>
          <w:p w14:paraId="768F8AAB">
            <w:pPr>
              <w:numPr>
                <w:ilvl w:val="0"/>
                <w:numId w:val="1"/>
              </w:numPr>
              <w:ind w:firstLine="0"/>
              <w:rPr>
                <w:bCs/>
                <w:szCs w:val="21"/>
              </w:rPr>
            </w:pPr>
            <w:r>
              <w:rPr>
                <w:rFonts w:hint="eastAsia"/>
                <w:bCs/>
                <w:szCs w:val="21"/>
              </w:rPr>
              <w:t>警铃报警功能</w:t>
            </w:r>
          </w:p>
          <w:p w14:paraId="7BC7CBD6">
            <w:pPr>
              <w:numPr>
                <w:ilvl w:val="0"/>
                <w:numId w:val="1"/>
              </w:numPr>
              <w:ind w:firstLine="0"/>
              <w:rPr>
                <w:bCs/>
                <w:szCs w:val="21"/>
              </w:rPr>
            </w:pPr>
            <w:r>
              <w:rPr>
                <w:rFonts w:hint="eastAsia"/>
                <w:bCs/>
                <w:szCs w:val="21"/>
              </w:rPr>
              <w:t>满载直驶运行功能</w:t>
            </w:r>
          </w:p>
          <w:p w14:paraId="3AE3CB8D">
            <w:pPr>
              <w:numPr>
                <w:ilvl w:val="0"/>
                <w:numId w:val="1"/>
              </w:numPr>
              <w:ind w:firstLine="0"/>
              <w:rPr>
                <w:bCs/>
                <w:szCs w:val="21"/>
              </w:rPr>
            </w:pPr>
            <w:r>
              <w:rPr>
                <w:rFonts w:hint="eastAsia"/>
                <w:bCs/>
                <w:szCs w:val="21"/>
              </w:rPr>
              <w:t>轿内通风自动控制功能</w:t>
            </w:r>
          </w:p>
          <w:p w14:paraId="5004AEF9">
            <w:pPr>
              <w:numPr>
                <w:ilvl w:val="0"/>
                <w:numId w:val="1"/>
              </w:numPr>
              <w:ind w:firstLine="0"/>
              <w:rPr>
                <w:bCs/>
                <w:szCs w:val="21"/>
              </w:rPr>
            </w:pPr>
            <w:r>
              <w:rPr>
                <w:rFonts w:hint="eastAsia"/>
                <w:bCs/>
                <w:szCs w:val="21"/>
              </w:rPr>
              <w:t>智能辅助制动功能</w:t>
            </w:r>
          </w:p>
          <w:p w14:paraId="5EB95C9F">
            <w:pPr>
              <w:numPr>
                <w:ilvl w:val="0"/>
                <w:numId w:val="1"/>
              </w:numPr>
              <w:ind w:firstLine="0"/>
              <w:rPr>
                <w:bCs/>
                <w:szCs w:val="21"/>
              </w:rPr>
            </w:pPr>
            <w:r>
              <w:rPr>
                <w:rFonts w:hint="eastAsia"/>
                <w:bCs/>
                <w:szCs w:val="21"/>
              </w:rPr>
              <w:t>抱闸动作的双安全检测功能</w:t>
            </w:r>
          </w:p>
          <w:p w14:paraId="08233B9F">
            <w:pPr>
              <w:numPr>
                <w:ilvl w:val="0"/>
                <w:numId w:val="1"/>
              </w:numPr>
              <w:ind w:firstLine="0"/>
              <w:rPr>
                <w:bCs/>
                <w:szCs w:val="21"/>
              </w:rPr>
            </w:pPr>
            <w:r>
              <w:rPr>
                <w:rFonts w:hint="eastAsia"/>
                <w:bCs/>
                <w:szCs w:val="21"/>
              </w:rPr>
              <w:t>无呼自返基站功能:1层</w:t>
            </w:r>
          </w:p>
          <w:p w14:paraId="4AB2FFE7">
            <w:pPr>
              <w:numPr>
                <w:ilvl w:val="0"/>
                <w:numId w:val="1"/>
              </w:numPr>
              <w:ind w:firstLine="0"/>
              <w:rPr>
                <w:bCs/>
                <w:szCs w:val="21"/>
              </w:rPr>
            </w:pPr>
            <w:r>
              <w:rPr>
                <w:rFonts w:hint="eastAsia"/>
                <w:bCs/>
                <w:szCs w:val="21"/>
              </w:rPr>
              <w:t>电动机过载保护功能</w:t>
            </w:r>
          </w:p>
          <w:p w14:paraId="50102326">
            <w:pPr>
              <w:numPr>
                <w:ilvl w:val="0"/>
                <w:numId w:val="1"/>
              </w:numPr>
              <w:ind w:firstLine="0"/>
              <w:rPr>
                <w:bCs/>
                <w:szCs w:val="21"/>
              </w:rPr>
            </w:pPr>
            <w:r>
              <w:rPr>
                <w:rFonts w:hint="eastAsia"/>
                <w:bCs/>
                <w:szCs w:val="21"/>
              </w:rPr>
              <w:t>无效内指令自动消除功能</w:t>
            </w:r>
          </w:p>
          <w:p w14:paraId="162147AB">
            <w:pPr>
              <w:numPr>
                <w:ilvl w:val="0"/>
                <w:numId w:val="1"/>
              </w:numPr>
              <w:ind w:firstLine="0"/>
              <w:rPr>
                <w:bCs/>
                <w:szCs w:val="21"/>
              </w:rPr>
            </w:pPr>
            <w:r>
              <w:rPr>
                <w:rFonts w:hint="eastAsia"/>
                <w:bCs/>
                <w:szCs w:val="21"/>
              </w:rPr>
              <w:t>抗电磁干扰功能</w:t>
            </w:r>
          </w:p>
          <w:p w14:paraId="15C71CF4">
            <w:pPr>
              <w:numPr>
                <w:ilvl w:val="0"/>
                <w:numId w:val="1"/>
              </w:numPr>
              <w:ind w:firstLine="0"/>
              <w:rPr>
                <w:bCs/>
                <w:szCs w:val="21"/>
              </w:rPr>
            </w:pPr>
            <w:r>
              <w:rPr>
                <w:rFonts w:hint="eastAsia"/>
                <w:bCs/>
                <w:szCs w:val="21"/>
              </w:rPr>
              <w:t>微动平层功能（提升高度≥45米时标准设置）</w:t>
            </w:r>
          </w:p>
          <w:p w14:paraId="12AE681A">
            <w:pPr>
              <w:numPr>
                <w:ilvl w:val="0"/>
                <w:numId w:val="1"/>
              </w:numPr>
              <w:ind w:firstLine="0"/>
              <w:rPr>
                <w:bCs/>
                <w:szCs w:val="21"/>
              </w:rPr>
            </w:pPr>
            <w:r>
              <w:rPr>
                <w:rFonts w:hint="eastAsia"/>
                <w:bCs/>
                <w:szCs w:val="21"/>
              </w:rPr>
              <w:t>超载报警功能</w:t>
            </w:r>
          </w:p>
          <w:p w14:paraId="47DC6E68">
            <w:pPr>
              <w:numPr>
                <w:ilvl w:val="0"/>
                <w:numId w:val="1"/>
              </w:numPr>
              <w:ind w:firstLine="0"/>
              <w:rPr>
                <w:bCs/>
                <w:szCs w:val="21"/>
              </w:rPr>
            </w:pPr>
            <w:r>
              <w:rPr>
                <w:rFonts w:hint="eastAsia"/>
                <w:bCs/>
                <w:szCs w:val="21"/>
              </w:rPr>
              <w:t>门停止运行功能</w:t>
            </w:r>
          </w:p>
          <w:p w14:paraId="6E847820">
            <w:pPr>
              <w:numPr>
                <w:ilvl w:val="0"/>
                <w:numId w:val="1"/>
              </w:numPr>
              <w:ind w:firstLine="0"/>
              <w:rPr>
                <w:bCs/>
                <w:szCs w:val="21"/>
              </w:rPr>
            </w:pPr>
            <w:r>
              <w:rPr>
                <w:rFonts w:hint="eastAsia"/>
                <w:bCs/>
                <w:szCs w:val="21"/>
              </w:rPr>
              <w:t>开门时间自动调整功能</w:t>
            </w:r>
          </w:p>
          <w:p w14:paraId="6B01567D">
            <w:pPr>
              <w:numPr>
                <w:ilvl w:val="0"/>
                <w:numId w:val="1"/>
              </w:numPr>
              <w:ind w:firstLine="0"/>
              <w:rPr>
                <w:bCs/>
                <w:szCs w:val="21"/>
              </w:rPr>
            </w:pPr>
            <w:r>
              <w:rPr>
                <w:rFonts w:hint="eastAsia"/>
                <w:bCs/>
                <w:szCs w:val="21"/>
              </w:rPr>
              <w:t>全集选控制运行功能</w:t>
            </w:r>
          </w:p>
          <w:p w14:paraId="2D5FE4C9">
            <w:pPr>
              <w:numPr>
                <w:ilvl w:val="0"/>
                <w:numId w:val="1"/>
              </w:numPr>
              <w:ind w:firstLine="0"/>
              <w:rPr>
                <w:bCs/>
                <w:szCs w:val="21"/>
              </w:rPr>
            </w:pPr>
            <w:r>
              <w:rPr>
                <w:rFonts w:hint="eastAsia"/>
                <w:bCs/>
                <w:szCs w:val="21"/>
              </w:rPr>
              <w:t>开关门时间超常保护功能</w:t>
            </w:r>
          </w:p>
          <w:p w14:paraId="52D8B1BC">
            <w:pPr>
              <w:numPr>
                <w:ilvl w:val="0"/>
                <w:numId w:val="1"/>
              </w:numPr>
              <w:ind w:firstLine="0"/>
              <w:rPr>
                <w:bCs/>
                <w:szCs w:val="21"/>
              </w:rPr>
            </w:pPr>
            <w:r>
              <w:rPr>
                <w:rFonts w:hint="eastAsia"/>
                <w:bCs/>
                <w:szCs w:val="21"/>
              </w:rPr>
              <w:t>停电应急照明功能</w:t>
            </w:r>
          </w:p>
          <w:p w14:paraId="5E275468">
            <w:pPr>
              <w:numPr>
                <w:ilvl w:val="0"/>
                <w:numId w:val="1"/>
              </w:numPr>
              <w:ind w:firstLine="0"/>
              <w:rPr>
                <w:bCs/>
                <w:szCs w:val="21"/>
              </w:rPr>
            </w:pPr>
            <w:r>
              <w:rPr>
                <w:rFonts w:hint="eastAsia"/>
                <w:bCs/>
                <w:szCs w:val="21"/>
              </w:rPr>
              <w:t>超载保护功能</w:t>
            </w:r>
          </w:p>
          <w:p w14:paraId="25DE1531">
            <w:pPr>
              <w:numPr>
                <w:ilvl w:val="0"/>
                <w:numId w:val="1"/>
              </w:numPr>
              <w:ind w:firstLine="0"/>
              <w:rPr>
                <w:bCs/>
                <w:szCs w:val="21"/>
              </w:rPr>
            </w:pPr>
            <w:r>
              <w:rPr>
                <w:rFonts w:hint="eastAsia"/>
                <w:bCs/>
                <w:szCs w:val="21"/>
              </w:rPr>
              <w:t>机房调试操作功能</w:t>
            </w:r>
          </w:p>
          <w:p w14:paraId="53DFB27F">
            <w:pPr>
              <w:numPr>
                <w:ilvl w:val="0"/>
                <w:numId w:val="1"/>
              </w:numPr>
              <w:ind w:firstLine="0"/>
              <w:rPr>
                <w:bCs/>
                <w:szCs w:val="21"/>
              </w:rPr>
            </w:pPr>
            <w:r>
              <w:rPr>
                <w:rFonts w:hint="eastAsia"/>
                <w:bCs/>
                <w:szCs w:val="21"/>
              </w:rPr>
              <w:t>超速机械保护功能</w:t>
            </w:r>
          </w:p>
          <w:p w14:paraId="47CF86BB">
            <w:pPr>
              <w:numPr>
                <w:ilvl w:val="0"/>
                <w:numId w:val="1"/>
              </w:numPr>
              <w:ind w:firstLine="0"/>
              <w:rPr>
                <w:bCs/>
                <w:szCs w:val="21"/>
              </w:rPr>
            </w:pPr>
            <w:r>
              <w:rPr>
                <w:rFonts w:hint="eastAsia"/>
                <w:bCs/>
                <w:szCs w:val="21"/>
              </w:rPr>
              <w:t>消防迫降功能:1层</w:t>
            </w:r>
          </w:p>
          <w:p w14:paraId="7F70908B">
            <w:pPr>
              <w:numPr>
                <w:ilvl w:val="0"/>
                <w:numId w:val="1"/>
              </w:numPr>
              <w:ind w:firstLine="0"/>
              <w:rPr>
                <w:bCs/>
                <w:szCs w:val="21"/>
              </w:rPr>
            </w:pPr>
            <w:r>
              <w:rPr>
                <w:rFonts w:hint="eastAsia"/>
                <w:bCs/>
                <w:szCs w:val="21"/>
              </w:rPr>
              <w:t>泊梯功能:1层</w:t>
            </w:r>
          </w:p>
          <w:p w14:paraId="1C6611D2">
            <w:pPr>
              <w:numPr>
                <w:ilvl w:val="0"/>
                <w:numId w:val="1"/>
              </w:numPr>
              <w:ind w:firstLine="0"/>
              <w:rPr>
                <w:bCs/>
                <w:szCs w:val="21"/>
              </w:rPr>
            </w:pPr>
            <w:r>
              <w:rPr>
                <w:rFonts w:hint="eastAsia"/>
                <w:bCs/>
                <w:szCs w:val="21"/>
              </w:rPr>
              <w:t>开门时间自动控制功能</w:t>
            </w:r>
          </w:p>
          <w:p w14:paraId="12C6595E">
            <w:pPr>
              <w:numPr>
                <w:ilvl w:val="0"/>
                <w:numId w:val="1"/>
              </w:numPr>
              <w:ind w:firstLine="0"/>
              <w:rPr>
                <w:bCs/>
                <w:szCs w:val="21"/>
              </w:rPr>
            </w:pPr>
            <w:r>
              <w:rPr>
                <w:rFonts w:hint="eastAsia"/>
                <w:bCs/>
                <w:szCs w:val="21"/>
              </w:rPr>
              <w:t>超速电气保护功能</w:t>
            </w:r>
          </w:p>
          <w:p w14:paraId="5E5F27D7">
            <w:pPr>
              <w:numPr>
                <w:ilvl w:val="0"/>
                <w:numId w:val="1"/>
              </w:numPr>
              <w:ind w:firstLine="0"/>
              <w:rPr>
                <w:bCs/>
                <w:szCs w:val="21"/>
              </w:rPr>
            </w:pPr>
            <w:r>
              <w:rPr>
                <w:rFonts w:hint="eastAsia"/>
                <w:bCs/>
                <w:szCs w:val="21"/>
              </w:rPr>
              <w:t>开门异常自动选层功能</w:t>
            </w:r>
          </w:p>
          <w:p w14:paraId="038841E5">
            <w:pPr>
              <w:numPr>
                <w:ilvl w:val="0"/>
                <w:numId w:val="1"/>
              </w:numPr>
              <w:ind w:firstLine="0"/>
              <w:rPr>
                <w:bCs/>
                <w:szCs w:val="21"/>
              </w:rPr>
            </w:pPr>
            <w:r>
              <w:rPr>
                <w:rFonts w:hint="eastAsia"/>
                <w:bCs/>
                <w:szCs w:val="21"/>
              </w:rPr>
              <w:t>电动机过热保护功能</w:t>
            </w:r>
          </w:p>
          <w:p w14:paraId="1D54990E">
            <w:pPr>
              <w:numPr>
                <w:ilvl w:val="0"/>
                <w:numId w:val="1"/>
              </w:numPr>
              <w:ind w:firstLine="0"/>
              <w:rPr>
                <w:bCs/>
                <w:szCs w:val="21"/>
              </w:rPr>
            </w:pPr>
            <w:r>
              <w:rPr>
                <w:rFonts w:hint="eastAsia"/>
                <w:bCs/>
                <w:szCs w:val="21"/>
              </w:rPr>
              <w:t>厅外检修显示功能</w:t>
            </w:r>
          </w:p>
          <w:p w14:paraId="51805DAA">
            <w:pPr>
              <w:numPr>
                <w:ilvl w:val="0"/>
                <w:numId w:val="1"/>
              </w:numPr>
              <w:ind w:firstLine="0"/>
              <w:rPr>
                <w:bCs/>
                <w:szCs w:val="21"/>
              </w:rPr>
            </w:pPr>
            <w:r>
              <w:rPr>
                <w:rFonts w:hint="eastAsia"/>
                <w:bCs/>
                <w:szCs w:val="21"/>
              </w:rPr>
              <w:t>消防员专用功能</w:t>
            </w:r>
          </w:p>
          <w:p w14:paraId="449629B6">
            <w:pPr>
              <w:numPr>
                <w:ilvl w:val="0"/>
                <w:numId w:val="1"/>
              </w:numPr>
              <w:ind w:firstLine="0"/>
              <w:rPr>
                <w:bCs/>
                <w:szCs w:val="21"/>
              </w:rPr>
            </w:pPr>
            <w:r>
              <w:rPr>
                <w:rFonts w:hint="eastAsia"/>
                <w:bCs/>
                <w:szCs w:val="21"/>
              </w:rPr>
              <w:t>五方通话功能</w:t>
            </w:r>
          </w:p>
          <w:p w14:paraId="4FCAF49F">
            <w:pPr>
              <w:numPr>
                <w:ilvl w:val="0"/>
                <w:numId w:val="1"/>
              </w:numPr>
              <w:ind w:firstLine="0"/>
              <w:rPr>
                <w:bCs/>
                <w:szCs w:val="21"/>
              </w:rPr>
            </w:pPr>
            <w:r>
              <w:rPr>
                <w:rFonts w:hint="eastAsia"/>
                <w:bCs/>
                <w:szCs w:val="21"/>
              </w:rPr>
              <w:t>停电应急平层</w:t>
            </w:r>
          </w:p>
          <w:p w14:paraId="381758DF">
            <w:pPr>
              <w:numPr>
                <w:ilvl w:val="0"/>
                <w:numId w:val="1"/>
              </w:numPr>
              <w:ind w:firstLine="0"/>
              <w:rPr>
                <w:rFonts w:ascii="宋体" w:hAnsi="宋体" w:eastAsia="宋体" w:cs="宋体"/>
                <w:szCs w:val="21"/>
              </w:rPr>
            </w:pPr>
            <w:r>
              <w:rPr>
                <w:rFonts w:hint="eastAsia"/>
                <w:bCs/>
                <w:szCs w:val="21"/>
              </w:rPr>
              <w:t>轿内误指令取消功能</w:t>
            </w:r>
          </w:p>
        </w:tc>
      </w:tr>
      <w:tr w14:paraId="603A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975" w:type="dxa"/>
            <w:gridSpan w:val="4"/>
            <w:vAlign w:val="center"/>
          </w:tcPr>
          <w:p w14:paraId="43F6702F">
            <w:pPr>
              <w:rPr>
                <w:rFonts w:ascii="宋体" w:hAnsi="宋体" w:eastAsia="宋体" w:cs="宋体"/>
                <w:b/>
                <w:bCs/>
              </w:rPr>
            </w:pPr>
            <w:r>
              <w:rPr>
                <w:rFonts w:hint="eastAsia" w:ascii="宋体" w:hAnsi="宋体" w:eastAsia="宋体" w:cs="宋体"/>
                <w:b/>
                <w:bCs/>
              </w:rPr>
              <w:t>二、商务要求</w:t>
            </w:r>
          </w:p>
        </w:tc>
      </w:tr>
      <w:tr w14:paraId="7AAD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412" w:type="dxa"/>
            <w:gridSpan w:val="3"/>
            <w:vAlign w:val="center"/>
          </w:tcPr>
          <w:p w14:paraId="406A3DF5">
            <w:pPr>
              <w:rPr>
                <w:rFonts w:ascii="宋体" w:hAnsi="宋体" w:eastAsia="宋体" w:cs="宋体"/>
                <w:b/>
                <w:bCs/>
              </w:rPr>
            </w:pPr>
            <w:r>
              <w:rPr>
                <w:rFonts w:hint="eastAsia" w:ascii="宋体" w:hAnsi="宋体" w:eastAsia="宋体" w:cs="宋体"/>
                <w:b/>
                <w:bCs/>
                <w:szCs w:val="21"/>
              </w:rPr>
              <w:t>▲</w:t>
            </w:r>
            <w:r>
              <w:rPr>
                <w:rFonts w:hint="eastAsia" w:ascii="宋体" w:hAnsi="宋体" w:eastAsia="宋体" w:cs="宋体"/>
                <w:b/>
                <w:bCs/>
              </w:rPr>
              <w:t>竞价供应商资格要求</w:t>
            </w:r>
          </w:p>
        </w:tc>
        <w:tc>
          <w:tcPr>
            <w:tcW w:w="6563" w:type="dxa"/>
            <w:vAlign w:val="center"/>
          </w:tcPr>
          <w:p w14:paraId="46D7C648">
            <w:pPr>
              <w:spacing w:line="420" w:lineRule="exact"/>
              <w:rPr>
                <w:rFonts w:ascii="宋体" w:hAnsi="宋体" w:eastAsia="宋体" w:cs="宋体"/>
              </w:rPr>
            </w:pPr>
            <w:r>
              <w:rPr>
                <w:rFonts w:hint="eastAsia" w:ascii="宋体" w:hAnsi="宋体" w:eastAsia="宋体" w:cs="宋体"/>
              </w:rPr>
              <w:t>1、具备《中华人民共和国政府采购法》第二十二条规定的条件；</w:t>
            </w:r>
          </w:p>
          <w:p w14:paraId="5EDE8FAC">
            <w:pPr>
              <w:spacing w:line="420" w:lineRule="exact"/>
              <w:rPr>
                <w:rFonts w:ascii="宋体" w:hAnsi="宋体" w:eastAsia="宋体" w:cs="宋体"/>
              </w:rPr>
            </w:pPr>
            <w:r>
              <w:rPr>
                <w:rFonts w:hint="eastAsia" w:ascii="宋体" w:hAnsi="宋体" w:eastAsia="宋体" w:cs="宋体"/>
              </w:rPr>
              <w:t>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14:paraId="1B3A9952">
            <w:pPr>
              <w:spacing w:line="420" w:lineRule="exact"/>
              <w:rPr>
                <w:rFonts w:ascii="宋体" w:hAnsi="宋体" w:eastAsia="宋体" w:cs="宋体"/>
              </w:rPr>
            </w:pPr>
            <w:r>
              <w:rPr>
                <w:rFonts w:hint="eastAsia" w:ascii="宋体" w:hAnsi="宋体" w:eastAsia="宋体" w:cs="宋体"/>
              </w:rPr>
              <w:t>3、竞价供应商必须具有《中华人民共和国特种设备安装改造维修许可证（电梯）》安装、维修B级及以上的资质（需提供相关证书复印件，原件备查）。</w:t>
            </w:r>
          </w:p>
          <w:p w14:paraId="32189E7B">
            <w:pPr>
              <w:spacing w:line="420" w:lineRule="exact"/>
              <w:rPr>
                <w:rFonts w:ascii="宋体" w:hAnsi="宋体" w:eastAsia="宋体" w:cs="宋体"/>
              </w:rPr>
            </w:pPr>
            <w:r>
              <w:rPr>
                <w:rFonts w:hint="eastAsia" w:ascii="宋体" w:hAnsi="宋体" w:eastAsia="宋体" w:cs="宋体"/>
              </w:rPr>
              <w:t>4、竞标时需提供生产厂家针对本项目的授权委托书。否则竞标无效。</w:t>
            </w:r>
          </w:p>
          <w:p w14:paraId="7584974B">
            <w:pPr>
              <w:spacing w:line="420" w:lineRule="exact"/>
              <w:rPr>
                <w:rFonts w:ascii="宋体" w:hAnsi="宋体" w:eastAsia="宋体" w:cs="宋体"/>
                <w:b/>
                <w:bCs/>
              </w:rPr>
            </w:pPr>
            <w:r>
              <w:rPr>
                <w:rFonts w:hint="eastAsia" w:ascii="宋体" w:hAnsi="宋体" w:eastAsia="宋体" w:cs="宋体"/>
              </w:rPr>
              <w:t>5、本项目不接受联合体竞价。</w:t>
            </w:r>
          </w:p>
        </w:tc>
      </w:tr>
      <w:tr w14:paraId="42B5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2" w:type="dxa"/>
            <w:gridSpan w:val="3"/>
            <w:vAlign w:val="center"/>
          </w:tcPr>
          <w:p w14:paraId="5A9047FA">
            <w:pPr>
              <w:spacing w:line="420" w:lineRule="exact"/>
              <w:jc w:val="center"/>
              <w:rPr>
                <w:rFonts w:ascii="宋体" w:hAnsi="宋体" w:eastAsia="宋体" w:cs="宋体"/>
              </w:rPr>
            </w:pPr>
            <w:r>
              <w:rPr>
                <w:rFonts w:hint="eastAsia" w:ascii="宋体" w:hAnsi="宋体" w:eastAsia="宋体" w:cs="宋体"/>
                <w:b/>
                <w:bCs/>
                <w:szCs w:val="21"/>
              </w:rPr>
              <w:t>▲</w:t>
            </w:r>
            <w:r>
              <w:rPr>
                <w:rFonts w:hint="eastAsia" w:ascii="宋体" w:hAnsi="宋体" w:eastAsia="宋体" w:cs="宋体"/>
                <w:b/>
                <w:bCs/>
              </w:rPr>
              <w:t>售后服务要求及免费保修期</w:t>
            </w:r>
          </w:p>
        </w:tc>
        <w:tc>
          <w:tcPr>
            <w:tcW w:w="6563" w:type="dxa"/>
          </w:tcPr>
          <w:p w14:paraId="6C26356F">
            <w:pPr>
              <w:spacing w:line="420" w:lineRule="exact"/>
              <w:jc w:val="left"/>
              <w:rPr>
                <w:rFonts w:ascii="宋体" w:hAnsi="宋体" w:eastAsia="宋体" w:cs="宋体"/>
              </w:rPr>
            </w:pPr>
            <w:r>
              <w:rPr>
                <w:rFonts w:hint="eastAsia" w:ascii="宋体" w:hAnsi="宋体" w:eastAsia="宋体" w:cs="宋体"/>
              </w:rPr>
              <w:t>1、</w:t>
            </w:r>
            <w:r>
              <w:rPr>
                <w:rFonts w:hint="eastAsia" w:ascii="宋体" w:hAnsi="宋体" w:eastAsia="宋体" w:cs="宋体"/>
                <w:szCs w:val="21"/>
              </w:rPr>
              <w:t>合同签订期：自成交通知书发出之日起</w:t>
            </w:r>
            <w:r>
              <w:rPr>
                <w:rFonts w:hint="eastAsia" w:ascii="宋体" w:hAnsi="宋体" w:eastAsia="宋体" w:cs="宋体"/>
                <w:szCs w:val="21"/>
                <w:u w:val="single"/>
              </w:rPr>
              <w:t xml:space="preserve"> 10 </w:t>
            </w:r>
            <w:r>
              <w:rPr>
                <w:rFonts w:hint="eastAsia" w:ascii="宋体" w:hAnsi="宋体" w:eastAsia="宋体" w:cs="宋体"/>
                <w:szCs w:val="21"/>
              </w:rPr>
              <w:t>个工作日内；</w:t>
            </w:r>
          </w:p>
          <w:p w14:paraId="10DCC795">
            <w:pPr>
              <w:spacing w:line="420" w:lineRule="exact"/>
              <w:jc w:val="left"/>
              <w:rPr>
                <w:rFonts w:ascii="宋体" w:hAnsi="宋体" w:eastAsia="宋体" w:cs="宋体"/>
              </w:rPr>
            </w:pPr>
            <w:r>
              <w:rPr>
                <w:rFonts w:hint="eastAsia" w:ascii="宋体" w:hAnsi="宋体" w:eastAsia="宋体" w:cs="宋体"/>
              </w:rPr>
              <w:t xml:space="preserve">2、交付使用时间：自合同签订之日起90个日历日内完成设备交付、安装及验收（因采购人书面要求调整工期的除外，工期相应顺延）； </w:t>
            </w:r>
          </w:p>
          <w:p w14:paraId="00E1541B">
            <w:pPr>
              <w:spacing w:line="420" w:lineRule="exact"/>
              <w:jc w:val="left"/>
              <w:rPr>
                <w:rFonts w:ascii="宋体" w:hAnsi="宋体" w:eastAsia="宋体" w:cs="宋体"/>
              </w:rPr>
            </w:pPr>
            <w:r>
              <w:rPr>
                <w:rFonts w:hint="eastAsia" w:ascii="宋体" w:hAnsi="宋体" w:eastAsia="宋体" w:cs="宋体"/>
              </w:rPr>
              <w:t>3、交货地点：桃源校区。</w:t>
            </w:r>
          </w:p>
          <w:p w14:paraId="5F645364">
            <w:pPr>
              <w:spacing w:line="420" w:lineRule="exact"/>
              <w:jc w:val="left"/>
              <w:rPr>
                <w:rFonts w:ascii="宋体" w:hAnsi="宋体" w:eastAsia="宋体" w:cs="宋体"/>
                <w:szCs w:val="21"/>
              </w:rPr>
            </w:pPr>
            <w:r>
              <w:rPr>
                <w:rFonts w:hint="eastAsia" w:ascii="宋体" w:hAnsi="宋体" w:eastAsia="宋体" w:cs="宋体"/>
                <w:bCs/>
                <w:szCs w:val="21"/>
              </w:rPr>
              <w:t>4、交货方式：现场交货。</w:t>
            </w:r>
          </w:p>
          <w:p w14:paraId="26E01D64">
            <w:pPr>
              <w:widowControl/>
              <w:spacing w:line="420" w:lineRule="exact"/>
              <w:jc w:val="left"/>
              <w:rPr>
                <w:rFonts w:ascii="宋体" w:hAnsi="宋体" w:eastAsia="宋体" w:cs="宋体"/>
                <w:kern w:val="0"/>
              </w:rPr>
            </w:pPr>
            <w:r>
              <w:rPr>
                <w:rFonts w:hint="eastAsia" w:ascii="宋体" w:hAnsi="宋体" w:eastAsia="宋体" w:cs="宋体"/>
                <w:kern w:val="0"/>
              </w:rPr>
              <w:t>5、售后技术服务要求：</w:t>
            </w:r>
          </w:p>
          <w:p w14:paraId="7ED44025">
            <w:pPr>
              <w:widowControl/>
              <w:spacing w:line="420" w:lineRule="exact"/>
              <w:jc w:val="left"/>
              <w:rPr>
                <w:rFonts w:ascii="宋体" w:hAnsi="宋体" w:eastAsia="宋体" w:cs="宋体"/>
                <w:kern w:val="0"/>
              </w:rPr>
            </w:pPr>
            <w:r>
              <w:rPr>
                <w:rFonts w:hint="eastAsia" w:ascii="宋体" w:hAnsi="宋体" w:eastAsia="宋体" w:cs="宋体"/>
                <w:kern w:val="0"/>
              </w:rPr>
              <w:t>（1）质保期：自安装、调试验收合格并交付使用之日起</w:t>
            </w:r>
            <w:r>
              <w:rPr>
                <w:rFonts w:hint="eastAsia" w:ascii="宋体" w:hAnsi="宋体" w:eastAsia="宋体" w:cs="宋体"/>
                <w:b/>
                <w:szCs w:val="21"/>
                <w:u w:val="single"/>
              </w:rPr>
              <w:t>1</w:t>
            </w:r>
            <w:r>
              <w:rPr>
                <w:rFonts w:hint="eastAsia" w:ascii="宋体" w:hAnsi="宋体" w:eastAsia="宋体" w:cs="宋体"/>
                <w:b/>
                <w:kern w:val="0"/>
              </w:rPr>
              <w:t>年</w:t>
            </w:r>
            <w:r>
              <w:rPr>
                <w:rFonts w:hint="eastAsia" w:ascii="宋体" w:hAnsi="宋体" w:eastAsia="宋体" w:cs="宋体"/>
                <w:kern w:val="0"/>
              </w:rPr>
              <w:t>免费保修。</w:t>
            </w:r>
          </w:p>
          <w:p w14:paraId="2FADBBD6">
            <w:pPr>
              <w:widowControl/>
              <w:spacing w:line="420" w:lineRule="exact"/>
              <w:jc w:val="left"/>
              <w:outlineLvl w:val="0"/>
              <w:rPr>
                <w:rFonts w:ascii="宋体" w:hAnsi="宋体" w:eastAsia="宋体" w:cs="宋体"/>
                <w:kern w:val="0"/>
              </w:rPr>
            </w:pPr>
            <w:r>
              <w:rPr>
                <w:rFonts w:hint="eastAsia" w:ascii="宋体" w:hAnsi="宋体" w:eastAsia="宋体" w:cs="宋体"/>
                <w:kern w:val="0"/>
              </w:rPr>
              <w:t>（2）售后</w:t>
            </w:r>
            <w:r>
              <w:rPr>
                <w:rFonts w:hint="eastAsia" w:ascii="宋体" w:hAnsi="宋体" w:eastAsia="宋体" w:cs="宋体"/>
              </w:rPr>
              <w:t>维修保养</w:t>
            </w:r>
            <w:r>
              <w:rPr>
                <w:rFonts w:hint="eastAsia" w:ascii="宋体" w:hAnsi="宋体" w:eastAsia="宋体" w:cs="宋体"/>
                <w:kern w:val="0"/>
              </w:rPr>
              <w:t>承诺</w:t>
            </w:r>
            <w:r>
              <w:rPr>
                <w:rFonts w:hint="eastAsia" w:ascii="宋体" w:hAnsi="宋体" w:eastAsia="宋体" w:cs="宋体"/>
              </w:rPr>
              <w:t>由成交供应商负责，成交供应商须在项目当地设有维保服务机构。</w:t>
            </w:r>
            <w:r>
              <w:rPr>
                <w:rFonts w:hint="eastAsia" w:ascii="宋体" w:hAnsi="宋体" w:eastAsia="宋体" w:cs="宋体"/>
                <w:kern w:val="0"/>
              </w:rPr>
              <w:t>质保期内每季度进行一次全面的免费检修，每月两次免费保养服务（检测、清洁、加油、调整、校正），提供24小时的急修服务，一旦电梯出现故障，接到报修电话后30分钟内有维修人员到达现场排除故障；一般故障修复时间不超过2小时，重大故障修复时间不超过24小时；质保期内发生故障需更换零配件的，必须保证零配件为原厂配件；质保期满后，需提供终身有偿维护保养服务，并承诺以优于市场价格收取维保费。</w:t>
            </w:r>
          </w:p>
          <w:p w14:paraId="370BC5E7">
            <w:pPr>
              <w:pStyle w:val="9"/>
              <w:widowControl/>
              <w:spacing w:line="420" w:lineRule="exact"/>
              <w:jc w:val="left"/>
              <w:outlineLvl w:val="0"/>
              <w:rPr>
                <w:rFonts w:hAnsi="宋体" w:eastAsia="宋体" w:cs="宋体"/>
                <w:kern w:val="0"/>
              </w:rPr>
            </w:pPr>
            <w:bookmarkStart w:id="0" w:name="_Toc474596506"/>
            <w:bookmarkEnd w:id="0"/>
            <w:bookmarkStart w:id="1" w:name="_Toc7259"/>
            <w:r>
              <w:rPr>
                <w:rFonts w:hint="eastAsia" w:hAnsi="宋体" w:eastAsia="宋体" w:cs="宋体"/>
                <w:kern w:val="0"/>
              </w:rPr>
              <w:t>（3）负责为采购人免费培训电梯管理人员（1-2名）；</w:t>
            </w:r>
            <w:bookmarkEnd w:id="1"/>
          </w:p>
          <w:p w14:paraId="59B3FB7E">
            <w:pPr>
              <w:pStyle w:val="9"/>
              <w:widowControl/>
              <w:spacing w:line="420" w:lineRule="exact"/>
              <w:jc w:val="left"/>
              <w:outlineLvl w:val="0"/>
              <w:rPr>
                <w:rFonts w:hAnsi="宋体" w:eastAsia="宋体" w:cs="宋体"/>
                <w:kern w:val="0"/>
              </w:rPr>
            </w:pPr>
            <w:bookmarkStart w:id="2" w:name="_Toc10627"/>
            <w:r>
              <w:rPr>
                <w:rFonts w:hint="eastAsia" w:hAnsi="宋体" w:eastAsia="宋体" w:cs="宋体"/>
                <w:kern w:val="0"/>
              </w:rPr>
              <w:t>（4）免费为采购人建立电梯设备管理档案。</w:t>
            </w:r>
            <w:bookmarkEnd w:id="2"/>
          </w:p>
          <w:p w14:paraId="68C40309">
            <w:pPr>
              <w:pStyle w:val="9"/>
              <w:widowControl/>
              <w:spacing w:line="420" w:lineRule="exact"/>
              <w:jc w:val="left"/>
              <w:outlineLvl w:val="0"/>
              <w:rPr>
                <w:rFonts w:hAnsi="宋体" w:eastAsia="宋体" w:cs="宋体"/>
              </w:rPr>
            </w:pPr>
            <w:bookmarkStart w:id="3" w:name="_Toc26276"/>
            <w:r>
              <w:rPr>
                <w:rFonts w:hint="eastAsia" w:hAnsi="宋体" w:eastAsia="宋体" w:cs="宋体"/>
                <w:kern w:val="0"/>
              </w:rPr>
              <w:t>（5）零部件、配件及安装材料必须是未经使用的全新的并符合国家有关质量安全标准的合格产品。</w:t>
            </w:r>
            <w:bookmarkEnd w:id="3"/>
          </w:p>
        </w:tc>
      </w:tr>
      <w:tr w14:paraId="6B70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2" w:type="dxa"/>
            <w:gridSpan w:val="3"/>
            <w:vAlign w:val="center"/>
          </w:tcPr>
          <w:p w14:paraId="45AB8380">
            <w:pPr>
              <w:spacing w:line="420" w:lineRule="exact"/>
              <w:jc w:val="center"/>
              <w:rPr>
                <w:rFonts w:ascii="宋体" w:hAnsi="宋体" w:eastAsia="宋体" w:cs="宋体"/>
                <w:b/>
                <w:bCs/>
                <w:szCs w:val="21"/>
              </w:rPr>
            </w:pPr>
            <w:r>
              <w:rPr>
                <w:rFonts w:hint="eastAsia" w:ascii="宋体" w:hAnsi="宋体" w:eastAsia="宋体" w:cs="宋体"/>
                <w:b/>
                <w:bCs/>
                <w:szCs w:val="21"/>
              </w:rPr>
              <w:t>▲旧电梯拆除、</w:t>
            </w:r>
            <w:r>
              <w:rPr>
                <w:rFonts w:hint="eastAsia" w:asciiTheme="minorEastAsia" w:hAnsiTheme="minorEastAsia" w:cstheme="minorEastAsia"/>
                <w:b/>
              </w:rPr>
              <w:t>安装、验收及其它要求：</w:t>
            </w:r>
          </w:p>
        </w:tc>
        <w:tc>
          <w:tcPr>
            <w:tcW w:w="6563" w:type="dxa"/>
          </w:tcPr>
          <w:p w14:paraId="5FE09AC4">
            <w:pPr>
              <w:spacing w:line="420" w:lineRule="exact"/>
              <w:jc w:val="left"/>
              <w:rPr>
                <w:rFonts w:ascii="宋体" w:hAnsi="宋体" w:eastAsia="宋体" w:cs="宋体"/>
                <w:kern w:val="0"/>
              </w:rPr>
            </w:pPr>
            <w:r>
              <w:rPr>
                <w:rFonts w:hint="eastAsia" w:ascii="宋体" w:hAnsi="宋体" w:eastAsia="宋体" w:cs="宋体"/>
                <w:kern w:val="0"/>
              </w:rPr>
              <w:t>1、旧电梯拆除内容：</w:t>
            </w:r>
          </w:p>
          <w:p w14:paraId="469E462B">
            <w:pPr>
              <w:pStyle w:val="17"/>
              <w:spacing w:line="420" w:lineRule="exact"/>
              <w:rPr>
                <w:rFonts w:asciiTheme="minorEastAsia" w:hAnsiTheme="minorEastAsia" w:cstheme="minorEastAsia"/>
                <w:sz w:val="21"/>
                <w:szCs w:val="21"/>
              </w:rPr>
            </w:pPr>
            <w:r>
              <w:rPr>
                <w:rFonts w:hint="eastAsia" w:asciiTheme="minorEastAsia" w:hAnsiTheme="minorEastAsia" w:cstheme="minorEastAsia"/>
                <w:sz w:val="21"/>
                <w:szCs w:val="21"/>
              </w:rPr>
              <w:t>（1）成交供应商负责拆除原有电梯及配件。</w:t>
            </w:r>
          </w:p>
          <w:p w14:paraId="40F6A7DA">
            <w:pPr>
              <w:pStyle w:val="17"/>
              <w:spacing w:line="420" w:lineRule="exact"/>
              <w:rPr>
                <w:rFonts w:asciiTheme="minorEastAsia" w:hAnsiTheme="minorEastAsia" w:cstheme="minorEastAsia"/>
                <w:sz w:val="21"/>
                <w:szCs w:val="21"/>
              </w:rPr>
            </w:pPr>
            <w:r>
              <w:rPr>
                <w:rFonts w:hint="eastAsia" w:asciiTheme="minorEastAsia" w:hAnsiTheme="minorEastAsia" w:cstheme="minorEastAsia"/>
                <w:sz w:val="21"/>
                <w:szCs w:val="21"/>
              </w:rPr>
              <w:t>（2）成交供应商负责现场整理、垃圾清理、将拆除的电梯及配件搬至采购人指定堆放点。</w:t>
            </w:r>
          </w:p>
          <w:p w14:paraId="519233EE">
            <w:pPr>
              <w:pStyle w:val="17"/>
              <w:spacing w:line="420" w:lineRule="exact"/>
              <w:rPr>
                <w:rFonts w:asciiTheme="minorEastAsia" w:hAnsiTheme="minorEastAsia" w:cstheme="minorEastAsia"/>
                <w:sz w:val="21"/>
                <w:szCs w:val="21"/>
              </w:rPr>
            </w:pPr>
            <w:r>
              <w:rPr>
                <w:rFonts w:hint="eastAsia" w:asciiTheme="minorEastAsia" w:hAnsiTheme="minorEastAsia" w:cstheme="minorEastAsia"/>
                <w:sz w:val="21"/>
                <w:szCs w:val="21"/>
              </w:rPr>
              <w:t>（3）成交供应商负责协助旧梯原资产方办理旧电梯的报废程序。</w:t>
            </w:r>
          </w:p>
          <w:p w14:paraId="70DF1437">
            <w:pPr>
              <w:spacing w:line="420" w:lineRule="exact"/>
              <w:jc w:val="left"/>
              <w:rPr>
                <w:rFonts w:ascii="宋体" w:hAnsi="宋体" w:eastAsia="宋体" w:cs="宋体"/>
                <w:kern w:val="0"/>
              </w:rPr>
            </w:pPr>
            <w:r>
              <w:rPr>
                <w:rFonts w:hint="eastAsia" w:ascii="宋体" w:hAnsi="宋体" w:eastAsia="宋体" w:cs="宋体"/>
                <w:kern w:val="0"/>
              </w:rPr>
              <w:t xml:space="preserve">2、安装施工及调试要求： </w:t>
            </w:r>
          </w:p>
          <w:p w14:paraId="39176B41">
            <w:pPr>
              <w:spacing w:line="420" w:lineRule="exact"/>
              <w:jc w:val="left"/>
              <w:rPr>
                <w:rFonts w:ascii="宋体" w:hAnsi="宋体" w:eastAsia="宋体" w:cs="宋体"/>
                <w:kern w:val="0"/>
              </w:rPr>
            </w:pPr>
            <w:r>
              <w:rPr>
                <w:rFonts w:hint="eastAsia" w:ascii="宋体" w:hAnsi="宋体" w:eastAsia="宋体" w:cs="宋体"/>
                <w:kern w:val="0"/>
              </w:rPr>
              <w:t>（1）成交供应商负责全套设备的安装调试，不允许分包或转包。</w:t>
            </w:r>
          </w:p>
          <w:p w14:paraId="527A7E65">
            <w:pPr>
              <w:spacing w:line="420" w:lineRule="exact"/>
              <w:jc w:val="left"/>
              <w:rPr>
                <w:rFonts w:ascii="宋体" w:hAnsi="宋体" w:eastAsia="宋体" w:cs="宋体"/>
                <w:kern w:val="0"/>
              </w:rPr>
            </w:pPr>
            <w:r>
              <w:rPr>
                <w:rFonts w:hint="eastAsia" w:ascii="宋体" w:hAnsi="宋体" w:eastAsia="宋体" w:cs="宋体"/>
                <w:kern w:val="0"/>
              </w:rPr>
              <w:t>（2）成交供应商要对预埋件安装及井道整改负责施工指导。</w:t>
            </w:r>
          </w:p>
          <w:p w14:paraId="404FC41B">
            <w:pPr>
              <w:spacing w:line="420" w:lineRule="exact"/>
              <w:jc w:val="left"/>
              <w:rPr>
                <w:rFonts w:ascii="宋体" w:hAnsi="宋体" w:eastAsia="宋体" w:cs="宋体"/>
                <w:kern w:val="0"/>
              </w:rPr>
            </w:pPr>
            <w:r>
              <w:rPr>
                <w:rFonts w:hint="eastAsia" w:ascii="宋体" w:hAnsi="宋体" w:eastAsia="宋体" w:cs="宋体"/>
                <w:kern w:val="0"/>
              </w:rPr>
              <w:t>（3）设备安装调试必须严格执行国家有关技术标准，成交供应商自负施工人身、设备安全责任。</w:t>
            </w:r>
          </w:p>
          <w:p w14:paraId="4F230A5D">
            <w:pPr>
              <w:spacing w:line="420" w:lineRule="exact"/>
              <w:jc w:val="left"/>
              <w:rPr>
                <w:rFonts w:ascii="宋体" w:hAnsi="宋体" w:eastAsia="宋体" w:cs="宋体"/>
                <w:kern w:val="0"/>
              </w:rPr>
            </w:pPr>
            <w:r>
              <w:rPr>
                <w:rFonts w:hint="eastAsia" w:ascii="宋体" w:hAnsi="宋体" w:eastAsia="宋体" w:cs="宋体"/>
                <w:kern w:val="0"/>
              </w:rPr>
              <w:t>（4）安装调试过程中，成交供应商应派专业技术人员对施工进行同步指导，并负责全套机组的调试运行，达到验收要求。</w:t>
            </w:r>
          </w:p>
          <w:p w14:paraId="0E51615D">
            <w:pPr>
              <w:spacing w:line="420" w:lineRule="exact"/>
              <w:jc w:val="left"/>
              <w:rPr>
                <w:rFonts w:ascii="宋体" w:hAnsi="宋体" w:eastAsia="宋体" w:cs="宋体"/>
                <w:kern w:val="0"/>
              </w:rPr>
            </w:pPr>
            <w:r>
              <w:rPr>
                <w:rFonts w:hint="eastAsia" w:ascii="宋体" w:hAnsi="宋体" w:eastAsia="宋体" w:cs="宋体"/>
                <w:kern w:val="0"/>
              </w:rPr>
              <w:t>（5）成交供应商负责办理电梯设备安装的开工报装和竣工报验手续。</w:t>
            </w:r>
          </w:p>
          <w:p w14:paraId="6310DC83">
            <w:pPr>
              <w:spacing w:line="420" w:lineRule="exact"/>
              <w:jc w:val="left"/>
              <w:rPr>
                <w:rFonts w:ascii="宋体" w:hAnsi="宋体" w:eastAsia="宋体" w:cs="宋体"/>
                <w:kern w:val="0"/>
              </w:rPr>
            </w:pPr>
            <w:r>
              <w:rPr>
                <w:rFonts w:hint="eastAsia" w:ascii="宋体" w:hAnsi="宋体" w:eastAsia="宋体" w:cs="宋体"/>
                <w:kern w:val="0"/>
              </w:rPr>
              <w:t>（6）设备验收费用由成交供应商负责。</w:t>
            </w:r>
          </w:p>
          <w:p w14:paraId="18E8827B">
            <w:pPr>
              <w:spacing w:line="420" w:lineRule="exact"/>
              <w:jc w:val="left"/>
              <w:rPr>
                <w:rFonts w:ascii="宋体" w:hAnsi="宋体" w:eastAsia="宋体" w:cs="宋体"/>
                <w:kern w:val="0"/>
              </w:rPr>
            </w:pPr>
            <w:r>
              <w:rPr>
                <w:rFonts w:hint="eastAsia" w:ascii="宋体" w:hAnsi="宋体" w:eastAsia="宋体" w:cs="宋体"/>
                <w:kern w:val="0"/>
              </w:rPr>
              <w:t>3、</w:t>
            </w:r>
            <w:r>
              <w:rPr>
                <w:rFonts w:hint="eastAsia" w:asciiTheme="minorEastAsia" w:hAnsiTheme="minorEastAsia" w:cstheme="minorEastAsia"/>
              </w:rPr>
              <w:t>验收方式：</w:t>
            </w:r>
          </w:p>
          <w:p w14:paraId="2AE269F3">
            <w:pPr>
              <w:spacing w:line="420" w:lineRule="exact"/>
              <w:jc w:val="left"/>
              <w:rPr>
                <w:rFonts w:ascii="宋体" w:hAnsi="宋体" w:eastAsia="宋体" w:cs="宋体"/>
                <w:kern w:val="0"/>
              </w:rPr>
            </w:pPr>
            <w:r>
              <w:rPr>
                <w:rFonts w:hint="eastAsia" w:ascii="宋体" w:hAnsi="宋体" w:eastAsia="宋体" w:cs="宋体"/>
                <w:kern w:val="0"/>
              </w:rPr>
              <w:t>（1）安装验收应按以下标准与规定执行：《电梯安装验收规范》（GB10060）；《电气装置安装工程电梯电气装置施工与验收规范》（GB50182）；《电梯工程施工质量验收规范》（GB50310）；电力、消防、安监部门的有关规定等。</w:t>
            </w:r>
          </w:p>
          <w:p w14:paraId="4B074AC5">
            <w:pPr>
              <w:spacing w:line="420" w:lineRule="exact"/>
              <w:jc w:val="left"/>
              <w:rPr>
                <w:rFonts w:asciiTheme="minorEastAsia" w:hAnsiTheme="minorEastAsia" w:cstheme="minorEastAsia"/>
                <w:szCs w:val="21"/>
              </w:rPr>
            </w:pPr>
            <w:r>
              <w:rPr>
                <w:rFonts w:hint="eastAsia" w:asciiTheme="minorEastAsia" w:hAnsiTheme="minorEastAsia" w:cstheme="minorEastAsia"/>
                <w:szCs w:val="21"/>
              </w:rPr>
              <w:t>（2）出厂检验：交货时，成交供应商应随同货物提供出厂检验报告，产品合格证。</w:t>
            </w:r>
          </w:p>
          <w:p w14:paraId="71CC49F2">
            <w:pPr>
              <w:spacing w:line="420" w:lineRule="exact"/>
              <w:jc w:val="left"/>
              <w:rPr>
                <w:rFonts w:asciiTheme="minorEastAsia" w:hAnsiTheme="minorEastAsia" w:cstheme="minorEastAsia"/>
                <w:szCs w:val="21"/>
              </w:rPr>
            </w:pPr>
            <w:r>
              <w:rPr>
                <w:rFonts w:hint="eastAsia" w:asciiTheme="minorEastAsia" w:hAnsiTheme="minorEastAsia" w:cstheme="minorEastAsia"/>
                <w:szCs w:val="21"/>
              </w:rPr>
              <w:t>（3）安装调试检验：电梯安装调试（包括整机性能测试）过程，成交供应商应作详细检验记录。安装调试检验结果应符合制造厂产品标准和采购文件规定的技术要求。检验记录应提交给采购人。</w:t>
            </w:r>
          </w:p>
          <w:p w14:paraId="453DB5B6">
            <w:pPr>
              <w:spacing w:line="420" w:lineRule="exact"/>
              <w:jc w:val="left"/>
            </w:pPr>
            <w:r>
              <w:rPr>
                <w:rFonts w:hint="eastAsia" w:asciiTheme="minorEastAsia" w:hAnsiTheme="minorEastAsia" w:cstheme="minorEastAsia"/>
                <w:szCs w:val="21"/>
              </w:rPr>
              <w:t>（4）项目验收：电梯安装调试结束后，由成交供应商负责联系质量技术监督局等部门，进行联合验收并办理准用许可证，验收费用由成交供应商承担。</w:t>
            </w:r>
          </w:p>
        </w:tc>
      </w:tr>
      <w:tr w14:paraId="0774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2" w:type="dxa"/>
            <w:gridSpan w:val="3"/>
            <w:vAlign w:val="center"/>
          </w:tcPr>
          <w:p w14:paraId="62F779BF">
            <w:pPr>
              <w:spacing w:line="420" w:lineRule="exact"/>
              <w:jc w:val="center"/>
              <w:rPr>
                <w:rFonts w:ascii="宋体" w:hAnsi="宋体" w:cs="宋体"/>
                <w:b/>
                <w:bCs/>
                <w:szCs w:val="21"/>
              </w:rPr>
            </w:pPr>
            <w:r>
              <w:rPr>
                <w:rFonts w:hint="eastAsia" w:asciiTheme="minorEastAsia" w:hAnsiTheme="minorEastAsia" w:cstheme="minorEastAsia"/>
                <w:b/>
                <w:bCs/>
              </w:rPr>
              <w:t>报价要求</w:t>
            </w:r>
          </w:p>
        </w:tc>
        <w:tc>
          <w:tcPr>
            <w:tcW w:w="6563" w:type="dxa"/>
          </w:tcPr>
          <w:p w14:paraId="4B0674D2">
            <w:pPr>
              <w:pStyle w:val="5"/>
              <w:keepNext w:val="0"/>
              <w:keepLines w:val="0"/>
              <w:spacing w:before="0" w:after="0" w:line="420" w:lineRule="exact"/>
              <w:rPr>
                <w:rFonts w:asciiTheme="minorEastAsia" w:hAnsiTheme="minorEastAsia" w:cstheme="minorEastAsia"/>
                <w:b w:val="0"/>
                <w:bCs w:val="0"/>
                <w:sz w:val="21"/>
                <w:szCs w:val="21"/>
              </w:rPr>
            </w:pPr>
            <w:r>
              <w:rPr>
                <w:rFonts w:hint="eastAsia" w:asciiTheme="minorEastAsia" w:hAnsiTheme="minorEastAsia" w:cstheme="minorEastAsia"/>
                <w:b w:val="0"/>
                <w:bCs w:val="0"/>
                <w:sz w:val="21"/>
                <w:szCs w:val="21"/>
              </w:rPr>
              <w:t>1、本项目报价须包含货物及服务采购、运输、保管、安装、安装所需所有辅材、调试、验收、培训、拆除等各种费用和售后服务、税金及其它所有成本费用的总和。</w:t>
            </w:r>
          </w:p>
          <w:p w14:paraId="51BC6D5C">
            <w:pPr>
              <w:pStyle w:val="5"/>
              <w:keepNext w:val="0"/>
              <w:keepLines w:val="0"/>
              <w:spacing w:before="0" w:after="0" w:line="420" w:lineRule="exact"/>
              <w:rPr>
                <w:rFonts w:asciiTheme="minorEastAsia" w:hAnsiTheme="minorEastAsia" w:cstheme="minorEastAsia"/>
                <w:b w:val="0"/>
                <w:bCs w:val="0"/>
                <w:sz w:val="21"/>
                <w:szCs w:val="21"/>
              </w:rPr>
            </w:pPr>
            <w:r>
              <w:rPr>
                <w:rFonts w:hint="eastAsia" w:asciiTheme="minorEastAsia" w:hAnsiTheme="minorEastAsia" w:cstheme="minorEastAsia"/>
                <w:b w:val="0"/>
                <w:bCs w:val="0"/>
                <w:sz w:val="21"/>
                <w:szCs w:val="21"/>
              </w:rPr>
              <w:t>（1）货物的价格：包括设备费、安装费、验收费、检定费、相关行政部门验收及办理使用登记证的费用；（2）货物的标准附件、备品备件、专用工具的价格；（3）运输、装卸、调试、培训、技术支持、售后服务费；（4）原旧电梯拆除、搬运、运输、清理、报废、注销等产生的一切处理费用。</w:t>
            </w:r>
          </w:p>
          <w:p w14:paraId="44BC50CB">
            <w:pPr>
              <w:spacing w:line="420" w:lineRule="exact"/>
            </w:pPr>
            <w:r>
              <w:rPr>
                <w:rFonts w:hint="eastAsia" w:asciiTheme="minorEastAsia" w:hAnsiTheme="minorEastAsia" w:cstheme="minorEastAsia"/>
              </w:rPr>
              <w:t>2、本项目采用总承包模式，合同成交价包含了电梯相关的安装、验收及相关手续等全部费用</w:t>
            </w:r>
            <w:r>
              <w:rPr>
                <w:rFonts w:hint="eastAsia" w:asciiTheme="minorEastAsia" w:hAnsiTheme="minorEastAsia" w:cstheme="minorEastAsia"/>
                <w:szCs w:val="22"/>
              </w:rPr>
              <w:t>。</w:t>
            </w:r>
          </w:p>
        </w:tc>
      </w:tr>
      <w:tr w14:paraId="4230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412" w:type="dxa"/>
            <w:gridSpan w:val="3"/>
            <w:vAlign w:val="center"/>
          </w:tcPr>
          <w:p w14:paraId="1277AA86">
            <w:pPr>
              <w:spacing w:line="420" w:lineRule="exact"/>
              <w:jc w:val="center"/>
              <w:rPr>
                <w:rFonts w:ascii="宋体" w:hAnsi="宋体" w:eastAsia="宋体" w:cs="宋体"/>
                <w:bCs/>
              </w:rPr>
            </w:pPr>
            <w:r>
              <w:rPr>
                <w:rFonts w:hint="eastAsia" w:ascii="宋体" w:hAnsi="宋体" w:eastAsia="宋体" w:cs="宋体"/>
                <w:b/>
              </w:rPr>
              <w:t>付款方式</w:t>
            </w:r>
          </w:p>
        </w:tc>
        <w:tc>
          <w:tcPr>
            <w:tcW w:w="6563" w:type="dxa"/>
          </w:tcPr>
          <w:p w14:paraId="13D59878">
            <w:pPr>
              <w:spacing w:line="420" w:lineRule="exact"/>
              <w:rPr>
                <w:rFonts w:asciiTheme="minorEastAsia" w:hAnsiTheme="minorEastAsia" w:cstheme="minorEastAsia"/>
              </w:rPr>
            </w:pPr>
            <w:r>
              <w:rPr>
                <w:rFonts w:hint="eastAsia" w:asciiTheme="minorEastAsia" w:hAnsiTheme="minorEastAsia" w:cstheme="minorEastAsia"/>
              </w:rPr>
              <w:t>1、合同签署盖章后10日内，买方支付卖方合同总价的30%作为设备定金，卖方在收到定金后，开始实施排产。</w:t>
            </w:r>
          </w:p>
          <w:p w14:paraId="0446F981">
            <w:pPr>
              <w:spacing w:line="420" w:lineRule="exact"/>
              <w:rPr>
                <w:rFonts w:asciiTheme="minorEastAsia" w:hAnsiTheme="minorEastAsia" w:cstheme="minorEastAsia"/>
              </w:rPr>
            </w:pPr>
            <w:r>
              <w:rPr>
                <w:rFonts w:hint="eastAsia" w:asciiTheme="minorEastAsia" w:hAnsiTheme="minorEastAsia" w:cstheme="minorEastAsia"/>
              </w:rPr>
              <w:t>2、设备到货后5日内，买方向卖方支付合同总价的50%作为到货款。</w:t>
            </w:r>
          </w:p>
          <w:p w14:paraId="31DE8F66">
            <w:pPr>
              <w:spacing w:line="420" w:lineRule="exact"/>
              <w:rPr>
                <w:rFonts w:ascii="宋体" w:hAnsi="宋体" w:eastAsia="宋体" w:cs="宋体"/>
              </w:rPr>
            </w:pPr>
            <w:r>
              <w:rPr>
                <w:rFonts w:hint="eastAsia" w:asciiTheme="minorEastAsia" w:hAnsiTheme="minorEastAsia" w:cstheme="minorEastAsia"/>
              </w:rPr>
              <w:t>3、安装完毕并经经政府相关部门验收合格后10日内，买方向卖方支付合同总价的20%作为验收款。</w:t>
            </w:r>
          </w:p>
        </w:tc>
      </w:tr>
      <w:tr w14:paraId="2DFF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412" w:type="dxa"/>
            <w:gridSpan w:val="3"/>
            <w:vAlign w:val="center"/>
          </w:tcPr>
          <w:p w14:paraId="4740E0D5">
            <w:pPr>
              <w:spacing w:line="420" w:lineRule="exact"/>
              <w:jc w:val="center"/>
              <w:rPr>
                <w:rFonts w:ascii="宋体" w:hAnsi="宋体" w:eastAsia="宋体" w:cs="宋体"/>
                <w:b/>
                <w:bCs/>
              </w:rPr>
            </w:pPr>
            <w:r>
              <w:rPr>
                <w:rFonts w:hint="eastAsia" w:ascii="宋体" w:hAnsi="宋体" w:eastAsia="宋体" w:cs="宋体"/>
                <w:b/>
                <w:bCs/>
              </w:rPr>
              <w:t>其他要求</w:t>
            </w:r>
          </w:p>
        </w:tc>
        <w:tc>
          <w:tcPr>
            <w:tcW w:w="6563" w:type="dxa"/>
            <w:vAlign w:val="center"/>
          </w:tcPr>
          <w:p w14:paraId="1EFE272B">
            <w:pPr>
              <w:widowControl/>
              <w:spacing w:line="360" w:lineRule="auto"/>
              <w:ind w:firstLine="420" w:firstLineChars="200"/>
              <w:jc w:val="left"/>
              <w:outlineLvl w:val="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w:t>
            </w:r>
            <w:r>
              <w:rPr>
                <w:rFonts w:hint="eastAsia" w:ascii="宋体" w:hAnsi="宋体" w:cs="宋体"/>
                <w:color w:val="000000" w:themeColor="text1"/>
                <w:szCs w:val="21"/>
                <w:lang w:val="zh-CN"/>
                <w14:textFill>
                  <w14:solidFill>
                    <w14:schemeClr w14:val="tx1"/>
                  </w14:solidFill>
                </w14:textFill>
              </w:rPr>
              <w:t>竞价时文件上传要求：供应商必须上传以下材料，所提供材料必须加盖供应商公章，未按要求提供的按无效响应处理：</w:t>
            </w:r>
          </w:p>
          <w:p w14:paraId="173163A8">
            <w:pPr>
              <w:widowControl/>
              <w:spacing w:line="360" w:lineRule="auto"/>
              <w:ind w:firstLine="420" w:firstLineChars="200"/>
              <w:jc w:val="left"/>
              <w:outlineLvl w:val="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zh-CN"/>
                <w14:textFill>
                  <w14:solidFill>
                    <w14:schemeClr w14:val="tx1"/>
                  </w14:solidFill>
                </w14:textFill>
              </w:rPr>
              <w:t>供应商营业执照复印件；</w:t>
            </w:r>
          </w:p>
          <w:p w14:paraId="5CC8DF00">
            <w:pPr>
              <w:widowControl/>
              <w:spacing w:line="360" w:lineRule="auto"/>
              <w:ind w:firstLine="420" w:firstLineChars="200"/>
              <w:jc w:val="left"/>
              <w:outlineLvl w:val="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val="zh-CN"/>
                <w14:textFill>
                  <w14:solidFill>
                    <w14:schemeClr w14:val="tx1"/>
                  </w14:solidFill>
                </w14:textFill>
              </w:rPr>
              <w:t>供应商电梯安装含修理资质；</w:t>
            </w:r>
          </w:p>
          <w:p w14:paraId="211FDAF8">
            <w:pPr>
              <w:widowControl/>
              <w:spacing w:line="360" w:lineRule="auto"/>
              <w:ind w:firstLine="420" w:firstLineChars="200"/>
              <w:jc w:val="left"/>
              <w:outlineLvl w:val="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lang w:val="zh-CN"/>
                <w14:textFill>
                  <w14:solidFill>
                    <w14:schemeClr w14:val="tx1"/>
                  </w14:solidFill>
                </w14:textFill>
              </w:rPr>
              <w:t>电梯品牌生产厂家《中华人民共和国特种设备制造许可证》或《中华人民共和国特种设备生产许可证》；</w:t>
            </w:r>
          </w:p>
          <w:p w14:paraId="5E201902">
            <w:pPr>
              <w:widowControl/>
              <w:spacing w:line="360" w:lineRule="auto"/>
              <w:ind w:firstLine="420" w:firstLineChars="200"/>
              <w:jc w:val="left"/>
              <w:outlineLvl w:val="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lang w:val="zh-CN"/>
                <w14:textFill>
                  <w14:solidFill>
                    <w14:schemeClr w14:val="tx1"/>
                  </w14:solidFill>
                </w14:textFill>
              </w:rPr>
              <w:t>电梯品牌生产厂家营业执照复印件；</w:t>
            </w:r>
          </w:p>
          <w:p w14:paraId="106C556B">
            <w:pPr>
              <w:pStyle w:val="7"/>
              <w:spacing w:after="0" w:line="420" w:lineRule="exact"/>
              <w:rPr>
                <w:rFonts w:asciiTheme="minorEastAsia" w:hAnsiTheme="minorEastAsia" w:cstheme="minorEastAsia"/>
              </w:rPr>
            </w:pPr>
            <w:r>
              <w:rPr>
                <w:rFonts w:hint="eastAsia" w:asciiTheme="minorEastAsia" w:hAnsiTheme="minorEastAsia" w:cstheme="minorEastAsia"/>
              </w:rPr>
              <w:t>二、成交供应商提交的产品必须是全新且没有使用过的，品种、型号、规格、技术参数、质量不符合合同规定及采购需求规定标准的，采购人有权拒收该货物。成交供应商拒绝更换货物的，采购人可单方面解除合同，并有权要求成交供应商赔偿经济损失。</w:t>
            </w:r>
          </w:p>
          <w:p w14:paraId="2715AEBB">
            <w:pPr>
              <w:pStyle w:val="7"/>
              <w:spacing w:after="0" w:line="420" w:lineRule="exact"/>
              <w:rPr>
                <w:rFonts w:asciiTheme="minorEastAsia" w:hAnsiTheme="minorEastAsia" w:cstheme="minorEastAsia"/>
              </w:rPr>
            </w:pPr>
            <w:r>
              <w:rPr>
                <w:rFonts w:hint="eastAsia" w:asciiTheme="minorEastAsia" w:hAnsiTheme="minorEastAsia" w:cstheme="minorEastAsia"/>
              </w:rPr>
              <w:t>三、所有零部件、配件必须是未经使用的全新的并符合国家有关质量安全标准的产品。</w:t>
            </w:r>
          </w:p>
          <w:p w14:paraId="05DD1301">
            <w:pPr>
              <w:pStyle w:val="7"/>
              <w:spacing w:after="0" w:line="420" w:lineRule="exact"/>
              <w:rPr>
                <w:rFonts w:asciiTheme="minorEastAsia" w:hAnsiTheme="minorEastAsia" w:cstheme="minorEastAsia"/>
              </w:rPr>
            </w:pPr>
            <w:r>
              <w:rPr>
                <w:rFonts w:hint="eastAsia" w:asciiTheme="minorEastAsia" w:hAnsiTheme="minorEastAsia" w:cstheme="minorEastAsia"/>
              </w:rPr>
              <w:t>四、设备应包括必备的易损易耗备件和专用工具。</w:t>
            </w:r>
          </w:p>
          <w:p w14:paraId="0D2EC364">
            <w:pPr>
              <w:pStyle w:val="7"/>
              <w:spacing w:after="0" w:line="420" w:lineRule="exact"/>
              <w:rPr>
                <w:rFonts w:asciiTheme="minorEastAsia" w:hAnsiTheme="minorEastAsia" w:cstheme="minorEastAsia"/>
              </w:rPr>
            </w:pPr>
            <w:r>
              <w:rPr>
                <w:rFonts w:hint="eastAsia" w:asciiTheme="minorEastAsia" w:hAnsiTheme="minorEastAsia" w:cstheme="minorEastAsia"/>
              </w:rPr>
              <w:t>五、成交供应商提供的货物及服务不满足采购需求而导致验收不合格的，采购人有权解除合同并追究成交供应商的法律责任。</w:t>
            </w:r>
          </w:p>
          <w:p w14:paraId="560A8561">
            <w:pPr>
              <w:pStyle w:val="7"/>
              <w:spacing w:after="0" w:line="420" w:lineRule="exact"/>
              <w:rPr>
                <w:rFonts w:asciiTheme="minorEastAsia" w:hAnsiTheme="minorEastAsia" w:cstheme="minorEastAsia"/>
              </w:rPr>
            </w:pPr>
            <w:r>
              <w:rPr>
                <w:rFonts w:hint="eastAsia" w:asciiTheme="minorEastAsia" w:hAnsiTheme="minorEastAsia" w:cstheme="minorEastAsia"/>
              </w:rPr>
              <w:t>六、质保期内，成交供应商对设备须提供足够的备件、附件和易损件并保证是合格的产品，以满足设备正常运行的需要。</w:t>
            </w:r>
          </w:p>
          <w:p w14:paraId="6CABC0F6">
            <w:pPr>
              <w:pStyle w:val="7"/>
              <w:spacing w:after="0" w:line="420" w:lineRule="exact"/>
              <w:rPr>
                <w:rFonts w:asciiTheme="minorEastAsia" w:hAnsiTheme="minorEastAsia" w:cstheme="minorEastAsia"/>
              </w:rPr>
            </w:pPr>
            <w:r>
              <w:rPr>
                <w:rFonts w:hint="eastAsia" w:asciiTheme="minorEastAsia" w:hAnsiTheme="minorEastAsia" w:cstheme="minorEastAsia"/>
              </w:rPr>
              <w:t>七、所提供的配备品备件及耗材等必须是未经使用的全新的产品。该项费用应包含在竞标报价中。</w:t>
            </w:r>
          </w:p>
          <w:p w14:paraId="14169EB2">
            <w:pPr>
              <w:pStyle w:val="7"/>
              <w:spacing w:after="0" w:line="420" w:lineRule="exact"/>
              <w:rPr>
                <w:rFonts w:asciiTheme="minorEastAsia" w:hAnsiTheme="minorEastAsia" w:cstheme="minorEastAsia"/>
                <w:highlight w:val="yellow"/>
              </w:rPr>
            </w:pPr>
            <w:r>
              <w:rPr>
                <w:rFonts w:hint="eastAsia" w:asciiTheme="minorEastAsia" w:hAnsiTheme="minorEastAsia" w:cstheme="minorEastAsia"/>
              </w:rPr>
              <w:t>八、供应商存在不按要求报价、接到采购人书面竞价审查通知书后无法按规定提交合格的审查资料、中标（成交）后无故放弃或不按合同履行等违约行为的，采购人有权向成交供应商追偿其所造成的损失。</w:t>
            </w:r>
          </w:p>
          <w:p w14:paraId="6E9D00F8">
            <w:pPr>
              <w:pStyle w:val="7"/>
              <w:spacing w:after="0" w:line="420" w:lineRule="exact"/>
              <w:rPr>
                <w:rFonts w:asciiTheme="minorEastAsia" w:hAnsiTheme="minorEastAsia" w:cstheme="minorEastAsia"/>
              </w:rPr>
            </w:pPr>
            <w:r>
              <w:rPr>
                <w:rFonts w:hint="eastAsia" w:asciiTheme="minorEastAsia" w:hAnsiTheme="minorEastAsia" w:cstheme="minorEastAsia"/>
              </w:rPr>
              <w:t>九、成交供应商不得在成交后将项目分包或转包。</w:t>
            </w:r>
          </w:p>
          <w:p w14:paraId="42D2D9EC">
            <w:pPr>
              <w:pStyle w:val="7"/>
              <w:spacing w:after="0" w:line="420" w:lineRule="exact"/>
              <w:rPr>
                <w:rFonts w:ascii="宋体" w:hAnsi="宋体" w:eastAsia="宋体" w:cs="宋体"/>
              </w:rPr>
            </w:pPr>
            <w:r>
              <w:rPr>
                <w:rFonts w:hint="eastAsia" w:ascii="宋体" w:hAnsi="宋体" w:eastAsia="宋体" w:cs="宋体"/>
              </w:rPr>
              <w:t>十、成交供应商在成交后必须出示成交品牌生产厂家的项目授权书。</w:t>
            </w:r>
          </w:p>
        </w:tc>
      </w:tr>
      <w:tr w14:paraId="3575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975" w:type="dxa"/>
            <w:gridSpan w:val="4"/>
            <w:vAlign w:val="center"/>
          </w:tcPr>
          <w:p w14:paraId="2B13E647">
            <w:pPr>
              <w:rPr>
                <w:rFonts w:ascii="宋体" w:hAnsi="宋体" w:eastAsia="宋体" w:cs="宋体"/>
              </w:rPr>
            </w:pPr>
            <w:r>
              <w:rPr>
                <w:rFonts w:hint="eastAsia" w:ascii="宋体" w:hAnsi="宋体" w:eastAsia="宋体" w:cs="宋体"/>
                <w:b/>
                <w:szCs w:val="21"/>
              </w:rPr>
              <w:t>备注：本项目采购需求中标记</w:t>
            </w:r>
            <w:r>
              <w:rPr>
                <w:rFonts w:hint="eastAsia" w:ascii="宋体" w:hAnsi="宋体" w:eastAsia="宋体" w:cs="宋体"/>
                <w:b/>
                <w:bCs/>
                <w:szCs w:val="21"/>
              </w:rPr>
              <w:t>▲</w:t>
            </w:r>
            <w:r>
              <w:rPr>
                <w:rFonts w:hint="eastAsia" w:ascii="宋体" w:hAnsi="宋体" w:eastAsia="宋体" w:cs="宋体"/>
                <w:b/>
                <w:szCs w:val="21"/>
              </w:rPr>
              <w:t>符号的，必须满足或优于，否则，作无效处理。</w:t>
            </w:r>
          </w:p>
        </w:tc>
      </w:tr>
      <w:tr w14:paraId="7DEC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975" w:type="dxa"/>
            <w:gridSpan w:val="4"/>
            <w:vAlign w:val="center"/>
          </w:tcPr>
          <w:p w14:paraId="087EA782">
            <w:pPr>
              <w:rPr>
                <w:rFonts w:ascii="宋体" w:hAnsi="宋体" w:eastAsia="宋体" w:cs="宋体"/>
                <w:b/>
                <w:bCs/>
              </w:rPr>
            </w:pPr>
            <w:r>
              <w:rPr>
                <w:rFonts w:hint="eastAsia" w:ascii="宋体" w:hAnsi="宋体" w:eastAsia="宋体" w:cs="宋体"/>
                <w:b/>
                <w:bCs/>
              </w:rPr>
              <w:t>三、商家须知</w:t>
            </w:r>
          </w:p>
        </w:tc>
      </w:tr>
      <w:tr w14:paraId="2A1B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3412" w:type="dxa"/>
            <w:gridSpan w:val="3"/>
            <w:vAlign w:val="center"/>
          </w:tcPr>
          <w:p w14:paraId="017FCA8B">
            <w:pPr>
              <w:jc w:val="center"/>
              <w:rPr>
                <w:rFonts w:ascii="宋体" w:hAnsi="宋体" w:eastAsia="宋体" w:cs="宋体"/>
              </w:rPr>
            </w:pPr>
            <w:bookmarkStart w:id="4" w:name="_GoBack"/>
            <w:bookmarkEnd w:id="4"/>
            <w:r>
              <w:rPr>
                <w:rFonts w:hint="eastAsia" w:ascii="宋体" w:hAnsi="宋体" w:eastAsia="宋体" w:cs="宋体"/>
                <w:b/>
                <w:bCs/>
              </w:rPr>
              <w:t>竞价违约处理规则</w:t>
            </w:r>
          </w:p>
        </w:tc>
        <w:tc>
          <w:tcPr>
            <w:tcW w:w="6563" w:type="dxa"/>
          </w:tcPr>
          <w:p w14:paraId="1E89DE23">
            <w:pPr>
              <w:spacing w:line="360" w:lineRule="auto"/>
              <w:rPr>
                <w:rFonts w:ascii="宋体" w:hAnsi="宋体" w:eastAsia="宋体" w:cs="宋体"/>
              </w:rPr>
            </w:pPr>
            <w:r>
              <w:rPr>
                <w:rFonts w:hint="eastAsia" w:ascii="宋体" w:hAnsi="宋体" w:eastAsia="宋体" w:cs="宋体"/>
              </w:rPr>
              <w:t>竞价供应商存在不按要求报价、中标后无故放弃、不按合同履行等违约行为的，经采购人举报且平台或政府采购管理部门确认的，将按政府采购法律法规以及《广西壮族自治区电子卖场平台管理协议》规定进行处罚。</w:t>
            </w:r>
          </w:p>
        </w:tc>
      </w:tr>
    </w:tbl>
    <w:p w14:paraId="34785762">
      <w:pPr>
        <w:rPr>
          <w:rFonts w:hint="eastAsia"/>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3A1D8">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9107C6">
                          <w:pPr>
                            <w:pStyle w:val="11"/>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D9107C6">
                    <w:pPr>
                      <w:pStyle w:val="11"/>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4BF44"/>
    <w:multiLevelType w:val="singleLevel"/>
    <w:tmpl w:val="0254BF44"/>
    <w:lvl w:ilvl="0" w:tentative="0">
      <w:start w:val="1"/>
      <w:numFmt w:val="decimal"/>
      <w:suff w:val="nothing"/>
      <w:lvlText w:val="%1、"/>
      <w:lvlJc w:val="left"/>
      <w:pPr>
        <w:ind w:left="0" w:firstLine="40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wZWU0MTJiNGQ1ZmVlMDlhMGNiZmM3YTBmMTM0OWMifQ=="/>
  </w:docVars>
  <w:rsids>
    <w:rsidRoot w:val="41345497"/>
    <w:rsid w:val="00024648"/>
    <w:rsid w:val="00034C39"/>
    <w:rsid w:val="00054C2D"/>
    <w:rsid w:val="0007453F"/>
    <w:rsid w:val="000C6FCF"/>
    <w:rsid w:val="000D3C36"/>
    <w:rsid w:val="000E0984"/>
    <w:rsid w:val="00121F05"/>
    <w:rsid w:val="00213092"/>
    <w:rsid w:val="0025278E"/>
    <w:rsid w:val="002B715C"/>
    <w:rsid w:val="002C4A79"/>
    <w:rsid w:val="002F7B19"/>
    <w:rsid w:val="0031483A"/>
    <w:rsid w:val="00330765"/>
    <w:rsid w:val="003315D7"/>
    <w:rsid w:val="00354DD1"/>
    <w:rsid w:val="00355884"/>
    <w:rsid w:val="003A7983"/>
    <w:rsid w:val="003C097D"/>
    <w:rsid w:val="003E0015"/>
    <w:rsid w:val="003E176C"/>
    <w:rsid w:val="00462523"/>
    <w:rsid w:val="004A1DAB"/>
    <w:rsid w:val="004C415C"/>
    <w:rsid w:val="00564590"/>
    <w:rsid w:val="005C3686"/>
    <w:rsid w:val="005D4094"/>
    <w:rsid w:val="005F1FE7"/>
    <w:rsid w:val="006A659B"/>
    <w:rsid w:val="006A7764"/>
    <w:rsid w:val="006C4CF0"/>
    <w:rsid w:val="006F466B"/>
    <w:rsid w:val="00710542"/>
    <w:rsid w:val="00836EBD"/>
    <w:rsid w:val="0086371F"/>
    <w:rsid w:val="00874411"/>
    <w:rsid w:val="008848B6"/>
    <w:rsid w:val="00914D67"/>
    <w:rsid w:val="00920DEE"/>
    <w:rsid w:val="00944BC0"/>
    <w:rsid w:val="00964859"/>
    <w:rsid w:val="00973140"/>
    <w:rsid w:val="00A132F1"/>
    <w:rsid w:val="00A3108C"/>
    <w:rsid w:val="00A417BF"/>
    <w:rsid w:val="00A42AFA"/>
    <w:rsid w:val="00A60DCD"/>
    <w:rsid w:val="00A6734F"/>
    <w:rsid w:val="00AE08BD"/>
    <w:rsid w:val="00AE6A7F"/>
    <w:rsid w:val="00B86555"/>
    <w:rsid w:val="00BC3C9E"/>
    <w:rsid w:val="00BF5FF7"/>
    <w:rsid w:val="00C47773"/>
    <w:rsid w:val="00C55D44"/>
    <w:rsid w:val="00CB3551"/>
    <w:rsid w:val="00CB5D5C"/>
    <w:rsid w:val="00CD7EB5"/>
    <w:rsid w:val="00D051C8"/>
    <w:rsid w:val="00D8385C"/>
    <w:rsid w:val="00DA1974"/>
    <w:rsid w:val="00E8365B"/>
    <w:rsid w:val="00E9519D"/>
    <w:rsid w:val="00EC39EA"/>
    <w:rsid w:val="00EF26CE"/>
    <w:rsid w:val="00F01392"/>
    <w:rsid w:val="00F306FB"/>
    <w:rsid w:val="00F309BD"/>
    <w:rsid w:val="00FD5FD8"/>
    <w:rsid w:val="00FE3AB2"/>
    <w:rsid w:val="00FF2A22"/>
    <w:rsid w:val="00FF6B79"/>
    <w:rsid w:val="012C2855"/>
    <w:rsid w:val="01E30724"/>
    <w:rsid w:val="029E5731"/>
    <w:rsid w:val="0378675C"/>
    <w:rsid w:val="03802AE2"/>
    <w:rsid w:val="03C86237"/>
    <w:rsid w:val="04162F9A"/>
    <w:rsid w:val="045F0592"/>
    <w:rsid w:val="056A1F45"/>
    <w:rsid w:val="073D0C26"/>
    <w:rsid w:val="094D4C66"/>
    <w:rsid w:val="095F763D"/>
    <w:rsid w:val="0A174224"/>
    <w:rsid w:val="0ACB5B1C"/>
    <w:rsid w:val="0B4A4DE7"/>
    <w:rsid w:val="0C8C0B1C"/>
    <w:rsid w:val="0D4806E2"/>
    <w:rsid w:val="0D99176D"/>
    <w:rsid w:val="0F144A26"/>
    <w:rsid w:val="0F9D2789"/>
    <w:rsid w:val="10090303"/>
    <w:rsid w:val="12A73993"/>
    <w:rsid w:val="12D1154D"/>
    <w:rsid w:val="13682A47"/>
    <w:rsid w:val="138F0D0D"/>
    <w:rsid w:val="13A839E0"/>
    <w:rsid w:val="14D26D75"/>
    <w:rsid w:val="16087545"/>
    <w:rsid w:val="166B062A"/>
    <w:rsid w:val="16F6795A"/>
    <w:rsid w:val="17FA5D26"/>
    <w:rsid w:val="18C13529"/>
    <w:rsid w:val="1A1670E6"/>
    <w:rsid w:val="1A1F3303"/>
    <w:rsid w:val="1B5468D6"/>
    <w:rsid w:val="1B9211AC"/>
    <w:rsid w:val="1B963D2F"/>
    <w:rsid w:val="1C2D7127"/>
    <w:rsid w:val="1C400211"/>
    <w:rsid w:val="1CE3744D"/>
    <w:rsid w:val="1D9E1984"/>
    <w:rsid w:val="1DCB6BF8"/>
    <w:rsid w:val="1DD50922"/>
    <w:rsid w:val="1F4A7D1A"/>
    <w:rsid w:val="1FC73C5D"/>
    <w:rsid w:val="22A068A5"/>
    <w:rsid w:val="24121EA5"/>
    <w:rsid w:val="24BB1774"/>
    <w:rsid w:val="274954EA"/>
    <w:rsid w:val="27BA5D13"/>
    <w:rsid w:val="28C70720"/>
    <w:rsid w:val="2AC51F3F"/>
    <w:rsid w:val="2B731E6F"/>
    <w:rsid w:val="2CB56D90"/>
    <w:rsid w:val="2D817536"/>
    <w:rsid w:val="2D8C1F00"/>
    <w:rsid w:val="2EE93FE5"/>
    <w:rsid w:val="301B4E5A"/>
    <w:rsid w:val="31155667"/>
    <w:rsid w:val="31B9483A"/>
    <w:rsid w:val="32B90276"/>
    <w:rsid w:val="32E335AA"/>
    <w:rsid w:val="355C00FC"/>
    <w:rsid w:val="35717C54"/>
    <w:rsid w:val="358903DE"/>
    <w:rsid w:val="36FE628F"/>
    <w:rsid w:val="3784750C"/>
    <w:rsid w:val="37B54591"/>
    <w:rsid w:val="38613188"/>
    <w:rsid w:val="3947246B"/>
    <w:rsid w:val="399C1311"/>
    <w:rsid w:val="3AE07043"/>
    <w:rsid w:val="3B5C3E5C"/>
    <w:rsid w:val="3C031BC3"/>
    <w:rsid w:val="3C1E061A"/>
    <w:rsid w:val="3F636C25"/>
    <w:rsid w:val="40256F98"/>
    <w:rsid w:val="40EE0BE6"/>
    <w:rsid w:val="40EF33DD"/>
    <w:rsid w:val="41345497"/>
    <w:rsid w:val="41DD0B24"/>
    <w:rsid w:val="425F56E1"/>
    <w:rsid w:val="42925C35"/>
    <w:rsid w:val="429706F9"/>
    <w:rsid w:val="432F3601"/>
    <w:rsid w:val="43E62A15"/>
    <w:rsid w:val="441A6FDC"/>
    <w:rsid w:val="44FD0CFE"/>
    <w:rsid w:val="484217C3"/>
    <w:rsid w:val="4A2A2CAE"/>
    <w:rsid w:val="4A7140CA"/>
    <w:rsid w:val="4B883060"/>
    <w:rsid w:val="4C226CFB"/>
    <w:rsid w:val="4CAD3D17"/>
    <w:rsid w:val="4D0849CB"/>
    <w:rsid w:val="4F8C5937"/>
    <w:rsid w:val="58E3481A"/>
    <w:rsid w:val="5922190D"/>
    <w:rsid w:val="593F5A74"/>
    <w:rsid w:val="5A221ED3"/>
    <w:rsid w:val="5AB02B65"/>
    <w:rsid w:val="5AD87741"/>
    <w:rsid w:val="5B2B4E60"/>
    <w:rsid w:val="5CE4128B"/>
    <w:rsid w:val="5CE779D0"/>
    <w:rsid w:val="5D5743EF"/>
    <w:rsid w:val="5FDB0843"/>
    <w:rsid w:val="606426B0"/>
    <w:rsid w:val="6070117E"/>
    <w:rsid w:val="60EB0594"/>
    <w:rsid w:val="6152201F"/>
    <w:rsid w:val="61C72006"/>
    <w:rsid w:val="63D45E8F"/>
    <w:rsid w:val="651936B0"/>
    <w:rsid w:val="661029C7"/>
    <w:rsid w:val="661164FE"/>
    <w:rsid w:val="669B5489"/>
    <w:rsid w:val="67105C25"/>
    <w:rsid w:val="68DA358E"/>
    <w:rsid w:val="69493445"/>
    <w:rsid w:val="6A6A3D28"/>
    <w:rsid w:val="6C3E6FBC"/>
    <w:rsid w:val="6CBA368C"/>
    <w:rsid w:val="6D84448C"/>
    <w:rsid w:val="6DDB153E"/>
    <w:rsid w:val="6EC13D81"/>
    <w:rsid w:val="7026656E"/>
    <w:rsid w:val="72AD7197"/>
    <w:rsid w:val="7398779A"/>
    <w:rsid w:val="747C40BA"/>
    <w:rsid w:val="750071A9"/>
    <w:rsid w:val="754954F4"/>
    <w:rsid w:val="75822D61"/>
    <w:rsid w:val="76AE321B"/>
    <w:rsid w:val="78276B74"/>
    <w:rsid w:val="78B714BA"/>
    <w:rsid w:val="790F51BA"/>
    <w:rsid w:val="792A47CB"/>
    <w:rsid w:val="79BF02E4"/>
    <w:rsid w:val="79C4587B"/>
    <w:rsid w:val="79DB5C8A"/>
    <w:rsid w:val="7C156EF2"/>
    <w:rsid w:val="7E49222E"/>
    <w:rsid w:val="7E6012A3"/>
    <w:rsid w:val="7EDA4077"/>
    <w:rsid w:val="7FC874FF"/>
    <w:rsid w:val="7FCD7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0"/>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9"/>
    <w:pPr>
      <w:keepNext/>
      <w:keepLines/>
      <w:widowControl/>
      <w:tabs>
        <w:tab w:val="left" w:pos="864"/>
      </w:tabs>
      <w:spacing w:before="280" w:after="290"/>
      <w:jc w:val="center"/>
      <w:outlineLvl w:val="3"/>
    </w:pPr>
    <w:rPr>
      <w:rFonts w:ascii="Arial" w:hAnsi="Arial"/>
      <w:b/>
      <w:bCs/>
      <w:kern w:val="0"/>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样式 标题 2 + 宋体"/>
    <w:basedOn w:val="3"/>
    <w:qFormat/>
    <w:uiPriority w:val="99"/>
    <w:rPr>
      <w:rFonts w:ascii="宋体" w:hAnsi="宋体"/>
      <w:sz w:val="30"/>
    </w:rPr>
  </w:style>
  <w:style w:type="paragraph" w:styleId="7">
    <w:name w:val="Body Text"/>
    <w:basedOn w:val="1"/>
    <w:unhideWhenUsed/>
    <w:qFormat/>
    <w:uiPriority w:val="99"/>
    <w:pPr>
      <w:spacing w:after="120"/>
    </w:pPr>
  </w:style>
  <w:style w:type="paragraph" w:styleId="8">
    <w:name w:val="Body Text Indent"/>
    <w:basedOn w:val="1"/>
    <w:qFormat/>
    <w:uiPriority w:val="0"/>
    <w:pPr>
      <w:spacing w:after="120"/>
      <w:ind w:left="420" w:leftChars="200"/>
    </w:pPr>
  </w:style>
  <w:style w:type="paragraph" w:styleId="9">
    <w:name w:val="Plain Text"/>
    <w:basedOn w:val="1"/>
    <w:qFormat/>
    <w:uiPriority w:val="0"/>
    <w:rPr>
      <w:rFonts w:ascii="宋体" w:hAnsi="Courier New" w:cs="Courier New"/>
      <w:szCs w:val="21"/>
    </w:rPr>
  </w:style>
  <w:style w:type="paragraph" w:styleId="10">
    <w:name w:val="Body Text Indent 2"/>
    <w:basedOn w:val="1"/>
    <w:qFormat/>
    <w:uiPriority w:val="0"/>
    <w:pPr>
      <w:snapToGrid w:val="0"/>
      <w:spacing w:line="360" w:lineRule="auto"/>
      <w:ind w:firstLine="480"/>
    </w:pPr>
    <w:rPr>
      <w:rFonts w:ascii="宋体"/>
      <w:i/>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表格文字"/>
    <w:basedOn w:val="1"/>
    <w:qFormat/>
    <w:uiPriority w:val="0"/>
    <w:pPr>
      <w:jc w:val="left"/>
    </w:pPr>
    <w:rPr>
      <w:bCs/>
      <w:spacing w:val="10"/>
      <w:kern w:val="0"/>
      <w:sz w:val="24"/>
      <w:szCs w:val="20"/>
    </w:rPr>
  </w:style>
  <w:style w:type="character" w:customStyle="1" w:styleId="18">
    <w:name w:val="NormalCharacter"/>
    <w:semiHidden/>
    <w:qFormat/>
    <w:uiPriority w:val="0"/>
  </w:style>
  <w:style w:type="paragraph" w:customStyle="1" w:styleId="19">
    <w:name w:val="缺省文本"/>
    <w:basedOn w:val="1"/>
    <w:qFormat/>
    <w:uiPriority w:val="0"/>
    <w:pPr>
      <w:autoSpaceDE w:val="0"/>
      <w:autoSpaceDN w:val="0"/>
      <w:adjustRightInd w:val="0"/>
      <w:jc w:val="left"/>
    </w:pPr>
    <w:rPr>
      <w:rFonts w:ascii="Times New Roman" w:hAnsi="Times New Roman" w:eastAsia="宋体" w:cs="Times New Roman"/>
      <w:kern w:val="0"/>
      <w:sz w:val="24"/>
      <w:szCs w:val="20"/>
    </w:rPr>
  </w:style>
  <w:style w:type="character" w:customStyle="1" w:styleId="20">
    <w:name w:val="标题 1 字符"/>
    <w:basedOn w:val="15"/>
    <w:link w:val="4"/>
    <w:qFormat/>
    <w:uiPriority w:val="0"/>
    <w:rPr>
      <w:b/>
      <w:bCs/>
      <w:kern w:val="44"/>
      <w:sz w:val="44"/>
      <w:szCs w:val="44"/>
    </w:rPr>
  </w:style>
  <w:style w:type="paragraph" w:styleId="21">
    <w:name w:val="List Paragraph"/>
    <w:basedOn w:val="1"/>
    <w:qFormat/>
    <w:uiPriority w:val="34"/>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6402</Words>
  <Characters>6898</Characters>
  <Lines>52</Lines>
  <Paragraphs>14</Paragraphs>
  <TotalTime>16</TotalTime>
  <ScaleCrop>false</ScaleCrop>
  <LinksUpToDate>false</LinksUpToDate>
  <CharactersWithSpaces>7026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2026-06-11T04:09:00Z</dcterms:created>
  <dc:creator>Unbreakable。</dc:creator>
  <cp:lastModifiedBy>WPS_1633749101</cp:lastModifiedBy>
  <cp:lastPrinted>2025-06-11T02:23:00Z</cp:lastPrinted>
  <dcterms:modified xsi:type="dcterms:W3CDTF">2026-06-11T09:52:13Z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2BCB64AF087741159EA6404FDDA72B47_13</vt:lpwstr>
  </property>
  <property fmtid="{D5CDD505-2E9C-101B-9397-08002B2CF9AE}" pid="4" name="commondata">
    <vt:lpwstr>eyJoZGlkIjoiMDMwN2U0ZjMwYzJjMjU2M2JmYTk1OGVhYjNkM2UzYWIifQ==</vt:lpwstr>
  </property>
  <property fmtid="{D5CDD505-2E9C-101B-9397-08002B2CF9AE}" pid="5" name="KSOTemplateDocerSaveRecord">
    <vt:lpwstr>eyJoZGlkIjoiMGM5ZjY1MTIxMzYyYzY0ZmY2NTMwZDlmNDc0NGM1OTgiLCJ1c2VySWQiOiIxMjc3Mzc2MjU1In0=</vt:lpwstr>
  </property>
</Properties>
</file>