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B22FA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附件</w:t>
      </w:r>
    </w:p>
    <w:p w14:paraId="72FE4A80">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rPr>
          <w:rFonts w:hint="eastAsia" w:ascii="方正公文小标宋" w:hAnsi="方正公文小标宋" w:eastAsia="方正公文小标宋" w:cs="方正公文小标宋"/>
          <w:b w:val="0"/>
          <w:bCs w:val="0"/>
          <w:sz w:val="32"/>
          <w:szCs w:val="32"/>
          <w:lang w:val="en-US" w:eastAsia="zh-CN"/>
        </w:rPr>
      </w:pPr>
      <w:bookmarkStart w:id="0" w:name="_GoBack"/>
      <w:r>
        <w:rPr>
          <w:rFonts w:hint="eastAsia" w:ascii="方正公文小标宋" w:hAnsi="方正公文小标宋" w:eastAsia="方正公文小标宋" w:cs="方正公文小标宋"/>
          <w:b w:val="0"/>
          <w:bCs w:val="0"/>
          <w:sz w:val="32"/>
          <w:szCs w:val="32"/>
          <w:lang w:val="en-US" w:eastAsia="zh-CN"/>
        </w:rPr>
        <w:t>2026年互联网接入服务采购需求计划</w:t>
      </w:r>
    </w:p>
    <w:bookmarkEnd w:id="0"/>
    <w:p w14:paraId="46A5098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一、采购标的明细</w:t>
      </w:r>
    </w:p>
    <w:tbl>
      <w:tblPr>
        <w:tblStyle w:val="4"/>
        <w:tblW w:w="89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0"/>
        <w:gridCol w:w="1301"/>
        <w:gridCol w:w="420"/>
        <w:gridCol w:w="6108"/>
        <w:gridCol w:w="671"/>
      </w:tblGrid>
      <w:tr w14:paraId="44356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440" w:type="dxa"/>
            <w:vAlign w:val="center"/>
          </w:tcPr>
          <w:p w14:paraId="58C5B01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序号</w:t>
            </w:r>
          </w:p>
        </w:tc>
        <w:tc>
          <w:tcPr>
            <w:tcW w:w="1301" w:type="dxa"/>
            <w:vAlign w:val="center"/>
          </w:tcPr>
          <w:p w14:paraId="47AF9A9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服务名称</w:t>
            </w:r>
          </w:p>
        </w:tc>
        <w:tc>
          <w:tcPr>
            <w:tcW w:w="420" w:type="dxa"/>
            <w:vAlign w:val="center"/>
          </w:tcPr>
          <w:p w14:paraId="67725CA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数量</w:t>
            </w:r>
          </w:p>
        </w:tc>
        <w:tc>
          <w:tcPr>
            <w:tcW w:w="6108" w:type="dxa"/>
            <w:vAlign w:val="center"/>
          </w:tcPr>
          <w:p w14:paraId="5D2A1B9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采购需求（技术参数、性能、配置等要求）</w:t>
            </w:r>
          </w:p>
        </w:tc>
        <w:tc>
          <w:tcPr>
            <w:tcW w:w="671" w:type="dxa"/>
            <w:vAlign w:val="center"/>
          </w:tcPr>
          <w:p w14:paraId="0229FA7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备注</w:t>
            </w:r>
          </w:p>
        </w:tc>
      </w:tr>
      <w:tr w14:paraId="53136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4" w:hRule="atLeast"/>
          <w:jc w:val="center"/>
        </w:trPr>
        <w:tc>
          <w:tcPr>
            <w:tcW w:w="440" w:type="dxa"/>
            <w:vAlign w:val="center"/>
          </w:tcPr>
          <w:p w14:paraId="6BBA419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301" w:type="dxa"/>
            <w:vAlign w:val="center"/>
          </w:tcPr>
          <w:p w14:paraId="56A19A2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互联网接入服务</w:t>
            </w:r>
          </w:p>
        </w:tc>
        <w:tc>
          <w:tcPr>
            <w:tcW w:w="420" w:type="dxa"/>
            <w:vAlign w:val="center"/>
          </w:tcPr>
          <w:p w14:paraId="69DBF4B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6108" w:type="dxa"/>
            <w:vAlign w:val="center"/>
          </w:tcPr>
          <w:p w14:paraId="73F9A0F5">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提供带宽为2.5G的互联网专线链路，接入方式为光纤接入，要求免费提供接入设备，并在安吉校区与江南产教融合示范园间增加1条1G点对点数据专线，使其组成校园内网，统一调度网络带宽资源。互联网带宽裸机测试，上下行速率对称且达到带宽要求；提供1条100M点对点数据专线，使监控专线并入学校网络，并保证原有IP地址不变；提供1条500M点对点数据专线，使西校区公寓楼并入校园内网；提供2条带宽不少于100M的互联网光纤链路，使武鸣基地2栋教学楼能接入互联网。</w:t>
            </w:r>
          </w:p>
          <w:p w14:paraId="70B1B5DB">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★2.提供19条互联网光纤链路，局域网连接到宽带互联网的带宽为100M，接入方式为光纤接入，要求免费提供接入设备；互联网带宽裸机测试，下行速率稳定在100M。</w:t>
            </w:r>
          </w:p>
          <w:p w14:paraId="306A1C92">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★3.提供≥16个公网IP地址，为保证采购人网站ICP备案信息的连续性，要求所提供IPv4地址范围应包含现有备案 IP 地址段（111.59.15.203 - 208），不对现有业务系统产生影响，学校业务系统正常使用，须保证现用公网IP不变。</w:t>
            </w:r>
          </w:p>
        </w:tc>
        <w:tc>
          <w:tcPr>
            <w:tcW w:w="671" w:type="dxa"/>
            <w:vAlign w:val="center"/>
          </w:tcPr>
          <w:p w14:paraId="38B9F24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1"/>
                <w:szCs w:val="21"/>
                <w:lang w:val="en-US" w:eastAsia="zh-CN"/>
              </w:rPr>
            </w:pPr>
          </w:p>
        </w:tc>
      </w:tr>
      <w:tr w14:paraId="7F791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7" w:hRule="atLeast"/>
          <w:jc w:val="center"/>
        </w:trPr>
        <w:tc>
          <w:tcPr>
            <w:tcW w:w="440" w:type="dxa"/>
            <w:vAlign w:val="center"/>
          </w:tcPr>
          <w:p w14:paraId="1E83A37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301" w:type="dxa"/>
            <w:vAlign w:val="center"/>
          </w:tcPr>
          <w:p w14:paraId="3375CBA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教育政务网点对点数字电路接入服务</w:t>
            </w:r>
          </w:p>
        </w:tc>
        <w:tc>
          <w:tcPr>
            <w:tcW w:w="420" w:type="dxa"/>
            <w:vAlign w:val="center"/>
          </w:tcPr>
          <w:p w14:paraId="07E325E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6108" w:type="dxa"/>
            <w:vAlign w:val="center"/>
          </w:tcPr>
          <w:p w14:paraId="32485D7E">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★1.提供1条带宽为100Mbps的点对点专线，速率上、下行对称，要求与互联网逻辑隔离，保证数据传输的安全和稳定。 </w:t>
            </w:r>
          </w:p>
          <w:p w14:paraId="6D70562D">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★2.报价人所采用的网络为面向分组传送的弹性网络，可应对采购人突发的带宽增长需求。</w:t>
            </w:r>
          </w:p>
          <w:p w14:paraId="446EEFE3">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★3.要求可对网络QOS能力进行灵活管控，可设置CAR策略模板，支持CIR、PIR、CBS和PBS参数的配置，CAR带宽粒度达64Kbps。</w:t>
            </w:r>
          </w:p>
        </w:tc>
        <w:tc>
          <w:tcPr>
            <w:tcW w:w="671" w:type="dxa"/>
            <w:vAlign w:val="center"/>
          </w:tcPr>
          <w:p w14:paraId="04FAFC7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1"/>
                <w:szCs w:val="21"/>
                <w:lang w:val="en-US" w:eastAsia="zh-CN"/>
              </w:rPr>
            </w:pPr>
          </w:p>
        </w:tc>
      </w:tr>
      <w:tr w14:paraId="4B55B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0" w:hRule="atLeast"/>
          <w:jc w:val="center"/>
        </w:trPr>
        <w:tc>
          <w:tcPr>
            <w:tcW w:w="440" w:type="dxa"/>
            <w:vAlign w:val="center"/>
          </w:tcPr>
          <w:p w14:paraId="102085B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301" w:type="dxa"/>
            <w:vAlign w:val="center"/>
          </w:tcPr>
          <w:p w14:paraId="75F0160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融合通信办公电话服务</w:t>
            </w:r>
          </w:p>
        </w:tc>
        <w:tc>
          <w:tcPr>
            <w:tcW w:w="420" w:type="dxa"/>
            <w:vAlign w:val="center"/>
          </w:tcPr>
          <w:p w14:paraId="51A540B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6108" w:type="dxa"/>
            <w:vAlign w:val="center"/>
          </w:tcPr>
          <w:p w14:paraId="093AD3C1">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★1.通话分钟数：总通话分钟数不低于50000分钟/月，不高于625台固话和手机共享使用分钟数，免费提供不少于25台电话机或移动手持终端；为确保学校对外联系畅通，需保证学校现用办公号码不变。</w:t>
            </w:r>
          </w:p>
          <w:p w14:paraId="5301A25F">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★2.需支持SIP主流协议，可对接主流的IMS/NGN系统。</w:t>
            </w:r>
          </w:p>
        </w:tc>
        <w:tc>
          <w:tcPr>
            <w:tcW w:w="671" w:type="dxa"/>
            <w:vAlign w:val="center"/>
          </w:tcPr>
          <w:p w14:paraId="6E8B260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1"/>
                <w:szCs w:val="21"/>
                <w:lang w:val="en-US" w:eastAsia="zh-CN"/>
              </w:rPr>
            </w:pPr>
          </w:p>
        </w:tc>
      </w:tr>
      <w:tr w14:paraId="0D3A5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9" w:hRule="atLeast"/>
          <w:jc w:val="center"/>
        </w:trPr>
        <w:tc>
          <w:tcPr>
            <w:tcW w:w="440" w:type="dxa"/>
            <w:vAlign w:val="center"/>
          </w:tcPr>
          <w:p w14:paraId="46D139E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301" w:type="dxa"/>
            <w:vAlign w:val="center"/>
          </w:tcPr>
          <w:p w14:paraId="0E1DCD5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校内网络主干升级改造服务</w:t>
            </w:r>
          </w:p>
        </w:tc>
        <w:tc>
          <w:tcPr>
            <w:tcW w:w="420" w:type="dxa"/>
            <w:vAlign w:val="center"/>
          </w:tcPr>
          <w:p w14:paraId="36A714A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6108" w:type="dxa"/>
            <w:vAlign w:val="center"/>
          </w:tcPr>
          <w:p w14:paraId="0CA02D7A">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★1.服务期限内提供网络覆盖环境勘测服务，针对采购单位的网络覆盖环境进行实地的勘测，明确网络部署要求等。</w:t>
            </w:r>
          </w:p>
          <w:p w14:paraId="0B6A4E1C">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★2.出于业务对固定带宽及通道隔离性，独立性的考虑，供应商需在采购人机房预部署支持硬管道技术的通信网络设备，具备对线路服务进行升级的能力。</w:t>
            </w:r>
          </w:p>
          <w:p w14:paraId="4E164FA5">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★3.对安吉校园校道、教学区和学生宿舍区架空电缆进行清理，改走地下弱电网管。</w:t>
            </w:r>
          </w:p>
        </w:tc>
        <w:tc>
          <w:tcPr>
            <w:tcW w:w="671" w:type="dxa"/>
            <w:vAlign w:val="center"/>
          </w:tcPr>
          <w:p w14:paraId="2376C4C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1"/>
                <w:szCs w:val="21"/>
                <w:lang w:val="en-US" w:eastAsia="zh-CN"/>
              </w:rPr>
            </w:pPr>
          </w:p>
        </w:tc>
      </w:tr>
      <w:tr w14:paraId="7F2D4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0" w:type="dxa"/>
            <w:vAlign w:val="center"/>
          </w:tcPr>
          <w:p w14:paraId="7A743F8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301" w:type="dxa"/>
            <w:vAlign w:val="center"/>
          </w:tcPr>
          <w:p w14:paraId="5E05515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网络安全技术支持服务</w:t>
            </w:r>
          </w:p>
        </w:tc>
        <w:tc>
          <w:tcPr>
            <w:tcW w:w="420" w:type="dxa"/>
            <w:vAlign w:val="center"/>
          </w:tcPr>
          <w:p w14:paraId="0E7BD8D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6108" w:type="dxa"/>
            <w:vAlign w:val="center"/>
          </w:tcPr>
          <w:p w14:paraId="18800870">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提供2套SSL证书用于网站身份验证，可标识网站真实身份，确保数据发送到正确的客户端和服务器，能有效防范假冒网站和钓鱼网站。对信息传输进行加密，确保信息传输的机密性。部署到服务器后，服务器端的访问将启用HTTPS协议，可以为网站、移动 App、Web API 等应用提供整套 HTTPS 解决方案。</w:t>
            </w:r>
          </w:p>
          <w:p w14:paraId="2926C6AF">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服务期内提供不少于2次的网络安全检测，提供全程技术支持咨询服务。</w:t>
            </w:r>
          </w:p>
          <w:p w14:paraId="4DCDDFB8">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根据采购人实际情况，提供一套中心机房设备与系统安全解决方案（VAC）,能对所托管资产的密码进行全生命周期管理，可自动更新密码、杜绝弱密码以满足网安相关法规及等保的合规要求。</w:t>
            </w:r>
          </w:p>
        </w:tc>
        <w:tc>
          <w:tcPr>
            <w:tcW w:w="671" w:type="dxa"/>
            <w:vAlign w:val="center"/>
          </w:tcPr>
          <w:p w14:paraId="4D9774B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1"/>
                <w:szCs w:val="21"/>
                <w:lang w:val="en-US" w:eastAsia="zh-CN"/>
              </w:rPr>
            </w:pPr>
          </w:p>
        </w:tc>
      </w:tr>
      <w:tr w14:paraId="71CD8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5" w:hRule="atLeast"/>
          <w:jc w:val="center"/>
        </w:trPr>
        <w:tc>
          <w:tcPr>
            <w:tcW w:w="440" w:type="dxa"/>
            <w:vAlign w:val="center"/>
          </w:tcPr>
          <w:p w14:paraId="184B5BA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1301" w:type="dxa"/>
            <w:vAlign w:val="center"/>
          </w:tcPr>
          <w:p w14:paraId="26B18E2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云MAS短信平台服务</w:t>
            </w:r>
          </w:p>
        </w:tc>
        <w:tc>
          <w:tcPr>
            <w:tcW w:w="420" w:type="dxa"/>
            <w:vAlign w:val="center"/>
          </w:tcPr>
          <w:p w14:paraId="686E123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sz w:val="21"/>
                <w:szCs w:val="21"/>
                <w:lang w:val="en-US" w:eastAsia="zh-CN"/>
              </w:rPr>
            </w:pPr>
          </w:p>
        </w:tc>
        <w:tc>
          <w:tcPr>
            <w:tcW w:w="6108" w:type="dxa"/>
            <w:vAlign w:val="center"/>
          </w:tcPr>
          <w:p w14:paraId="1FE2D2C0">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★1、提供云MAS业务平台页面、接口以及APP（Android和iOS）均支持群发能力。页面发送，支持号码文件导入、动态短信模版导入、通讯录选取等发送方式。</w:t>
            </w:r>
          </w:p>
          <w:p w14:paraId="654FA715">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★2、号码文件导入方式：通过导入号码文件方式，对导入的号码进行群发操作；</w:t>
            </w:r>
          </w:p>
          <w:p w14:paraId="0B711545">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★3、通讯录选取方式：通过选择通讯录中人员的方法，对指定对象进行短信群发操作。</w:t>
            </w:r>
          </w:p>
        </w:tc>
        <w:tc>
          <w:tcPr>
            <w:tcW w:w="671" w:type="dxa"/>
            <w:vAlign w:val="center"/>
          </w:tcPr>
          <w:p w14:paraId="457D954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1"/>
                <w:szCs w:val="21"/>
                <w:lang w:val="en-US" w:eastAsia="zh-CN"/>
              </w:rPr>
            </w:pPr>
          </w:p>
        </w:tc>
      </w:tr>
      <w:tr w14:paraId="53F3D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5" w:hRule="atLeast"/>
          <w:jc w:val="center"/>
        </w:trPr>
        <w:tc>
          <w:tcPr>
            <w:tcW w:w="440" w:type="dxa"/>
            <w:vAlign w:val="center"/>
          </w:tcPr>
          <w:p w14:paraId="78523E5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1301" w:type="dxa"/>
            <w:vAlign w:val="center"/>
          </w:tcPr>
          <w:p w14:paraId="678DE84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网络舆情监控与危机处置咨询服务</w:t>
            </w:r>
          </w:p>
        </w:tc>
        <w:tc>
          <w:tcPr>
            <w:tcW w:w="420" w:type="dxa"/>
            <w:vAlign w:val="center"/>
          </w:tcPr>
          <w:p w14:paraId="40ED413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6108" w:type="dxa"/>
            <w:vAlign w:val="center"/>
          </w:tcPr>
          <w:p w14:paraId="4D054D14">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★1、提供至少两套网络舆情监测系统，使用授权不少于一年时间。</w:t>
            </w:r>
          </w:p>
          <w:p w14:paraId="044173C2">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2、协助采购人编制舆情监测方案并提供实时预警服务。</w:t>
            </w:r>
          </w:p>
          <w:p w14:paraId="306A743E">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3、协助采购人针对突发事件开展专项定制监测服务。</w:t>
            </w:r>
          </w:p>
        </w:tc>
        <w:tc>
          <w:tcPr>
            <w:tcW w:w="671" w:type="dxa"/>
            <w:vAlign w:val="center"/>
          </w:tcPr>
          <w:p w14:paraId="16FCE8A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1"/>
                <w:szCs w:val="21"/>
                <w:lang w:val="en-US" w:eastAsia="zh-CN"/>
              </w:rPr>
            </w:pPr>
          </w:p>
        </w:tc>
      </w:tr>
    </w:tbl>
    <w:p w14:paraId="30E66FB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sz w:val="21"/>
          <w:szCs w:val="21"/>
          <w:lang w:val="en-US" w:eastAsia="zh-CN"/>
        </w:rPr>
      </w:pPr>
    </w:p>
    <w:p w14:paraId="069808C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二、商务要求</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673B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5000" w:type="pct"/>
            <w:vAlign w:val="center"/>
          </w:tcPr>
          <w:p w14:paraId="7C517445">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一、合同签订期：自中标通知书发出之日起3日内</w:t>
            </w:r>
          </w:p>
          <w:p w14:paraId="5886F8C8">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★二、提交服务成果时间：自合同签订之日起15日内。</w:t>
            </w:r>
          </w:p>
          <w:p w14:paraId="2E3422CC">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三、提交服务成果地点：南宁市（采购人指定地点）。</w:t>
            </w:r>
          </w:p>
          <w:p w14:paraId="7806293C">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★四、应标真实性要求：</w:t>
            </w:r>
          </w:p>
          <w:p w14:paraId="5274B10E">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招标文件中标注“★”号的条款为实质性条款或指标，要求必须满足或优于，中标人须在签订合同时按照条款要求提供相关证明材料。若不按时提供全部材料，则视为虚假应标，投标无效。采购人有权追究该投标人相关法律责任。</w:t>
            </w:r>
          </w:p>
          <w:p w14:paraId="171B156A">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参加供应商须为国内注册（指按国家有关规定要求注册的），符合《中华人民共和国政府采购法》第二十二条规定，具备法人资格的供应商或其分支机构，并在签订合同时提供通信运营商针对本项目出具的互联网专线服务合作协议或授权文件，文件加盖投标人公章。若不按时提供全部材料，则视为虚假应标，投标无效。采购人有权追究该投标人相关法律责任。</w:t>
            </w:r>
          </w:p>
          <w:p w14:paraId="4DDF081B">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★3.要求中标人对所选用网络技术基于分组交换、面向连接等特性提供科普中国(或中国科技网，或中国科普博览，或同等级别) 网站截图证明材料，并加盖公司公章。中标后提供有效证书复印件，无法提供则视为虚假应标，采购人有权进行废标外理并追究相关法律责任。</w:t>
            </w:r>
          </w:p>
          <w:p w14:paraId="788D2A42">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★4.要求中标人现网统计本地网元达10000个以上，具备在本地大规模使用网络技术组网的能力(中标后提供本地网络现网网管系统的网元列表截图，并加盖投标人公章)。</w:t>
            </w:r>
          </w:p>
          <w:p w14:paraId="7FC79018">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★5.为保障履约能力与售后服务质量，要求中标人具备满足GB/T23793-2017＆GB/T33456-2016的供应商综合能力服务认证5星证书、ISO 37301:2021 合规管理体系认证证书。要求中标人提供相关证书复印件并加盖公章，中标后供采购人核验。若不按时提供全部材料，则视为虚假应标，投标无效。采购人有权追究投标人虚假应标的相关法律责任。</w:t>
            </w:r>
          </w:p>
          <w:p w14:paraId="0DC44931">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★五、售后服务要求：</w:t>
            </w:r>
          </w:p>
          <w:p w14:paraId="153EF43B">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1、服务期与质量保证期1年（自提交服务成果并验收合格之日起计）。</w:t>
            </w:r>
          </w:p>
          <w:p w14:paraId="79350919">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2、供应商提供7×24小时热线电话服务,并指定专人负责上门受理调试日常维护及平时协助采购人维护检测等工作；</w:t>
            </w:r>
          </w:p>
          <w:p w14:paraId="76E51ADD">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3、供应商必须按采购人的要求提供本地化售后服务技术支持。 </w:t>
            </w:r>
          </w:p>
          <w:p w14:paraId="7E995D00">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4、供应商在租赁期限内，应严格遵守《中华人民共和国电信条例》，维护双方权益，并按照工信部、通管局的电信服务相关规定执行，保证采购人租用线路畅通及安全使用；</w:t>
            </w:r>
          </w:p>
          <w:p w14:paraId="706B8FA0">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5、采购单位网络需要扩展或升级时，负责免费提供相应解决方案；因供应商施工、网络割接等原因影响宽带网络运行的，应当提前一天通知采购单位，并且尽快消除故障、恢复通信线路；</w:t>
            </w:r>
          </w:p>
          <w:p w14:paraId="548B9287">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6、供应商应具备足够的专业维护力量,专业维护人员人数≥2人；提供365×24小时的售后服务响应。</w:t>
            </w:r>
          </w:p>
          <w:p w14:paraId="50FDC18F">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★六、其他要求：</w:t>
            </w:r>
          </w:p>
          <w:p w14:paraId="3D3EB30D">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1、报价必须含以下部分，包括：</w:t>
            </w:r>
          </w:p>
          <w:p w14:paraId="455A3FCF">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（1）服务的价格；</w:t>
            </w:r>
          </w:p>
          <w:p w14:paraId="6F6CB035">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（2）必要的保险费用和各项税金；</w:t>
            </w:r>
          </w:p>
          <w:p w14:paraId="7089342A">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（3）其他：如运输、装卸、安装、调试、培训、技术支持、售后服务、更新升级等费用。</w:t>
            </w:r>
          </w:p>
          <w:p w14:paraId="223FD788">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2、验收方法及方案：</w:t>
            </w:r>
          </w:p>
          <w:p w14:paraId="53F92AA3">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实施完毕由采购人、中标人共同验收，并出具验收文书。如抽取的技术指标检测结果不合格的，则视为产品及服务不合格，须按采购人要求及时整改，如因此过程耽误造成损失的，中标人承担由此所造成全部损失。</w:t>
            </w:r>
          </w:p>
          <w:p w14:paraId="19C775A3">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3、本项目预算是人民币捌拾捌万肆仟元整（￥884000元），报价不能超过本预算价格。</w:t>
            </w:r>
          </w:p>
        </w:tc>
      </w:tr>
    </w:tbl>
    <w:p w14:paraId="3577E964">
      <w:pPr>
        <w:keepNext w:val="0"/>
        <w:keepLines w:val="0"/>
        <w:pageBreakBefore w:val="0"/>
        <w:widowControl w:val="0"/>
        <w:kinsoku/>
        <w:wordWrap/>
        <w:overflowPunct/>
        <w:topLinePunct w:val="0"/>
        <w:autoSpaceDE/>
        <w:autoSpaceDN/>
        <w:bidi w:val="0"/>
        <w:adjustRightInd/>
        <w:snapToGrid/>
        <w:spacing w:line="600" w:lineRule="exact"/>
        <w:ind w:firstLine="562" w:firstLineChars="200"/>
        <w:textAlignment w:val="auto"/>
        <w:rPr>
          <w:rFonts w:hint="eastAsia" w:ascii="仿宋" w:hAnsi="仿宋" w:eastAsia="仿宋" w:cs="仿宋"/>
          <w:b/>
          <w:bCs/>
          <w:sz w:val="28"/>
          <w:szCs w:val="28"/>
          <w:lang w:val="en-US" w:eastAsia="zh-CN"/>
        </w:rPr>
      </w:pPr>
    </w:p>
    <w:p w14:paraId="6F638696">
      <w:pPr>
        <w:keepNext w:val="0"/>
        <w:keepLines w:val="0"/>
        <w:pageBreakBefore w:val="0"/>
        <w:widowControl w:val="0"/>
        <w:kinsoku/>
        <w:wordWrap/>
        <w:overflowPunct/>
        <w:topLinePunct w:val="0"/>
        <w:autoSpaceDE/>
        <w:autoSpaceDN/>
        <w:bidi w:val="0"/>
        <w:adjustRightInd/>
        <w:snapToGrid/>
        <w:spacing w:line="600" w:lineRule="exact"/>
        <w:ind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三、评审标准（电子卖场-在线询价）</w:t>
      </w:r>
    </w:p>
    <w:p w14:paraId="30C8679A">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标★条件完全符合、其他条件基本符合且无负偏离的情况下，低价者中标。</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1E70879-707B-44DA-ABD5-E6663072954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2" w:fontKey="{50DFEE96-4BF7-48B4-93A9-99F7241EED1C}"/>
  </w:font>
  <w:font w:name="仿宋_GB2312">
    <w:panose1 w:val="02010609030101010101"/>
    <w:charset w:val="86"/>
    <w:family w:val="auto"/>
    <w:pitch w:val="default"/>
    <w:sig w:usb0="00000001" w:usb1="080E0000" w:usb2="00000000" w:usb3="00000000" w:csb0="00040000" w:csb1="00000000"/>
    <w:embedRegular r:id="rId3" w:fontKey="{E75C8EFA-6F02-41C4-8811-431878BDC624}"/>
  </w:font>
  <w:font w:name="仿宋">
    <w:panose1 w:val="02010609060101010101"/>
    <w:charset w:val="86"/>
    <w:family w:val="auto"/>
    <w:pitch w:val="default"/>
    <w:sig w:usb0="800002BF" w:usb1="38CF7CFA" w:usb2="00000016" w:usb3="00000000" w:csb0="00040001" w:csb1="00000000"/>
    <w:embedRegular r:id="rId4" w:fontKey="{1AC066F1-86DB-4EE6-9C3D-86FD0166D92D}"/>
  </w:font>
  <w:font w:name="WPSEMBED1">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6D1FC5"/>
    <w:rsid w:val="236D1FC5"/>
    <w:rsid w:val="3CD004E0"/>
    <w:rsid w:val="41AD2FCF"/>
    <w:rsid w:val="432728A1"/>
    <w:rsid w:val="55A82D9F"/>
    <w:rsid w:val="775562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kern w:val="0"/>
      <w:sz w:val="18"/>
      <w:szCs w:val="18"/>
    </w:rPr>
  </w:style>
  <w:style w:type="table" w:styleId="4">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2980</Words>
  <Characters>3181</Characters>
  <Lines>0</Lines>
  <Paragraphs>0</Paragraphs>
  <TotalTime>2</TotalTime>
  <ScaleCrop>false</ScaleCrop>
  <LinksUpToDate>false</LinksUpToDate>
  <CharactersWithSpaces>3204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2026-06-24T01:40:00Z</dcterms:created>
  <dc:creator>潘吉兴</dc:creator>
  <cp:lastModifiedBy>黄伟平</cp:lastModifiedBy>
  <dcterms:modified xsi:type="dcterms:W3CDTF">2026-06-25T02:23:53Z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3A852CC8C67642E5B29C859283427BC4_13</vt:lpwstr>
  </property>
  <property fmtid="{D5CDD505-2E9C-101B-9397-08002B2CF9AE}" pid="4" name="KSOTemplateDocerSaveRecord">
    <vt:lpwstr>eyJoZGlkIjoiOGFkZGY1YmExMDAxZjI0Y2Y5ZjkwMWJjNmNhYmIzMWEiLCJ1c2VySWQiOiIxNzMwMTA1MTE1In0=</vt:lpwstr>
  </property>
</Properties>
</file>