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497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5"/>
        <w:gridCol w:w="455"/>
        <w:gridCol w:w="455"/>
        <w:gridCol w:w="361"/>
        <w:gridCol w:w="2065"/>
        <w:gridCol w:w="985"/>
        <w:gridCol w:w="935"/>
        <w:gridCol w:w="556"/>
        <w:gridCol w:w="480"/>
        <w:gridCol w:w="673"/>
        <w:gridCol w:w="954"/>
        <w:gridCol w:w="1905"/>
        <w:gridCol w:w="659"/>
      </w:tblGrid>
      <w:tr w14:paraId="26C8E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000" w:type="pct"/>
            <w:gridSpan w:val="13"/>
            <w:tcBorders>
              <w:top w:val="nil"/>
              <w:left w:val="single" w:color="000000" w:sz="4" w:space="0"/>
              <w:bottom w:val="nil"/>
              <w:right w:val="nil"/>
            </w:tcBorders>
            <w:shd w:val="clear" w:color="auto" w:fill="auto"/>
            <w:vAlign w:val="center"/>
          </w:tcPr>
          <w:p w14:paraId="22CD7E17">
            <w:pPr>
              <w:keepNext w:val="0"/>
              <w:keepLines w:val="0"/>
              <w:widowControl/>
              <w:suppressLineNumbers w:val="0"/>
              <w:jc w:val="center"/>
              <w:textAlignment w:val="center"/>
              <w:rPr>
                <w:rFonts w:hint="default" w:ascii="黑体" w:hAnsi="宋体" w:eastAsia="黑体" w:cs="黑体"/>
                <w:i w:val="0"/>
                <w:iCs w:val="0"/>
                <w:color w:val="auto"/>
                <w:sz w:val="40"/>
                <w:szCs w:val="40"/>
                <w:u w:val="none"/>
                <w:lang w:val="en-US"/>
              </w:rPr>
            </w:pPr>
            <w:r>
              <w:rPr>
                <w:rFonts w:hint="eastAsia" w:ascii="黑体" w:hAnsi="宋体" w:eastAsia="黑体" w:cs="黑体"/>
                <w:i w:val="0"/>
                <w:iCs w:val="0"/>
                <w:color w:val="auto"/>
                <w:kern w:val="0"/>
                <w:sz w:val="40"/>
                <w:szCs w:val="40"/>
                <w:u w:val="none"/>
                <w:lang w:val="en-US" w:eastAsia="zh-CN" w:bidi="ar"/>
              </w:rPr>
              <w:t>南宁师范大学长堽校区图书馆阅览桌椅配置表</w:t>
            </w:r>
          </w:p>
        </w:tc>
      </w:tr>
      <w:tr w14:paraId="51FD6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ADD25">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序号</w:t>
            </w:r>
          </w:p>
        </w:tc>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6AE42">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使用区域</w:t>
            </w:r>
          </w:p>
        </w:tc>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16A81">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产品名称</w:t>
            </w:r>
          </w:p>
        </w:tc>
        <w:tc>
          <w:tcPr>
            <w:tcW w:w="11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90B1DC">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图片</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BE09E">
            <w:pPr>
              <w:keepNext w:val="0"/>
              <w:keepLines w:val="0"/>
              <w:widowControl/>
              <w:suppressLineNumbers w:val="0"/>
              <w:jc w:val="center"/>
              <w:textAlignment w:val="center"/>
              <w:rPr>
                <w:rFonts w:hint="eastAsia" w:ascii="黑体" w:hAnsi="宋体" w:eastAsia="黑体" w:cs="黑体"/>
                <w:i w:val="0"/>
                <w:iCs w:val="0"/>
                <w:color w:val="auto"/>
                <w:sz w:val="28"/>
                <w:szCs w:val="28"/>
                <w:u w:val="none"/>
              </w:rPr>
            </w:pPr>
            <w:r>
              <w:rPr>
                <w:rFonts w:hint="eastAsia" w:ascii="黑体" w:hAnsi="宋体" w:eastAsia="黑体" w:cs="黑体"/>
                <w:i w:val="0"/>
                <w:iCs w:val="0"/>
                <w:color w:val="auto"/>
                <w:kern w:val="0"/>
                <w:sz w:val="28"/>
                <w:szCs w:val="28"/>
                <w:u w:val="none"/>
                <w:lang w:val="en-US" w:eastAsia="zh-CN" w:bidi="ar"/>
              </w:rPr>
              <w:t>尺寸</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2F74F">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产品描述</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62DFF">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数量</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9E8CD">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单位</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40D62">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单价</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83AE5">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金额</w:t>
            </w:r>
          </w:p>
        </w:tc>
        <w:tc>
          <w:tcPr>
            <w:tcW w:w="8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62ACC">
            <w:pPr>
              <w:keepNext w:val="0"/>
              <w:keepLines w:val="0"/>
              <w:widowControl/>
              <w:suppressLineNumbers w:val="0"/>
              <w:jc w:val="center"/>
              <w:textAlignment w:val="center"/>
              <w:rPr>
                <w:rFonts w:hint="eastAsia" w:ascii="黑体" w:hAnsi="宋体" w:eastAsia="黑体" w:cs="黑体"/>
                <w:i w:val="0"/>
                <w:iCs w:val="0"/>
                <w:color w:val="auto"/>
                <w:sz w:val="24"/>
                <w:szCs w:val="24"/>
                <w:u w:val="none"/>
                <w:lang w:eastAsia="zh-CN"/>
              </w:rPr>
            </w:pPr>
            <w:r>
              <w:rPr>
                <w:rFonts w:hint="eastAsia" w:ascii="黑体" w:hAnsi="宋体" w:eastAsia="黑体" w:cs="黑体"/>
                <w:i w:val="0"/>
                <w:iCs w:val="0"/>
                <w:color w:val="auto"/>
                <w:sz w:val="24"/>
                <w:szCs w:val="24"/>
                <w:u w:val="none"/>
                <w:lang w:eastAsia="zh-CN"/>
              </w:rPr>
              <w:t>参数要求</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66AB4">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备注</w:t>
            </w:r>
          </w:p>
        </w:tc>
      </w:tr>
      <w:tr w14:paraId="5CE2C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3D64E">
            <w:pPr>
              <w:keepNext w:val="0"/>
              <w:keepLines w:val="0"/>
              <w:widowControl/>
              <w:suppressLineNumbers w:val="0"/>
              <w:jc w:val="center"/>
              <w:textAlignment w:val="center"/>
              <w:rPr>
                <w:rFonts w:hint="eastAsia"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1</w:t>
            </w:r>
          </w:p>
        </w:tc>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9184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二楼自习室</w:t>
            </w:r>
          </w:p>
        </w:tc>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9866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阅览桌</w:t>
            </w:r>
          </w:p>
        </w:tc>
        <w:tc>
          <w:tcPr>
            <w:tcW w:w="11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26F06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sz w:val="20"/>
                <w:szCs w:val="22"/>
              </w:rPr>
              <w:drawing>
                <wp:inline distT="0" distB="0" distL="114300" distR="114300">
                  <wp:extent cx="1163955" cy="952500"/>
                  <wp:effectExtent l="0" t="0" r="17145" b="0"/>
                  <wp:docPr id="31"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0"/>
                          <pic:cNvPicPr>
                            <a:picLocks noChangeAspect="1"/>
                          </pic:cNvPicPr>
                        </pic:nvPicPr>
                        <pic:blipFill>
                          <a:blip r:embed="rId4"/>
                          <a:stretch>
                            <a:fillRect/>
                          </a:stretch>
                        </pic:blipFill>
                        <pic:spPr>
                          <a:xfrm>
                            <a:off x="0" y="0"/>
                            <a:ext cx="1163955" cy="952500"/>
                          </a:xfrm>
                          <a:prstGeom prst="rect">
                            <a:avLst/>
                          </a:prstGeom>
                          <a:noFill/>
                          <a:ln w="9525">
                            <a:noFill/>
                          </a:ln>
                        </pic:spPr>
                      </pic:pic>
                    </a:graphicData>
                  </a:graphic>
                </wp:inline>
              </w:drawing>
            </w:r>
            <w:r>
              <w:rPr>
                <w:sz w:val="20"/>
                <w:szCs w:val="22"/>
              </w:rPr>
              <w:drawing>
                <wp:anchor distT="0" distB="0" distL="114300" distR="114300" simplePos="0" relativeHeight="251659264" behindDoc="0" locked="0" layoutInCell="1" allowOverlap="1">
                  <wp:simplePos x="0" y="0"/>
                  <wp:positionH relativeFrom="column">
                    <wp:posOffset>149225</wp:posOffset>
                  </wp:positionH>
                  <wp:positionV relativeFrom="paragraph">
                    <wp:posOffset>-358775</wp:posOffset>
                  </wp:positionV>
                  <wp:extent cx="1090930" cy="909320"/>
                  <wp:effectExtent l="0" t="0" r="13970" b="5080"/>
                  <wp:wrapSquare wrapText="bothSides"/>
                  <wp:docPr id="2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3"/>
                          <pic:cNvPicPr>
                            <a:picLocks noChangeAspect="1"/>
                          </pic:cNvPicPr>
                        </pic:nvPicPr>
                        <pic:blipFill>
                          <a:blip r:embed="rId5"/>
                          <a:stretch>
                            <a:fillRect/>
                          </a:stretch>
                        </pic:blipFill>
                        <pic:spPr>
                          <a:xfrm>
                            <a:off x="0" y="0"/>
                            <a:ext cx="1090930" cy="909320"/>
                          </a:xfrm>
                          <a:prstGeom prst="rect">
                            <a:avLst/>
                          </a:prstGeom>
                          <a:noFill/>
                          <a:ln w="9525">
                            <a:noFill/>
                          </a:ln>
                        </pic:spPr>
                      </pic:pic>
                    </a:graphicData>
                  </a:graphic>
                </wp:anchor>
              </w:drawing>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5795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000000"/>
                <w:kern w:val="0"/>
                <w:sz w:val="22"/>
                <w:szCs w:val="22"/>
                <w:u w:val="none"/>
                <w:lang w:val="en-US" w:eastAsia="zh-CN" w:bidi="ar"/>
              </w:rPr>
              <w:t>1600*1200*750/1200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B31AC">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eastAsia="zh-CN"/>
              </w:rPr>
              <w:t>多层板</w:t>
            </w:r>
            <w:r>
              <w:rPr>
                <w:rFonts w:hint="eastAsia" w:ascii="宋体" w:hAnsi="宋体" w:eastAsia="宋体" w:cs="宋体"/>
                <w:i w:val="0"/>
                <w:iCs w:val="0"/>
                <w:color w:val="auto"/>
                <w:sz w:val="22"/>
                <w:szCs w:val="22"/>
                <w:u w:val="none"/>
                <w:lang w:val="en-US" w:eastAsia="zh-CN"/>
              </w:rPr>
              <w:t>+灯架+钢架+亚克力挡板</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F4E9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91BC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490D3">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default" w:ascii="宋体" w:hAnsi="宋体" w:eastAsia="宋体" w:cs="宋体"/>
                <w:i w:val="0"/>
                <w:iCs w:val="0"/>
                <w:color w:val="auto"/>
                <w:sz w:val="22"/>
                <w:szCs w:val="22"/>
                <w:u w:val="none"/>
                <w:lang w:val="en-US"/>
              </w:rPr>
              <w:t>1300</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22247">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default" w:ascii="宋体" w:hAnsi="宋体" w:eastAsia="宋体" w:cs="宋体"/>
                <w:i w:val="0"/>
                <w:iCs w:val="0"/>
                <w:color w:val="auto"/>
                <w:sz w:val="22"/>
                <w:szCs w:val="22"/>
                <w:u w:val="none"/>
                <w:lang w:val="en-US"/>
              </w:rPr>
              <w:t>31200</w:t>
            </w:r>
          </w:p>
        </w:tc>
        <w:tc>
          <w:tcPr>
            <w:tcW w:w="8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A5EC6">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Style w:val="7"/>
                <w:rFonts w:hint="eastAsia"/>
                <w:sz w:val="22"/>
                <w:szCs w:val="22"/>
                <w:lang w:val="en-US" w:eastAsia="zh-CN" w:bidi="ar"/>
              </w:rPr>
              <w:t>桌面用三聚氰胺板基材：25mm多层板，桌脚：方形管焊接口字框。拉杆采矩形钢管，中间桌脚使用方管，宽度加强梁使用厚梅花管连接</w:t>
            </w:r>
            <w:r>
              <w:rPr>
                <w:rStyle w:val="7"/>
                <w:sz w:val="22"/>
                <w:szCs w:val="22"/>
                <w:lang w:val="en-US" w:eastAsia="zh-CN" w:bidi="ar"/>
              </w:rPr>
              <w:t>。</w:t>
            </w:r>
            <w:r>
              <w:rPr>
                <w:rStyle w:val="7"/>
                <w:rFonts w:hint="eastAsia"/>
                <w:sz w:val="22"/>
                <w:szCs w:val="22"/>
                <w:lang w:val="en-US" w:eastAsia="zh-CN" w:bidi="ar"/>
              </w:rPr>
              <w:t>桌面挡板用亚克力磨砂挡板，</w:t>
            </w:r>
            <w:bookmarkStart w:id="2" w:name="_GoBack"/>
            <w:bookmarkEnd w:id="2"/>
            <w:r>
              <w:rPr>
                <w:rStyle w:val="7"/>
                <w:rFonts w:hint="eastAsia"/>
                <w:sz w:val="22"/>
                <w:szCs w:val="22"/>
                <w:lang w:val="en-US" w:eastAsia="zh-CN" w:bidi="ar"/>
              </w:rPr>
              <w:t>全新高透亚克力，板材厚度：4mm，边角精磨圆角</w:t>
            </w:r>
            <w:r>
              <w:rPr>
                <w:rStyle w:val="7"/>
                <w:sz w:val="22"/>
                <w:szCs w:val="22"/>
                <w:lang w:val="en-US" w:eastAsia="zh-CN" w:bidi="ar"/>
              </w:rPr>
              <w:t>。</w:t>
            </w:r>
            <w:r>
              <w:rPr>
                <w:rStyle w:val="7"/>
                <w:rFonts w:hint="eastAsia"/>
                <w:sz w:val="22"/>
                <w:szCs w:val="22"/>
                <w:lang w:val="en-US" w:eastAsia="zh-CN" w:bidi="ar"/>
              </w:rPr>
              <w:t>搭配钢制固定夹。桌面</w:t>
            </w:r>
            <w:r>
              <w:rPr>
                <w:rStyle w:val="7"/>
                <w:sz w:val="22"/>
                <w:szCs w:val="22"/>
                <w:lang w:val="en-US" w:eastAsia="zh-CN" w:bidi="ar"/>
              </w:rPr>
              <w:t>阅读灯尺寸：1450*90*50*450</w:t>
            </w:r>
            <w:r>
              <w:rPr>
                <w:rStyle w:val="7"/>
                <w:rFonts w:hint="eastAsia"/>
                <w:sz w:val="22"/>
                <w:szCs w:val="22"/>
                <w:lang w:val="en-US" w:eastAsia="zh-CN" w:bidi="ar"/>
              </w:rPr>
              <w:t>mm,</w:t>
            </w:r>
            <w:r>
              <w:rPr>
                <w:rStyle w:val="7"/>
                <w:sz w:val="22"/>
                <w:szCs w:val="22"/>
                <w:lang w:val="en-US" w:eastAsia="zh-CN" w:bidi="ar"/>
              </w:rPr>
              <w:t>桌上灯架整体采用≥1.0mm厚铁板折弯。2个插座模组（包含2个五孔插座，2个 USB快速充电1个TYPE C）。</w:t>
            </w:r>
            <w:r>
              <w:rPr>
                <w:rStyle w:val="8"/>
                <w:color w:val="auto"/>
                <w:sz w:val="22"/>
                <w:szCs w:val="22"/>
                <w:lang w:val="en-US" w:eastAsia="zh-CN" w:bidi="ar"/>
              </w:rPr>
              <w:t>电线配</w:t>
            </w:r>
            <w:r>
              <w:rPr>
                <w:rStyle w:val="8"/>
                <w:rFonts w:hint="eastAsia"/>
                <w:color w:val="auto"/>
                <w:sz w:val="22"/>
                <w:szCs w:val="22"/>
                <w:lang w:val="en-US" w:eastAsia="zh-CN" w:bidi="ar"/>
              </w:rPr>
              <w:t>1.2米长3*2.5</w:t>
            </w:r>
            <w:r>
              <w:rPr>
                <w:rStyle w:val="8"/>
                <w:color w:val="auto"/>
                <w:sz w:val="22"/>
                <w:szCs w:val="22"/>
                <w:lang w:val="en-US" w:eastAsia="zh-CN" w:bidi="ar"/>
              </w:rPr>
              <w:t>方</w:t>
            </w:r>
            <w:r>
              <w:rPr>
                <w:rStyle w:val="8"/>
                <w:rFonts w:hint="eastAsia"/>
                <w:color w:val="auto"/>
                <w:sz w:val="22"/>
                <w:szCs w:val="22"/>
                <w:lang w:val="en-US" w:eastAsia="zh-CN" w:bidi="ar"/>
              </w:rPr>
              <w:t>三芯</w:t>
            </w:r>
            <w:r>
              <w:rPr>
                <w:rStyle w:val="8"/>
                <w:color w:val="auto"/>
                <w:sz w:val="22"/>
                <w:szCs w:val="22"/>
                <w:lang w:val="en-US" w:eastAsia="zh-CN" w:bidi="ar"/>
              </w:rPr>
              <w:t>铜线</w:t>
            </w:r>
            <w:r>
              <w:rPr>
                <w:rStyle w:val="7"/>
                <w:color w:val="auto"/>
                <w:sz w:val="22"/>
                <w:szCs w:val="22"/>
                <w:lang w:val="en-US" w:eastAsia="zh-CN" w:bidi="ar"/>
              </w:rPr>
              <w:t>，灯</w:t>
            </w:r>
            <w:r>
              <w:rPr>
                <w:rStyle w:val="7"/>
                <w:sz w:val="22"/>
                <w:szCs w:val="22"/>
                <w:lang w:val="en-US" w:eastAsia="zh-CN" w:bidi="ar"/>
              </w:rPr>
              <w:t>架开关用便捷按压式开关，控制</w:t>
            </w:r>
            <w:r>
              <w:rPr>
                <w:rStyle w:val="7"/>
                <w:rFonts w:hint="eastAsia"/>
                <w:sz w:val="22"/>
                <w:szCs w:val="22"/>
                <w:lang w:val="en-US" w:eastAsia="zh-CN" w:bidi="ar"/>
              </w:rPr>
              <w:t>驱动电源</w:t>
            </w:r>
            <w:r>
              <w:rPr>
                <w:rStyle w:val="7"/>
                <w:sz w:val="22"/>
                <w:szCs w:val="22"/>
                <w:lang w:val="en-US" w:eastAsia="zh-CN" w:bidi="ar"/>
              </w:rPr>
              <w:t>装置属于3C和强制节能产品的。过线：下桩钢脚中柱上下开有过线孔，灯架线路可通到钢架底部。</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FF196">
            <w:pPr>
              <w:keepNext w:val="0"/>
              <w:keepLines w:val="0"/>
              <w:widowControl/>
              <w:suppressLineNumbers w:val="0"/>
              <w:jc w:val="left"/>
              <w:textAlignment w:val="center"/>
              <w:rPr>
                <w:rFonts w:hint="eastAsia" w:ascii="宋体" w:hAnsi="宋体" w:eastAsia="宋体" w:cs="宋体"/>
                <w:i w:val="0"/>
                <w:iCs w:val="0"/>
                <w:color w:val="auto"/>
                <w:sz w:val="24"/>
                <w:szCs w:val="24"/>
                <w:u w:val="none"/>
                <w:lang w:eastAsia="zh-CN"/>
              </w:rPr>
            </w:pPr>
          </w:p>
        </w:tc>
      </w:tr>
      <w:tr w14:paraId="0FBFE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20" w:hRule="atLeast"/>
        </w:trPr>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30533">
            <w:pPr>
              <w:keepNext w:val="0"/>
              <w:keepLines w:val="0"/>
              <w:widowControl/>
              <w:suppressLineNumbers w:val="0"/>
              <w:jc w:val="center"/>
              <w:textAlignment w:val="center"/>
              <w:rPr>
                <w:rFonts w:hint="eastAsia"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2</w:t>
            </w:r>
          </w:p>
        </w:tc>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A1AC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二楼自习室</w:t>
            </w:r>
          </w:p>
        </w:tc>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6543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阅览桌</w:t>
            </w:r>
          </w:p>
        </w:tc>
        <w:tc>
          <w:tcPr>
            <w:tcW w:w="11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71392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sz w:val="20"/>
                <w:szCs w:val="22"/>
              </w:rPr>
              <w:drawing>
                <wp:inline distT="0" distB="0" distL="114300" distR="114300">
                  <wp:extent cx="1305560" cy="1067435"/>
                  <wp:effectExtent l="0" t="0" r="8890" b="18415"/>
                  <wp:docPr id="34"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3"/>
                          <pic:cNvPicPr>
                            <a:picLocks noChangeAspect="1"/>
                          </pic:cNvPicPr>
                        </pic:nvPicPr>
                        <pic:blipFill>
                          <a:blip r:embed="rId4"/>
                          <a:stretch>
                            <a:fillRect/>
                          </a:stretch>
                        </pic:blipFill>
                        <pic:spPr>
                          <a:xfrm>
                            <a:off x="0" y="0"/>
                            <a:ext cx="1305560" cy="1067435"/>
                          </a:xfrm>
                          <a:prstGeom prst="rect">
                            <a:avLst/>
                          </a:prstGeom>
                          <a:noFill/>
                          <a:ln w="9525">
                            <a:noFill/>
                          </a:ln>
                        </pic:spPr>
                      </pic:pic>
                    </a:graphicData>
                  </a:graphic>
                </wp:inline>
              </w:drawing>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BEAF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000000"/>
                <w:kern w:val="0"/>
                <w:sz w:val="22"/>
                <w:szCs w:val="22"/>
                <w:u w:val="none"/>
                <w:lang w:val="en-US" w:eastAsia="zh-CN" w:bidi="ar"/>
              </w:rPr>
              <w:t>2100*1200*750/1200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3EECB">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eastAsia="zh-CN"/>
              </w:rPr>
              <w:t>多层板</w:t>
            </w:r>
            <w:r>
              <w:rPr>
                <w:rFonts w:hint="eastAsia" w:ascii="宋体" w:hAnsi="宋体" w:eastAsia="宋体" w:cs="宋体"/>
                <w:i w:val="0"/>
                <w:iCs w:val="0"/>
                <w:color w:val="auto"/>
                <w:sz w:val="22"/>
                <w:szCs w:val="22"/>
                <w:u w:val="none"/>
                <w:lang w:val="en-US" w:eastAsia="zh-CN"/>
              </w:rPr>
              <w:t>+</w:t>
            </w:r>
            <w:r>
              <w:rPr>
                <w:rFonts w:hint="eastAsia" w:ascii="宋体" w:hAnsi="宋体" w:eastAsia="宋体" w:cs="宋体"/>
                <w:i w:val="0"/>
                <w:iCs w:val="0"/>
                <w:color w:val="auto"/>
                <w:sz w:val="22"/>
                <w:szCs w:val="22"/>
                <w:u w:val="none"/>
                <w:lang w:eastAsia="zh-CN"/>
              </w:rPr>
              <w:t>灯架</w:t>
            </w:r>
            <w:r>
              <w:rPr>
                <w:rFonts w:hint="eastAsia" w:ascii="宋体" w:hAnsi="宋体" w:eastAsia="宋体" w:cs="宋体"/>
                <w:i w:val="0"/>
                <w:iCs w:val="0"/>
                <w:color w:val="auto"/>
                <w:sz w:val="22"/>
                <w:szCs w:val="22"/>
                <w:u w:val="none"/>
                <w:lang w:val="en-US" w:eastAsia="zh-CN"/>
              </w:rPr>
              <w:t>+钢架+亚克力挡板</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DA94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B06A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51E46">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default" w:ascii="宋体" w:hAnsi="宋体" w:eastAsia="宋体" w:cs="宋体"/>
                <w:i w:val="0"/>
                <w:iCs w:val="0"/>
                <w:color w:val="auto"/>
                <w:sz w:val="22"/>
                <w:szCs w:val="22"/>
                <w:u w:val="none"/>
                <w:lang w:val="en-US"/>
              </w:rPr>
              <w:t>1660</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736ED">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default" w:ascii="宋体" w:hAnsi="宋体" w:eastAsia="宋体" w:cs="宋体"/>
                <w:i w:val="0"/>
                <w:iCs w:val="0"/>
                <w:color w:val="auto"/>
                <w:sz w:val="22"/>
                <w:szCs w:val="22"/>
                <w:u w:val="none"/>
                <w:lang w:val="en-US"/>
              </w:rPr>
              <w:t>23240</w:t>
            </w:r>
          </w:p>
        </w:tc>
        <w:tc>
          <w:tcPr>
            <w:tcW w:w="8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714BD">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Style w:val="7"/>
                <w:rFonts w:hint="eastAsia"/>
                <w:sz w:val="22"/>
                <w:szCs w:val="22"/>
                <w:lang w:val="en-US" w:eastAsia="zh-CN" w:bidi="ar"/>
              </w:rPr>
              <w:t>桌面用三聚氰胺板基材：25mm多层板，桌脚：采用方形管焊接口字框。拉杆采用矩形钢管，中间桌脚使用方管宽度加强梁使用厚梅花管连接</w:t>
            </w:r>
            <w:r>
              <w:rPr>
                <w:rStyle w:val="7"/>
                <w:sz w:val="22"/>
                <w:szCs w:val="22"/>
                <w:lang w:val="en-US" w:eastAsia="zh-CN" w:bidi="ar"/>
              </w:rPr>
              <w:t>。</w:t>
            </w:r>
            <w:r>
              <w:rPr>
                <w:rStyle w:val="7"/>
                <w:rFonts w:hint="eastAsia"/>
                <w:sz w:val="22"/>
                <w:szCs w:val="22"/>
                <w:lang w:val="en-US" w:eastAsia="zh-CN" w:bidi="ar"/>
              </w:rPr>
              <w:t>桌面挡板用亚克力磨砂挡板</w:t>
            </w:r>
            <w:r>
              <w:rPr>
                <w:rStyle w:val="7"/>
                <w:sz w:val="22"/>
                <w:szCs w:val="22"/>
                <w:lang w:val="en-US" w:eastAsia="zh-CN" w:bidi="ar"/>
              </w:rPr>
              <w:t>，</w:t>
            </w:r>
            <w:r>
              <w:rPr>
                <w:rStyle w:val="7"/>
                <w:rFonts w:hint="eastAsia"/>
                <w:sz w:val="22"/>
                <w:szCs w:val="22"/>
                <w:lang w:val="en-US" w:eastAsia="zh-CN" w:bidi="ar"/>
              </w:rPr>
              <w:t>全新高透亚克力，板材厚度：4mm边角精磨圆角</w:t>
            </w:r>
            <w:r>
              <w:rPr>
                <w:rStyle w:val="7"/>
                <w:sz w:val="22"/>
                <w:szCs w:val="22"/>
                <w:lang w:val="en-US" w:eastAsia="zh-CN" w:bidi="ar"/>
              </w:rPr>
              <w:t>。</w:t>
            </w:r>
            <w:r>
              <w:rPr>
                <w:rStyle w:val="7"/>
                <w:rFonts w:hint="eastAsia"/>
                <w:sz w:val="22"/>
                <w:szCs w:val="22"/>
                <w:lang w:val="en-US" w:eastAsia="zh-CN" w:bidi="ar"/>
              </w:rPr>
              <w:t>搭配钢制固定夹。桌面</w:t>
            </w:r>
            <w:r>
              <w:rPr>
                <w:rStyle w:val="7"/>
                <w:sz w:val="22"/>
                <w:szCs w:val="22"/>
                <w:lang w:val="en-US" w:eastAsia="zh-CN" w:bidi="ar"/>
              </w:rPr>
              <w:t>阅读灯尺寸：1450*90*50*450</w:t>
            </w:r>
            <w:r>
              <w:rPr>
                <w:rStyle w:val="7"/>
                <w:rFonts w:hint="eastAsia"/>
                <w:sz w:val="22"/>
                <w:szCs w:val="22"/>
                <w:lang w:val="en-US" w:eastAsia="zh-CN" w:bidi="ar"/>
              </w:rPr>
              <w:t>mm,</w:t>
            </w:r>
            <w:r>
              <w:rPr>
                <w:rStyle w:val="7"/>
                <w:sz w:val="22"/>
                <w:szCs w:val="22"/>
                <w:lang w:val="en-US" w:eastAsia="zh-CN" w:bidi="ar"/>
              </w:rPr>
              <w:t>桌上灯架整体采用≥1.0mm厚铁板折弯。2个插座模组（包含2个五孔插座，2个 USB快速充电1个TYPE C）。</w:t>
            </w:r>
            <w:r>
              <w:rPr>
                <w:rStyle w:val="8"/>
                <w:color w:val="auto"/>
                <w:sz w:val="22"/>
                <w:szCs w:val="22"/>
                <w:lang w:val="en-US" w:eastAsia="zh-CN" w:bidi="ar"/>
              </w:rPr>
              <w:t>电线配</w:t>
            </w:r>
            <w:r>
              <w:rPr>
                <w:rStyle w:val="8"/>
                <w:rFonts w:hint="eastAsia"/>
                <w:color w:val="auto"/>
                <w:sz w:val="22"/>
                <w:szCs w:val="22"/>
                <w:lang w:val="en-US" w:eastAsia="zh-CN" w:bidi="ar"/>
              </w:rPr>
              <w:t>1.2米长3*2.5</w:t>
            </w:r>
            <w:r>
              <w:rPr>
                <w:rStyle w:val="8"/>
                <w:color w:val="auto"/>
                <w:sz w:val="22"/>
                <w:szCs w:val="22"/>
                <w:lang w:val="en-US" w:eastAsia="zh-CN" w:bidi="ar"/>
              </w:rPr>
              <w:t>方</w:t>
            </w:r>
            <w:r>
              <w:rPr>
                <w:rStyle w:val="8"/>
                <w:rFonts w:hint="eastAsia"/>
                <w:color w:val="auto"/>
                <w:sz w:val="22"/>
                <w:szCs w:val="22"/>
                <w:lang w:val="en-US" w:eastAsia="zh-CN" w:bidi="ar"/>
              </w:rPr>
              <w:t>三芯</w:t>
            </w:r>
            <w:r>
              <w:rPr>
                <w:rStyle w:val="8"/>
                <w:color w:val="auto"/>
                <w:sz w:val="22"/>
                <w:szCs w:val="22"/>
                <w:lang w:val="en-US" w:eastAsia="zh-CN" w:bidi="ar"/>
              </w:rPr>
              <w:t>铜线</w:t>
            </w:r>
            <w:r>
              <w:rPr>
                <w:rStyle w:val="7"/>
                <w:color w:val="auto"/>
                <w:sz w:val="22"/>
                <w:szCs w:val="22"/>
                <w:lang w:val="en-US" w:eastAsia="zh-CN" w:bidi="ar"/>
              </w:rPr>
              <w:t>，灯</w:t>
            </w:r>
            <w:r>
              <w:rPr>
                <w:rStyle w:val="7"/>
                <w:sz w:val="22"/>
                <w:szCs w:val="22"/>
                <w:lang w:val="en-US" w:eastAsia="zh-CN" w:bidi="ar"/>
              </w:rPr>
              <w:t>架开关用便捷按压式开关，控制</w:t>
            </w:r>
            <w:r>
              <w:rPr>
                <w:rStyle w:val="7"/>
                <w:rFonts w:hint="eastAsia"/>
                <w:sz w:val="22"/>
                <w:szCs w:val="22"/>
                <w:lang w:val="en-US" w:eastAsia="zh-CN" w:bidi="ar"/>
              </w:rPr>
              <w:t>驱动电源</w:t>
            </w:r>
            <w:r>
              <w:rPr>
                <w:rStyle w:val="7"/>
                <w:sz w:val="22"/>
                <w:szCs w:val="22"/>
                <w:lang w:val="en-US" w:eastAsia="zh-CN" w:bidi="ar"/>
              </w:rPr>
              <w:t>装置属于3C和强制节能产品的。过线：下桩钢脚中柱上下开有过线孔，灯架线路可通到钢架底部。</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C216B">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p>
        </w:tc>
      </w:tr>
      <w:tr w14:paraId="5CD1B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5" w:hRule="atLeast"/>
        </w:trPr>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9000D">
            <w:pPr>
              <w:keepNext w:val="0"/>
              <w:keepLines w:val="0"/>
              <w:widowControl/>
              <w:suppressLineNumbers w:val="0"/>
              <w:jc w:val="center"/>
              <w:textAlignment w:val="center"/>
              <w:rPr>
                <w:rFonts w:hint="eastAsia"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3</w:t>
            </w:r>
          </w:p>
        </w:tc>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1CCA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二楼自习室</w:t>
            </w:r>
          </w:p>
        </w:tc>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BB07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阅览椅</w:t>
            </w:r>
          </w:p>
        </w:tc>
        <w:tc>
          <w:tcPr>
            <w:tcW w:w="11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EF5EC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sz w:val="20"/>
                <w:szCs w:val="22"/>
              </w:rPr>
              <w:drawing>
                <wp:inline distT="0" distB="0" distL="114300" distR="114300">
                  <wp:extent cx="995680" cy="1464310"/>
                  <wp:effectExtent l="0" t="0" r="13970" b="2540"/>
                  <wp:docPr id="32"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1"/>
                          <pic:cNvPicPr>
                            <a:picLocks noChangeAspect="1"/>
                          </pic:cNvPicPr>
                        </pic:nvPicPr>
                        <pic:blipFill>
                          <a:blip r:embed="rId6"/>
                          <a:stretch>
                            <a:fillRect/>
                          </a:stretch>
                        </pic:blipFill>
                        <pic:spPr>
                          <a:xfrm>
                            <a:off x="0" y="0"/>
                            <a:ext cx="995680" cy="1464310"/>
                          </a:xfrm>
                          <a:prstGeom prst="rect">
                            <a:avLst/>
                          </a:prstGeom>
                          <a:noFill/>
                          <a:ln w="9525">
                            <a:noFill/>
                          </a:ln>
                        </pic:spPr>
                      </pic:pic>
                    </a:graphicData>
                  </a:graphic>
                </wp:inline>
              </w:drawing>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813A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000000"/>
                <w:kern w:val="0"/>
                <w:sz w:val="22"/>
                <w:szCs w:val="22"/>
                <w:u w:val="none"/>
                <w:lang w:val="en-US" w:eastAsia="zh-CN" w:bidi="ar"/>
              </w:rPr>
              <w:t>450*450*880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24C98">
            <w:pPr>
              <w:keepNext w:val="0"/>
              <w:keepLines w:val="0"/>
              <w:widowControl/>
              <w:suppressLineNumbers w:val="0"/>
              <w:jc w:val="center"/>
              <w:textAlignment w:val="center"/>
              <w:rPr>
                <w:rFonts w:hint="eastAsia" w:ascii="宋体" w:hAnsi="宋体" w:eastAsia="宋体" w:cs="宋体"/>
                <w:i w:val="0"/>
                <w:iCs w:val="0"/>
                <w:color w:val="auto"/>
                <w:sz w:val="22"/>
                <w:szCs w:val="22"/>
                <w:u w:val="none"/>
                <w:lang w:eastAsia="zh-CN"/>
              </w:rPr>
            </w:pPr>
            <w:r>
              <w:rPr>
                <w:rFonts w:hint="eastAsia" w:ascii="宋体" w:hAnsi="宋体" w:eastAsia="宋体" w:cs="宋体"/>
                <w:i w:val="0"/>
                <w:iCs w:val="0"/>
                <w:color w:val="auto"/>
                <w:sz w:val="22"/>
                <w:szCs w:val="22"/>
                <w:u w:val="none"/>
                <w:lang w:eastAsia="zh-CN"/>
              </w:rPr>
              <w:t>橡</w:t>
            </w:r>
            <w:r>
              <w:rPr>
                <w:rFonts w:hint="eastAsia" w:ascii="宋体" w:hAnsi="宋体" w:eastAsia="宋体" w:cs="宋体"/>
                <w:i w:val="0"/>
                <w:iCs w:val="0"/>
                <w:color w:val="auto"/>
                <w:sz w:val="22"/>
                <w:szCs w:val="22"/>
                <w:u w:val="none"/>
                <w:lang w:val="en-US" w:eastAsia="zh-CN"/>
              </w:rPr>
              <w:t>胶</w:t>
            </w:r>
            <w:r>
              <w:rPr>
                <w:rFonts w:hint="eastAsia" w:ascii="宋体" w:hAnsi="宋体" w:eastAsia="宋体" w:cs="宋体"/>
                <w:i w:val="0"/>
                <w:iCs w:val="0"/>
                <w:color w:val="auto"/>
                <w:sz w:val="22"/>
                <w:szCs w:val="22"/>
                <w:u w:val="none"/>
                <w:lang w:eastAsia="zh-CN"/>
              </w:rPr>
              <w:t>木</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9A13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98031">
            <w:pPr>
              <w:keepNext w:val="0"/>
              <w:keepLines w:val="0"/>
              <w:widowControl/>
              <w:suppressLineNumbers w:val="0"/>
              <w:jc w:val="center"/>
              <w:textAlignment w:val="center"/>
              <w:rPr>
                <w:rFonts w:hint="eastAsia"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张</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C9272">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default" w:ascii="宋体" w:hAnsi="宋体" w:eastAsia="宋体" w:cs="宋体"/>
                <w:i w:val="0"/>
                <w:iCs w:val="0"/>
                <w:color w:val="auto"/>
                <w:sz w:val="22"/>
                <w:szCs w:val="22"/>
                <w:u w:val="none"/>
                <w:lang w:val="en-US"/>
              </w:rPr>
              <w:t>200</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45171">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default" w:ascii="宋体" w:hAnsi="宋体" w:eastAsia="宋体" w:cs="宋体"/>
                <w:i w:val="0"/>
                <w:iCs w:val="0"/>
                <w:color w:val="auto"/>
                <w:sz w:val="22"/>
                <w:szCs w:val="22"/>
                <w:u w:val="none"/>
                <w:lang w:val="en-US"/>
              </w:rPr>
              <w:t>36000</w:t>
            </w:r>
          </w:p>
        </w:tc>
        <w:tc>
          <w:tcPr>
            <w:tcW w:w="8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31CD7">
            <w:pPr>
              <w:numPr>
                <w:ilvl w:val="0"/>
                <w:numId w:val="1"/>
              </w:numPr>
              <w:spacing w:line="360" w:lineRule="exact"/>
              <w:ind w:left="105" w:leftChars="50" w:right="105" w:rightChars="50"/>
              <w:jc w:val="left"/>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000000"/>
                <w:kern w:val="0"/>
                <w:sz w:val="22"/>
                <w:szCs w:val="22"/>
                <w:u w:val="none"/>
                <w:lang w:val="en-US" w:eastAsia="zh-CN" w:bidi="ar"/>
              </w:rPr>
              <w:t>基材：橡胶木实木脚架和靠背，凳面橡木指接板含水率≤9%，经高温烘烤，防虫、防霉变；表面采用水性清漆处理，抗磨花能力强、防水性能好。                                                                          油漆：采用品牌环保油性漆，有害物质释放量达到国家相关环保标准；；封闭底着色油漆工艺，经四底两面，清晰体现实木质感。 坐板：E1级橡木指接板</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287FE">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p>
        </w:tc>
      </w:tr>
      <w:tr w14:paraId="2E7AD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4" w:hRule="atLeast"/>
        </w:trPr>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B3880">
            <w:pPr>
              <w:keepNext w:val="0"/>
              <w:keepLines w:val="0"/>
              <w:widowControl/>
              <w:suppressLineNumbers w:val="0"/>
              <w:jc w:val="center"/>
              <w:textAlignment w:val="center"/>
              <w:rPr>
                <w:rFonts w:hint="eastAsia"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4</w:t>
            </w:r>
          </w:p>
        </w:tc>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3EE8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二楼个人研习区</w:t>
            </w:r>
          </w:p>
        </w:tc>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91CB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折叠阅览桌</w:t>
            </w:r>
          </w:p>
        </w:tc>
        <w:tc>
          <w:tcPr>
            <w:tcW w:w="11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81517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sz w:val="20"/>
                <w:szCs w:val="22"/>
              </w:rPr>
              <w:drawing>
                <wp:inline distT="0" distB="0" distL="114300" distR="114300">
                  <wp:extent cx="1499870" cy="1114425"/>
                  <wp:effectExtent l="0" t="0" r="5080" b="9525"/>
                  <wp:docPr id="1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pic:cNvPicPr>
                            <a:picLocks noChangeAspect="1"/>
                          </pic:cNvPicPr>
                        </pic:nvPicPr>
                        <pic:blipFill>
                          <a:blip r:embed="rId7"/>
                          <a:stretch>
                            <a:fillRect/>
                          </a:stretch>
                        </pic:blipFill>
                        <pic:spPr>
                          <a:xfrm>
                            <a:off x="0" y="0"/>
                            <a:ext cx="1499870" cy="1114425"/>
                          </a:xfrm>
                          <a:prstGeom prst="rect">
                            <a:avLst/>
                          </a:prstGeom>
                          <a:noFill/>
                          <a:ln w="9525">
                            <a:noFill/>
                          </a:ln>
                        </pic:spPr>
                      </pic:pic>
                    </a:graphicData>
                  </a:graphic>
                </wp:inline>
              </w:drawing>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0B1F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000000"/>
                <w:kern w:val="0"/>
                <w:sz w:val="22"/>
                <w:szCs w:val="22"/>
                <w:u w:val="none"/>
                <w:lang w:val="en-US" w:eastAsia="zh-CN" w:bidi="ar"/>
              </w:rPr>
              <w:t>1200×600×750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49FA9">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eastAsia="zh-CN"/>
              </w:rPr>
              <w:t>刨花板</w:t>
            </w:r>
            <w:r>
              <w:rPr>
                <w:rFonts w:hint="eastAsia" w:ascii="宋体" w:hAnsi="宋体" w:eastAsia="宋体" w:cs="宋体"/>
                <w:i w:val="0"/>
                <w:iCs w:val="0"/>
                <w:color w:val="auto"/>
                <w:sz w:val="22"/>
                <w:szCs w:val="22"/>
                <w:u w:val="none"/>
                <w:lang w:val="en-US" w:eastAsia="zh-CN"/>
              </w:rPr>
              <w:t>+钢架</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74E0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BDD0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F8374">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default" w:ascii="宋体" w:hAnsi="宋体" w:eastAsia="宋体" w:cs="宋体"/>
                <w:i w:val="0"/>
                <w:iCs w:val="0"/>
                <w:color w:val="auto"/>
                <w:sz w:val="22"/>
                <w:szCs w:val="22"/>
                <w:u w:val="none"/>
                <w:lang w:val="en-US"/>
              </w:rPr>
              <w:t>560</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18249">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default" w:ascii="宋体" w:hAnsi="宋体" w:eastAsia="宋体" w:cs="宋体"/>
                <w:i w:val="0"/>
                <w:iCs w:val="0"/>
                <w:color w:val="auto"/>
                <w:sz w:val="22"/>
                <w:szCs w:val="22"/>
                <w:u w:val="none"/>
                <w:lang w:val="en-US"/>
              </w:rPr>
              <w:t>5600</w:t>
            </w:r>
          </w:p>
        </w:tc>
        <w:tc>
          <w:tcPr>
            <w:tcW w:w="8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67A24">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105" w:leftChars="50" w:right="105" w:rightChars="50"/>
              <w:textAlignment w:val="auto"/>
              <w:rPr>
                <w:rFonts w:hint="eastAsia" w:ascii="宋体" w:hAnsi="宋体" w:eastAsia="宋体" w:cs="宋体"/>
                <w:i w:val="0"/>
                <w:iCs w:val="0"/>
                <w:color w:val="auto"/>
                <w:kern w:val="2"/>
                <w:sz w:val="21"/>
                <w:szCs w:val="21"/>
                <w:u w:val="none"/>
                <w:lang w:val="en-US" w:eastAsia="zh-CN" w:bidi="ar-SA"/>
              </w:rPr>
            </w:pPr>
            <w:r>
              <w:rPr>
                <w:rStyle w:val="9"/>
                <w:sz w:val="21"/>
                <w:szCs w:val="21"/>
                <w:lang w:val="en-US" w:eastAsia="zh-CN" w:bidi="ar"/>
              </w:rPr>
              <w:t>采用优质刨花板（三聚氰胺板），参数均符合国家最新E0级环保标准，。长为1200mm，宽为600mm，厚度25mm，面粘三聚氰胺胶面，采用优质PVC封边条，厚度1.5mm，挡板尺寸厚度15mm，面粘面粘三聚氰胺胶板， 采用优质PVC封边条，厚度1.0mm书网采用优质φ14MM圆管</w:t>
            </w:r>
            <w:r>
              <w:rPr>
                <w:rStyle w:val="10"/>
                <w:color w:val="auto"/>
                <w:sz w:val="21"/>
                <w:szCs w:val="21"/>
                <w:lang w:val="en-US" w:eastAsia="zh-CN" w:bidi="ar"/>
              </w:rPr>
              <w:t>脚不用万向轮，用固定脚；</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B5594">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p>
        </w:tc>
      </w:tr>
      <w:tr w14:paraId="729F2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4D5AE">
            <w:pPr>
              <w:keepNext w:val="0"/>
              <w:keepLines w:val="0"/>
              <w:widowControl/>
              <w:suppressLineNumbers w:val="0"/>
              <w:jc w:val="center"/>
              <w:textAlignment w:val="center"/>
              <w:rPr>
                <w:rFonts w:hint="eastAsia"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5</w:t>
            </w:r>
          </w:p>
        </w:tc>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F7BC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二楼个人研习区</w:t>
            </w:r>
          </w:p>
        </w:tc>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755F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阅览椅</w:t>
            </w:r>
          </w:p>
        </w:tc>
        <w:tc>
          <w:tcPr>
            <w:tcW w:w="11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A33ED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sz w:val="20"/>
                <w:szCs w:val="22"/>
              </w:rPr>
              <w:drawing>
                <wp:inline distT="0" distB="0" distL="114300" distR="114300">
                  <wp:extent cx="1077595" cy="1374140"/>
                  <wp:effectExtent l="0" t="0" r="8255" b="16510"/>
                  <wp:docPr id="33"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2"/>
                          <pic:cNvPicPr>
                            <a:picLocks noChangeAspect="1"/>
                          </pic:cNvPicPr>
                        </pic:nvPicPr>
                        <pic:blipFill>
                          <a:blip r:embed="rId8"/>
                          <a:stretch>
                            <a:fillRect/>
                          </a:stretch>
                        </pic:blipFill>
                        <pic:spPr>
                          <a:xfrm>
                            <a:off x="0" y="0"/>
                            <a:ext cx="1077595" cy="1374140"/>
                          </a:xfrm>
                          <a:prstGeom prst="rect">
                            <a:avLst/>
                          </a:prstGeom>
                          <a:noFill/>
                          <a:ln w="9525">
                            <a:noFill/>
                          </a:ln>
                        </pic:spPr>
                      </pic:pic>
                    </a:graphicData>
                  </a:graphic>
                </wp:inline>
              </w:drawing>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8BAD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000000"/>
                <w:kern w:val="0"/>
                <w:sz w:val="22"/>
                <w:szCs w:val="22"/>
                <w:u w:val="none"/>
                <w:lang w:val="en-US" w:eastAsia="zh-CN" w:bidi="ar"/>
              </w:rPr>
              <w:t>600*600*840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9EAF5">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eastAsia="zh-CN"/>
              </w:rPr>
              <w:t>网布</w:t>
            </w:r>
            <w:r>
              <w:rPr>
                <w:rFonts w:hint="eastAsia" w:ascii="宋体" w:hAnsi="宋体" w:eastAsia="宋体" w:cs="宋体"/>
                <w:i w:val="0"/>
                <w:iCs w:val="0"/>
                <w:color w:val="auto"/>
                <w:sz w:val="22"/>
                <w:szCs w:val="22"/>
                <w:u w:val="none"/>
                <w:lang w:val="en-US" w:eastAsia="zh-CN"/>
              </w:rPr>
              <w:t>+椅架、靠背+全铝合金连接件</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F571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619B0">
            <w:pPr>
              <w:keepNext w:val="0"/>
              <w:keepLines w:val="0"/>
              <w:widowControl/>
              <w:suppressLineNumbers w:val="0"/>
              <w:jc w:val="center"/>
              <w:textAlignment w:val="center"/>
              <w:rPr>
                <w:rFonts w:hint="eastAsia"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张</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60745">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eastAsia="zh-CN"/>
              </w:rPr>
            </w:pPr>
            <w:r>
              <w:rPr>
                <w:rFonts w:hint="default" w:ascii="宋体" w:hAnsi="宋体" w:eastAsia="宋体" w:cs="宋体"/>
                <w:i w:val="0"/>
                <w:iCs w:val="0"/>
                <w:color w:val="auto"/>
                <w:sz w:val="22"/>
                <w:szCs w:val="22"/>
                <w:u w:val="none"/>
                <w:lang w:val="en-US"/>
              </w:rPr>
              <w:t>3</w:t>
            </w:r>
            <w:r>
              <w:rPr>
                <w:rFonts w:hint="eastAsia" w:ascii="宋体" w:hAnsi="宋体" w:eastAsia="宋体" w:cs="宋体"/>
                <w:i w:val="0"/>
                <w:iCs w:val="0"/>
                <w:color w:val="auto"/>
                <w:sz w:val="22"/>
                <w:szCs w:val="22"/>
                <w:u w:val="none"/>
                <w:lang w:val="en-US" w:eastAsia="zh-CN"/>
              </w:rPr>
              <w:t>30</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29440">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default" w:ascii="宋体" w:hAnsi="宋体" w:eastAsia="宋体" w:cs="宋体"/>
                <w:i w:val="0"/>
                <w:iCs w:val="0"/>
                <w:color w:val="auto"/>
                <w:sz w:val="22"/>
                <w:szCs w:val="22"/>
                <w:u w:val="none"/>
                <w:lang w:val="en-US"/>
              </w:rPr>
              <w:t>3960</w:t>
            </w:r>
          </w:p>
        </w:tc>
        <w:tc>
          <w:tcPr>
            <w:tcW w:w="8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8F364">
            <w:pPr>
              <w:keepNext w:val="0"/>
              <w:keepLines w:val="0"/>
              <w:widowControl/>
              <w:suppressLineNumbers w:val="0"/>
              <w:jc w:val="left"/>
              <w:textAlignment w:val="center"/>
              <w:rPr>
                <w:rFonts w:hint="default"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2"/>
                <w:sz w:val="21"/>
                <w:szCs w:val="21"/>
                <w:u w:val="none"/>
                <w:lang w:val="en-US" w:eastAsia="zh-CN" w:bidi="ar-SA"/>
              </w:rPr>
              <w:t>椅高：840  椅长：600  椅宽：600</w:t>
            </w:r>
          </w:p>
          <w:p w14:paraId="7CB57C6C">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2"/>
                <w:sz w:val="21"/>
                <w:szCs w:val="21"/>
                <w:u w:val="none"/>
                <w:lang w:val="en-US" w:eastAsia="zh-CN" w:bidi="ar-SA"/>
              </w:rPr>
              <w:t xml:space="preserve">椅深：450  </w:t>
            </w:r>
          </w:p>
          <w:p w14:paraId="55E3992F">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2"/>
                <w:sz w:val="21"/>
                <w:szCs w:val="21"/>
                <w:u w:val="none"/>
                <w:lang w:val="en-US" w:eastAsia="zh-CN" w:bidi="ar-SA"/>
              </w:rPr>
              <w:t>椅背：全新进口玻纤，一体注塑成型，高强度弹性透气加密网布，精抛铝合金连接件，提供倾仰功能，椅座：采用高密度纯净海绵 ，重0.65kg，选用高弹力透气坐布，舒适透气，配PP工程塑料防尘底壳。</w:t>
            </w:r>
          </w:p>
          <w:p w14:paraId="7E4E1C30">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2"/>
                <w:sz w:val="21"/>
                <w:szCs w:val="21"/>
                <w:u w:val="none"/>
                <w:lang w:val="en-US" w:eastAsia="zh-CN" w:bidi="ar-SA"/>
              </w:rPr>
              <w:t>椅架：1.5mm优质Q235碳素钢管，精抛铝合金连接件扶手：前后滑动扶手，滑动距离2.5cm。</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409C2">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p>
        </w:tc>
      </w:tr>
      <w:tr w14:paraId="54BE6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39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B7C45AD">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eastAsia="zh-CN"/>
              </w:rPr>
              <w:t>人民币大写（元）：</w:t>
            </w:r>
            <w:r>
              <w:rPr>
                <w:rFonts w:hint="eastAsia" w:ascii="宋体" w:hAnsi="宋体" w:eastAsia="宋体" w:cs="宋体"/>
                <w:i w:val="0"/>
                <w:iCs w:val="0"/>
                <w:color w:val="auto"/>
                <w:sz w:val="22"/>
                <w:szCs w:val="22"/>
                <w:u w:val="none"/>
                <w:lang w:val="en-US" w:eastAsia="zh-CN"/>
              </w:rPr>
              <w:t>壹拾万元整</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B3493">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100000</w:t>
            </w:r>
          </w:p>
        </w:tc>
        <w:tc>
          <w:tcPr>
            <w:tcW w:w="8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DEAE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2E410">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p>
        </w:tc>
      </w:tr>
      <w:tr w14:paraId="3FF1F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trPr>
        <w:tc>
          <w:tcPr>
            <w:tcW w:w="788" w:type="pct"/>
            <w:gridSpan w:val="4"/>
            <w:shd w:val="clear" w:color="auto" w:fill="auto"/>
            <w:vAlign w:val="center"/>
          </w:tcPr>
          <w:p w14:paraId="6F350D3F">
            <w:pPr>
              <w:spacing w:line="400" w:lineRule="exact"/>
              <w:jc w:val="center"/>
              <w:rPr>
                <w:b/>
                <w:bCs/>
                <w:color w:val="auto"/>
              </w:rPr>
            </w:pPr>
            <w:r>
              <w:rPr>
                <w:rFonts w:hint="eastAsia"/>
                <w:b/>
                <w:bCs/>
                <w:color w:val="auto"/>
              </w:rPr>
              <w:t>★项目交货</w:t>
            </w:r>
          </w:p>
          <w:p w14:paraId="614A2105">
            <w:pPr>
              <w:spacing w:line="400" w:lineRule="exact"/>
              <w:jc w:val="center"/>
              <w:rPr>
                <w:b/>
                <w:bCs/>
                <w:color w:val="auto"/>
              </w:rPr>
            </w:pPr>
            <w:r>
              <w:rPr>
                <w:rFonts w:hint="eastAsia"/>
                <w:b/>
                <w:bCs/>
                <w:color w:val="auto"/>
              </w:rPr>
              <w:t>时间及地点</w:t>
            </w:r>
          </w:p>
        </w:tc>
        <w:tc>
          <w:tcPr>
            <w:tcW w:w="4211" w:type="pct"/>
            <w:gridSpan w:val="9"/>
            <w:shd w:val="clear" w:color="auto" w:fill="auto"/>
          </w:tcPr>
          <w:p w14:paraId="73E1B5D3">
            <w:pPr>
              <w:spacing w:line="360" w:lineRule="exact"/>
              <w:ind w:left="105" w:leftChars="50" w:right="105" w:rightChars="50"/>
              <w:rPr>
                <w:rFonts w:hint="default" w:ascii="宋体" w:hAnsi="宋体" w:cs="宋体" w:eastAsiaTheme="minorEastAsia"/>
                <w:color w:val="auto"/>
                <w:kern w:val="0"/>
                <w:szCs w:val="21"/>
                <w:lang w:val="en-US" w:eastAsia="zh-CN"/>
              </w:rPr>
            </w:pPr>
            <w:r>
              <w:rPr>
                <w:rFonts w:hint="eastAsia" w:ascii="宋体" w:hAnsi="宋体" w:cs="宋体"/>
                <w:color w:val="auto"/>
                <w:kern w:val="0"/>
                <w:szCs w:val="21"/>
              </w:rPr>
              <w:t>1</w:t>
            </w:r>
            <w:r>
              <w:rPr>
                <w:rFonts w:ascii="宋体" w:hAnsi="宋体" w:cs="宋体"/>
                <w:color w:val="auto"/>
                <w:kern w:val="0"/>
                <w:szCs w:val="21"/>
              </w:rPr>
              <w:t>.</w:t>
            </w:r>
            <w:r>
              <w:rPr>
                <w:rFonts w:hint="eastAsia" w:ascii="宋体" w:hAnsi="宋体" w:cs="宋体"/>
                <w:color w:val="auto"/>
                <w:kern w:val="0"/>
                <w:szCs w:val="21"/>
              </w:rPr>
              <w:t>交货时间：自合同签订之日起</w:t>
            </w:r>
            <w:r>
              <w:rPr>
                <w:rFonts w:hint="eastAsia" w:ascii="宋体" w:hAnsi="宋体" w:cs="宋体"/>
                <w:color w:val="auto"/>
                <w:kern w:val="0"/>
                <w:szCs w:val="21"/>
                <w:lang w:val="en-US" w:eastAsia="zh-CN"/>
              </w:rPr>
              <w:t>20</w:t>
            </w:r>
            <w:r>
              <w:rPr>
                <w:rFonts w:hint="eastAsia" w:ascii="宋体" w:hAnsi="宋体" w:cs="宋体"/>
                <w:color w:val="auto"/>
                <w:kern w:val="0"/>
                <w:szCs w:val="21"/>
              </w:rPr>
              <w:t>个</w:t>
            </w:r>
            <w:r>
              <w:rPr>
                <w:rFonts w:hint="eastAsia" w:ascii="宋体" w:hAnsi="宋体" w:cs="宋体"/>
                <w:color w:val="auto"/>
                <w:kern w:val="0"/>
                <w:szCs w:val="21"/>
                <w:lang w:eastAsia="zh-CN"/>
              </w:rPr>
              <w:t>日历天</w:t>
            </w:r>
            <w:r>
              <w:rPr>
                <w:rFonts w:ascii="宋体" w:hAnsi="宋体" w:cs="宋体"/>
                <w:color w:val="auto"/>
                <w:kern w:val="0"/>
                <w:szCs w:val="21"/>
              </w:rPr>
              <w:t>。</w:t>
            </w:r>
            <w:r>
              <w:rPr>
                <w:rFonts w:hint="eastAsia" w:ascii="宋体" w:hAnsi="宋体" w:cs="宋体"/>
                <w:color w:val="auto"/>
                <w:kern w:val="0"/>
                <w:szCs w:val="21"/>
                <w:lang w:val="en-US" w:eastAsia="zh-CN"/>
              </w:rPr>
              <w:t xml:space="preserve">  </w:t>
            </w:r>
          </w:p>
          <w:p w14:paraId="350946E8">
            <w:pPr>
              <w:spacing w:line="360" w:lineRule="exact"/>
              <w:ind w:left="105" w:leftChars="50" w:right="105" w:rightChars="50"/>
              <w:rPr>
                <w:rFonts w:hint="default" w:ascii="宋体" w:hAnsi="宋体" w:eastAsiaTheme="minorEastAsia"/>
                <w:color w:val="auto"/>
                <w:szCs w:val="21"/>
                <w:lang w:val="en-US" w:eastAsia="zh-CN"/>
              </w:rPr>
            </w:pPr>
            <w:r>
              <w:rPr>
                <w:rFonts w:ascii="宋体" w:hAnsi="宋体" w:cs="宋体"/>
                <w:color w:val="auto"/>
                <w:kern w:val="0"/>
                <w:szCs w:val="21"/>
              </w:rPr>
              <w:t>2.</w:t>
            </w:r>
            <w:r>
              <w:rPr>
                <w:rFonts w:hint="eastAsia" w:ascii="宋体" w:hAnsi="宋体"/>
                <w:color w:val="auto"/>
                <w:szCs w:val="21"/>
              </w:rPr>
              <w:t>交货地点：</w:t>
            </w:r>
            <w:r>
              <w:rPr>
                <w:rFonts w:hint="eastAsia" w:ascii="宋体" w:hAnsi="宋体" w:cs="宋体"/>
                <w:color w:val="auto"/>
                <w:kern w:val="0"/>
                <w:szCs w:val="21"/>
                <w:lang w:val="en-US" w:eastAsia="zh-CN"/>
              </w:rPr>
              <w:t>南宁师范大学长堽校区图书馆</w:t>
            </w:r>
          </w:p>
        </w:tc>
      </w:tr>
      <w:tr w14:paraId="7B852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trPr>
        <w:tc>
          <w:tcPr>
            <w:tcW w:w="788"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3FC880F9">
            <w:pPr>
              <w:snapToGrid w:val="0"/>
              <w:spacing w:line="360" w:lineRule="exact"/>
              <w:jc w:val="center"/>
              <w:rPr>
                <w:rFonts w:hint="eastAsia" w:ascii="宋体" w:hAnsi="宋体" w:cs="宋体"/>
                <w:b/>
                <w:bCs/>
                <w:color w:val="auto"/>
                <w:szCs w:val="21"/>
              </w:rPr>
            </w:pPr>
            <w:r>
              <w:rPr>
                <w:rFonts w:hint="eastAsia"/>
                <w:b/>
                <w:bCs/>
                <w:color w:val="auto"/>
              </w:rPr>
              <w:t>质保要求</w:t>
            </w:r>
          </w:p>
        </w:tc>
        <w:tc>
          <w:tcPr>
            <w:tcW w:w="4211" w:type="pct"/>
            <w:gridSpan w:val="9"/>
            <w:tcBorders>
              <w:top w:val="single" w:color="auto" w:sz="4" w:space="0"/>
              <w:left w:val="single" w:color="auto" w:sz="4" w:space="0"/>
              <w:bottom w:val="single" w:color="auto" w:sz="4" w:space="0"/>
              <w:right w:val="single" w:color="auto" w:sz="4" w:space="0"/>
            </w:tcBorders>
            <w:shd w:val="clear" w:color="auto" w:fill="auto"/>
            <w:vAlign w:val="center"/>
          </w:tcPr>
          <w:p w14:paraId="0A08B324">
            <w:pPr>
              <w:spacing w:line="360" w:lineRule="exact"/>
              <w:ind w:left="105" w:leftChars="50" w:right="105" w:rightChars="50"/>
              <w:rPr>
                <w:rFonts w:hint="eastAsia" w:ascii="宋体" w:hAnsi="宋体" w:cs="宋体"/>
                <w:color w:val="auto"/>
                <w:kern w:val="0"/>
                <w:szCs w:val="21"/>
              </w:rPr>
            </w:pPr>
            <w:r>
              <w:rPr>
                <w:rFonts w:hint="eastAsia" w:ascii="宋体" w:hAnsi="宋体" w:cs="宋体"/>
                <w:color w:val="auto"/>
                <w:kern w:val="0"/>
                <w:szCs w:val="21"/>
              </w:rPr>
              <w:t>1</w:t>
            </w:r>
            <w:r>
              <w:rPr>
                <w:rFonts w:ascii="宋体" w:hAnsi="宋体" w:cs="宋体"/>
                <w:color w:val="auto"/>
                <w:kern w:val="0"/>
                <w:szCs w:val="21"/>
              </w:rPr>
              <w:t>.</w:t>
            </w:r>
            <w:r>
              <w:rPr>
                <w:rFonts w:hint="eastAsia" w:ascii="宋体" w:hAnsi="宋体" w:cs="宋体"/>
                <w:color w:val="auto"/>
                <w:kern w:val="0"/>
                <w:szCs w:val="21"/>
              </w:rPr>
              <w:t>按国家有关产品“三包”规定执行。</w:t>
            </w:r>
          </w:p>
          <w:p w14:paraId="0ACD2806">
            <w:pPr>
              <w:snapToGrid w:val="0"/>
              <w:spacing w:line="360" w:lineRule="exact"/>
              <w:ind w:left="105" w:leftChars="50" w:right="105" w:rightChars="50"/>
              <w:rPr>
                <w:rFonts w:hint="default" w:ascii="宋体" w:hAnsi="宋体" w:cs="仿宋" w:eastAsiaTheme="minorEastAsia"/>
                <w:bCs/>
                <w:color w:val="auto"/>
                <w:szCs w:val="21"/>
                <w:lang w:val="en-US" w:eastAsia="zh-CN"/>
              </w:rPr>
            </w:pPr>
            <w:r>
              <w:rPr>
                <w:rFonts w:ascii="宋体" w:hAnsi="宋体"/>
                <w:color w:val="auto"/>
                <w:szCs w:val="21"/>
              </w:rPr>
              <w:t>2.</w:t>
            </w:r>
            <w:r>
              <w:rPr>
                <w:rFonts w:hint="eastAsia" w:ascii="宋体" w:hAnsi="宋体"/>
                <w:color w:val="auto"/>
                <w:szCs w:val="21"/>
              </w:rPr>
              <w:t>质保期：自验收合格之日起</w:t>
            </w:r>
            <w:r>
              <w:rPr>
                <w:rFonts w:hint="eastAsia" w:ascii="宋体" w:hAnsi="宋体"/>
                <w:color w:val="auto"/>
                <w:szCs w:val="21"/>
                <w:lang w:val="en-US" w:eastAsia="zh-CN"/>
              </w:rPr>
              <w:t>整体质保3</w:t>
            </w:r>
            <w:r>
              <w:rPr>
                <w:rFonts w:hint="eastAsia" w:ascii="宋体" w:hAnsi="宋体"/>
                <w:color w:val="auto"/>
                <w:szCs w:val="21"/>
              </w:rPr>
              <w:t>年</w:t>
            </w:r>
            <w:r>
              <w:rPr>
                <w:rFonts w:hint="eastAsia" w:ascii="宋体" w:hAnsi="宋体"/>
                <w:color w:val="auto"/>
                <w:szCs w:val="21"/>
                <w:lang w:eastAsia="zh-CN"/>
              </w:rPr>
              <w:t>（</w:t>
            </w:r>
            <w:r>
              <w:rPr>
                <w:rFonts w:hint="eastAsia" w:ascii="宋体" w:hAnsi="宋体"/>
                <w:color w:val="auto"/>
                <w:szCs w:val="21"/>
                <w:lang w:val="en-US" w:eastAsia="zh-CN"/>
              </w:rPr>
              <w:t>灯具和插座2年）</w:t>
            </w:r>
          </w:p>
        </w:tc>
      </w:tr>
      <w:tr w14:paraId="23542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trPr>
        <w:tc>
          <w:tcPr>
            <w:tcW w:w="788"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3F34E703">
            <w:pPr>
              <w:snapToGrid w:val="0"/>
              <w:spacing w:line="360" w:lineRule="exact"/>
              <w:jc w:val="center"/>
              <w:rPr>
                <w:rFonts w:hint="eastAsia" w:ascii="宋体" w:hAnsi="宋体" w:cs="宋体"/>
                <w:b/>
                <w:bCs/>
                <w:color w:val="auto"/>
                <w:kern w:val="0"/>
                <w:szCs w:val="21"/>
              </w:rPr>
            </w:pPr>
            <w:r>
              <w:rPr>
                <w:rFonts w:hint="eastAsia" w:ascii="宋体" w:hAnsi="宋体" w:cs="宋体"/>
                <w:b/>
                <w:bCs/>
                <w:color w:val="auto"/>
                <w:szCs w:val="21"/>
              </w:rPr>
              <w:t>★售后</w:t>
            </w:r>
            <w:r>
              <w:rPr>
                <w:rFonts w:hint="eastAsia" w:ascii="宋体" w:hAnsi="宋体" w:cs="宋体"/>
                <w:b/>
                <w:bCs/>
                <w:color w:val="auto"/>
                <w:kern w:val="0"/>
                <w:szCs w:val="21"/>
              </w:rPr>
              <w:t>服务</w:t>
            </w:r>
          </w:p>
          <w:p w14:paraId="6B8F306F">
            <w:pPr>
              <w:snapToGrid w:val="0"/>
              <w:spacing w:line="360" w:lineRule="exact"/>
              <w:jc w:val="center"/>
              <w:rPr>
                <w:rFonts w:hint="eastAsia" w:ascii="宋体" w:hAnsi="宋体" w:cs="宋体"/>
                <w:b/>
                <w:bCs/>
                <w:color w:val="auto"/>
                <w:szCs w:val="21"/>
              </w:rPr>
            </w:pPr>
            <w:r>
              <w:rPr>
                <w:rFonts w:hint="eastAsia" w:ascii="宋体" w:hAnsi="宋体" w:cs="宋体"/>
                <w:b/>
                <w:bCs/>
                <w:color w:val="auto"/>
                <w:kern w:val="0"/>
                <w:szCs w:val="21"/>
              </w:rPr>
              <w:t>要求</w:t>
            </w:r>
          </w:p>
        </w:tc>
        <w:tc>
          <w:tcPr>
            <w:tcW w:w="4211" w:type="pct"/>
            <w:gridSpan w:val="9"/>
            <w:tcBorders>
              <w:top w:val="single" w:color="auto" w:sz="4" w:space="0"/>
              <w:left w:val="single" w:color="auto" w:sz="4" w:space="0"/>
              <w:bottom w:val="single" w:color="auto" w:sz="4" w:space="0"/>
              <w:right w:val="single" w:color="auto" w:sz="4" w:space="0"/>
            </w:tcBorders>
            <w:shd w:val="clear" w:color="auto" w:fill="auto"/>
            <w:vAlign w:val="center"/>
          </w:tcPr>
          <w:p w14:paraId="6F420410">
            <w:pPr>
              <w:tabs>
                <w:tab w:val="left" w:pos="425"/>
              </w:tabs>
              <w:spacing w:line="360" w:lineRule="exact"/>
              <w:ind w:left="105" w:leftChars="50" w:right="105" w:rightChars="50"/>
              <w:rPr>
                <w:rFonts w:hint="eastAsia" w:ascii="宋体" w:hAnsi="宋体" w:cs="宋体"/>
                <w:color w:val="auto"/>
                <w:kern w:val="0"/>
                <w:szCs w:val="21"/>
              </w:rPr>
            </w:pPr>
            <w:r>
              <w:rPr>
                <w:rFonts w:ascii="宋体" w:hAnsi="宋体" w:cs="宋体"/>
                <w:color w:val="auto"/>
                <w:kern w:val="0"/>
                <w:szCs w:val="21"/>
              </w:rPr>
              <w:t>1</w:t>
            </w:r>
            <w:r>
              <w:rPr>
                <w:rFonts w:hint="eastAsia" w:ascii="宋体" w:hAnsi="宋体" w:cs="宋体"/>
                <w:color w:val="auto"/>
                <w:kern w:val="0"/>
                <w:szCs w:val="21"/>
              </w:rPr>
              <w:t>.成交供应商应免费送货上门并保证设备在运输</w:t>
            </w:r>
            <w:r>
              <w:rPr>
                <w:rFonts w:ascii="宋体" w:hAnsi="宋体" w:cs="宋体"/>
                <w:color w:val="auto"/>
                <w:kern w:val="0"/>
                <w:szCs w:val="21"/>
              </w:rPr>
              <w:t>途中</w:t>
            </w:r>
            <w:r>
              <w:rPr>
                <w:rFonts w:hint="eastAsia" w:ascii="宋体" w:hAnsi="宋体" w:cs="宋体"/>
                <w:color w:val="auto"/>
                <w:kern w:val="0"/>
                <w:szCs w:val="21"/>
              </w:rPr>
              <w:t>完好无损，免费安装；负责免费培训2-3名相关人员掌握操作及日常维护。所需工具、器材由成交供应商自理。</w:t>
            </w:r>
          </w:p>
          <w:p w14:paraId="52A2CFD3">
            <w:pPr>
              <w:spacing w:line="360" w:lineRule="exact"/>
              <w:ind w:left="105" w:leftChars="50" w:right="105" w:rightChars="50"/>
              <w:rPr>
                <w:rFonts w:hint="eastAsia" w:ascii="宋体" w:hAnsi="宋体" w:cs="宋体"/>
                <w:color w:val="auto"/>
                <w:kern w:val="0"/>
                <w:szCs w:val="21"/>
              </w:rPr>
            </w:pPr>
            <w:r>
              <w:rPr>
                <w:rFonts w:hint="eastAsia" w:ascii="宋体" w:hAnsi="宋体" w:cs="宋体"/>
                <w:color w:val="auto"/>
                <w:kern w:val="0"/>
                <w:szCs w:val="21"/>
              </w:rPr>
              <w:t>2</w:t>
            </w:r>
            <w:r>
              <w:rPr>
                <w:rFonts w:ascii="宋体" w:hAnsi="宋体" w:cs="宋体"/>
                <w:color w:val="auto"/>
                <w:kern w:val="0"/>
                <w:szCs w:val="21"/>
              </w:rPr>
              <w:t>.</w:t>
            </w:r>
            <w:r>
              <w:rPr>
                <w:rFonts w:hint="eastAsia" w:ascii="宋体" w:hAnsi="宋体" w:cs="宋体"/>
                <w:color w:val="auto"/>
                <w:kern w:val="0"/>
                <w:szCs w:val="21"/>
              </w:rPr>
              <w:t>质保期内，货物发生任何非误操作或人为原因造成的故障和损坏，均由成交供应商提供免费上门维修服务（含免费更换零部件、免人工费）；如设备发生大故障（指主要部件出现质量问题）时，成交供应商应负责免费更换相同品牌、型号的新设备，设备维修或更换后其保修期相应顺延；如只需要更换配件的，所更换的配件应当为原供货产品品牌、类型相一致或者是同等档次的替代品，后者需征得学院书面同意；若学院发现产品存在制造上的缺陷，成交供应商应负责采取补救措施，若该缺陷导致产品存在安全隐患或不能使用的，成交供应商应负责免费更换整件产品。</w:t>
            </w:r>
          </w:p>
          <w:p w14:paraId="4B0BAECA">
            <w:pPr>
              <w:spacing w:line="360" w:lineRule="exact"/>
              <w:ind w:left="105" w:leftChars="50" w:right="105" w:rightChars="50"/>
              <w:rPr>
                <w:rFonts w:hint="eastAsia" w:ascii="宋体" w:hAnsi="宋体" w:cs="宋体"/>
                <w:color w:val="auto"/>
                <w:kern w:val="0"/>
                <w:szCs w:val="21"/>
              </w:rPr>
            </w:pPr>
            <w:r>
              <w:rPr>
                <w:rFonts w:hint="eastAsia" w:ascii="宋体" w:hAnsi="宋体" w:cs="宋体"/>
                <w:color w:val="auto"/>
                <w:kern w:val="0"/>
                <w:szCs w:val="21"/>
              </w:rPr>
              <w:t>质保期满后，如需更换零部件，成交供应商须保证提供优惠价格的配件，终身提供维修服务，同时保证长期供应竞标设备的备品备件；其他售后服务按厂家标准执行。</w:t>
            </w:r>
          </w:p>
          <w:p w14:paraId="1A3D4CC2">
            <w:pPr>
              <w:spacing w:line="360" w:lineRule="exact"/>
              <w:ind w:left="105" w:leftChars="50" w:right="105" w:rightChars="50"/>
              <w:rPr>
                <w:rFonts w:hint="eastAsia" w:ascii="宋体" w:hAnsi="宋体" w:cs="宋体"/>
                <w:color w:val="auto"/>
                <w:kern w:val="0"/>
                <w:szCs w:val="21"/>
              </w:rPr>
            </w:pPr>
            <w:r>
              <w:rPr>
                <w:rFonts w:ascii="宋体" w:hAnsi="宋体" w:cs="宋体"/>
                <w:color w:val="auto"/>
                <w:kern w:val="0"/>
                <w:szCs w:val="21"/>
              </w:rPr>
              <w:t>3.</w:t>
            </w:r>
            <w:r>
              <w:rPr>
                <w:rFonts w:hint="eastAsia" w:ascii="宋体" w:hAnsi="宋体" w:cs="宋体"/>
                <w:color w:val="auto"/>
                <w:kern w:val="0"/>
                <w:szCs w:val="21"/>
              </w:rPr>
              <w:t>服务响应</w:t>
            </w:r>
          </w:p>
          <w:p w14:paraId="3CB66BFE">
            <w:pPr>
              <w:spacing w:line="360" w:lineRule="exact"/>
              <w:ind w:left="105" w:leftChars="50" w:right="105" w:rightChars="50"/>
              <w:rPr>
                <w:rFonts w:hint="eastAsia" w:ascii="宋体" w:hAnsi="宋体" w:cs="宋体"/>
                <w:color w:val="auto"/>
                <w:kern w:val="0"/>
                <w:szCs w:val="21"/>
              </w:rPr>
            </w:pPr>
            <w:r>
              <w:rPr>
                <w:rFonts w:hint="eastAsia" w:ascii="宋体" w:hAnsi="宋体" w:cs="宋体"/>
                <w:color w:val="auto"/>
                <w:kern w:val="0"/>
                <w:szCs w:val="21"/>
              </w:rPr>
              <w:t>（1）质保期内，成交供应商须提供7*24小时技术支持和服务，对用户维修或维护要求应在30分钟内</w:t>
            </w:r>
            <w:r>
              <w:rPr>
                <w:rFonts w:hint="eastAsia" w:ascii="宋体" w:hAnsi="宋体" w:cs="宋体"/>
                <w:color w:val="auto"/>
                <w:kern w:val="0"/>
                <w:szCs w:val="21"/>
                <w:lang w:eastAsia="zh-CN"/>
              </w:rPr>
              <w:t>做出</w:t>
            </w:r>
            <w:r>
              <w:rPr>
                <w:rFonts w:hint="eastAsia" w:ascii="宋体" w:hAnsi="宋体" w:cs="宋体"/>
                <w:color w:val="auto"/>
                <w:kern w:val="0"/>
                <w:szCs w:val="21"/>
              </w:rPr>
              <w:t>响应</w:t>
            </w:r>
            <w:r>
              <w:rPr>
                <w:rFonts w:hint="eastAsia" w:ascii="宋体" w:hAnsi="宋体" w:cs="宋体"/>
                <w:color w:val="auto"/>
                <w:kern w:val="0"/>
                <w:szCs w:val="21"/>
                <w:lang w:eastAsia="zh-CN"/>
              </w:rPr>
              <w:t>，并</w:t>
            </w:r>
            <w:r>
              <w:rPr>
                <w:rFonts w:hint="eastAsia" w:ascii="宋体" w:hAnsi="宋体" w:cs="宋体"/>
                <w:color w:val="auto"/>
                <w:kern w:val="0"/>
                <w:szCs w:val="21"/>
              </w:rPr>
              <w:t>提出处理意见；如需现场服务的，保证技术人员在3小时内到达现场，8小时内解决问题；如需更换零配件及消耗品，不超过</w:t>
            </w:r>
            <w:r>
              <w:rPr>
                <w:rFonts w:ascii="宋体" w:hAnsi="宋体" w:cs="宋体"/>
                <w:color w:val="auto"/>
                <w:kern w:val="0"/>
                <w:szCs w:val="21"/>
              </w:rPr>
              <w:t>24</w:t>
            </w:r>
            <w:r>
              <w:rPr>
                <w:rFonts w:hint="eastAsia" w:ascii="宋体" w:hAnsi="宋体" w:cs="宋体"/>
                <w:color w:val="auto"/>
                <w:kern w:val="0"/>
                <w:szCs w:val="21"/>
              </w:rPr>
              <w:t>小时解决问题。</w:t>
            </w:r>
          </w:p>
          <w:p w14:paraId="3D59CDFC">
            <w:pPr>
              <w:pStyle w:val="6"/>
              <w:spacing w:line="360" w:lineRule="exact"/>
              <w:ind w:left="105" w:leftChars="50" w:right="105" w:rightChars="50"/>
              <w:jc w:val="both"/>
              <w:rPr>
                <w:rFonts w:hint="eastAsia" w:hAnsi="宋体"/>
                <w:color w:val="auto"/>
                <w:sz w:val="21"/>
                <w:szCs w:val="21"/>
              </w:rPr>
            </w:pPr>
            <w:r>
              <w:rPr>
                <w:rFonts w:hint="eastAsia" w:hAnsi="宋体"/>
                <w:color w:val="auto"/>
                <w:sz w:val="21"/>
                <w:szCs w:val="21"/>
              </w:rPr>
              <w:t>（2）质保期外，成交供应商须提供7*24小时电话技术支持或网络在线技术支持。出现故障必须在</w:t>
            </w:r>
            <w:r>
              <w:rPr>
                <w:rFonts w:hAnsi="宋体"/>
                <w:color w:val="auto"/>
                <w:sz w:val="21"/>
                <w:szCs w:val="21"/>
              </w:rPr>
              <w:t>3</w:t>
            </w:r>
            <w:r>
              <w:rPr>
                <w:rFonts w:hint="eastAsia" w:hAnsi="宋体"/>
                <w:color w:val="auto"/>
                <w:sz w:val="21"/>
                <w:szCs w:val="21"/>
              </w:rPr>
              <w:t>小时内做出响应，若电话或网络无法解决问题则</w:t>
            </w:r>
            <w:r>
              <w:rPr>
                <w:rFonts w:hAnsi="宋体"/>
                <w:color w:val="auto"/>
                <w:sz w:val="21"/>
                <w:szCs w:val="21"/>
              </w:rPr>
              <w:t>8</w:t>
            </w:r>
            <w:r>
              <w:rPr>
                <w:rFonts w:hint="eastAsia" w:hAnsi="宋体"/>
                <w:color w:val="auto"/>
                <w:sz w:val="21"/>
                <w:szCs w:val="21"/>
              </w:rPr>
              <w:t>小时内到达维修现场。一般问题应在</w:t>
            </w:r>
            <w:r>
              <w:rPr>
                <w:rFonts w:hAnsi="宋体"/>
                <w:color w:val="auto"/>
                <w:sz w:val="21"/>
                <w:szCs w:val="21"/>
              </w:rPr>
              <w:t>8</w:t>
            </w:r>
            <w:r>
              <w:rPr>
                <w:rFonts w:hint="eastAsia" w:hAnsi="宋体"/>
                <w:color w:val="auto"/>
                <w:sz w:val="21"/>
                <w:szCs w:val="21"/>
              </w:rPr>
              <w:t>小时内解决，重大问题或其它无法迅速解决的问题应在</w:t>
            </w:r>
            <w:r>
              <w:rPr>
                <w:rFonts w:hAnsi="宋体"/>
                <w:color w:val="auto"/>
                <w:sz w:val="21"/>
                <w:szCs w:val="21"/>
              </w:rPr>
              <w:t>48</w:t>
            </w:r>
            <w:r>
              <w:rPr>
                <w:rFonts w:hint="eastAsia" w:hAnsi="宋体"/>
                <w:color w:val="auto"/>
                <w:sz w:val="21"/>
                <w:szCs w:val="21"/>
              </w:rPr>
              <w:t>小时内解决。</w:t>
            </w:r>
          </w:p>
          <w:p w14:paraId="387E12AE">
            <w:pPr>
              <w:pStyle w:val="6"/>
              <w:spacing w:line="360" w:lineRule="exact"/>
              <w:ind w:left="105" w:leftChars="50" w:right="105" w:rightChars="50"/>
              <w:jc w:val="both"/>
              <w:rPr>
                <w:rFonts w:hint="eastAsia" w:hAnsi="宋体"/>
                <w:color w:val="auto"/>
                <w:sz w:val="21"/>
                <w:szCs w:val="21"/>
              </w:rPr>
            </w:pPr>
            <w:r>
              <w:rPr>
                <w:rFonts w:hAnsi="宋体"/>
                <w:color w:val="auto"/>
                <w:sz w:val="21"/>
                <w:szCs w:val="21"/>
              </w:rPr>
              <w:t>4.</w:t>
            </w:r>
            <w:r>
              <w:rPr>
                <w:rFonts w:hint="eastAsia" w:hAnsi="宋体"/>
                <w:color w:val="auto"/>
                <w:sz w:val="21"/>
                <w:szCs w:val="21"/>
              </w:rPr>
              <w:t>成交供应商除承担运输、安装、调试、验收与培训等义务外，还</w:t>
            </w:r>
            <w:r>
              <w:rPr>
                <w:rFonts w:hint="eastAsia" w:hAnsi="宋体"/>
                <w:color w:val="auto"/>
                <w:sz w:val="21"/>
                <w:szCs w:val="21"/>
                <w:lang w:eastAsia="zh-CN"/>
              </w:rPr>
              <w:t>需</w:t>
            </w:r>
            <w:r>
              <w:rPr>
                <w:rFonts w:hint="eastAsia" w:hAnsi="宋体"/>
                <w:color w:val="auto"/>
                <w:sz w:val="21"/>
                <w:szCs w:val="21"/>
              </w:rPr>
              <w:t>为学院提供技术支持，包括保修期外的修理及技术指导、配件供应等。</w:t>
            </w:r>
          </w:p>
          <w:p w14:paraId="15AF38EF">
            <w:pPr>
              <w:pStyle w:val="6"/>
              <w:spacing w:line="360" w:lineRule="exact"/>
              <w:ind w:left="105" w:leftChars="50" w:right="105" w:rightChars="50"/>
              <w:jc w:val="both"/>
              <w:rPr>
                <w:rFonts w:hint="default" w:hAnsi="宋体" w:eastAsia="宋体"/>
                <w:color w:val="auto"/>
                <w:sz w:val="21"/>
                <w:szCs w:val="21"/>
                <w:lang w:val="en-US" w:eastAsia="zh-CN"/>
              </w:rPr>
            </w:pPr>
            <w:r>
              <w:rPr>
                <w:rFonts w:hint="eastAsia" w:hAnsi="宋体"/>
                <w:color w:val="auto"/>
                <w:sz w:val="21"/>
                <w:szCs w:val="21"/>
                <w:lang w:val="en-US" w:eastAsia="zh-CN"/>
              </w:rPr>
              <w:t>5.项目供货及安装过程中产生的残留物或垃圾，需由供货商自行清理。</w:t>
            </w:r>
          </w:p>
        </w:tc>
      </w:tr>
      <w:tr w14:paraId="7908D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trPr>
        <w:tc>
          <w:tcPr>
            <w:tcW w:w="788"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41BFDB9E">
            <w:pPr>
              <w:snapToGrid w:val="0"/>
              <w:spacing w:line="360" w:lineRule="exact"/>
              <w:jc w:val="center"/>
              <w:rPr>
                <w:rFonts w:hint="eastAsia" w:ascii="宋体" w:hAnsi="宋体" w:cs="宋体"/>
                <w:b/>
                <w:bCs/>
                <w:color w:val="auto"/>
                <w:kern w:val="0"/>
                <w:szCs w:val="21"/>
              </w:rPr>
            </w:pPr>
            <w:r>
              <w:rPr>
                <w:rFonts w:hint="eastAsia" w:ascii="宋体" w:hAnsi="宋体" w:cs="宋体"/>
                <w:b/>
                <w:bCs/>
                <w:color w:val="auto"/>
                <w:kern w:val="0"/>
                <w:szCs w:val="21"/>
              </w:rPr>
              <w:t>商务条款</w:t>
            </w:r>
          </w:p>
        </w:tc>
        <w:tc>
          <w:tcPr>
            <w:tcW w:w="4211" w:type="pct"/>
            <w:gridSpan w:val="9"/>
            <w:tcBorders>
              <w:top w:val="single" w:color="auto" w:sz="4" w:space="0"/>
              <w:left w:val="single" w:color="auto" w:sz="4" w:space="0"/>
              <w:bottom w:val="single" w:color="auto" w:sz="4" w:space="0"/>
              <w:right w:val="single" w:color="auto" w:sz="4" w:space="0"/>
            </w:tcBorders>
            <w:shd w:val="clear" w:color="auto" w:fill="auto"/>
            <w:vAlign w:val="center"/>
          </w:tcPr>
          <w:p w14:paraId="401E2541">
            <w:pPr>
              <w:spacing w:line="360" w:lineRule="exact"/>
              <w:ind w:left="105" w:leftChars="50" w:right="105" w:rightChars="50"/>
              <w:rPr>
                <w:rFonts w:hint="eastAsia" w:ascii="宋体" w:hAnsi="宋体" w:cs="宋体"/>
                <w:color w:val="auto"/>
                <w:kern w:val="0"/>
                <w:szCs w:val="21"/>
                <w:highlight w:val="none"/>
              </w:rPr>
            </w:pPr>
            <w:r>
              <w:rPr>
                <w:rFonts w:hint="eastAsia" w:ascii="宋体" w:hAnsi="宋体" w:cs="宋体"/>
                <w:color w:val="auto"/>
                <w:kern w:val="0"/>
                <w:szCs w:val="21"/>
                <w:highlight w:val="none"/>
              </w:rPr>
              <w:t>1.本项目为包干制，投标报价为采购</w:t>
            </w:r>
            <w:r>
              <w:rPr>
                <w:rFonts w:hint="eastAsia" w:ascii="宋体" w:hAnsi="宋体" w:cs="宋体"/>
                <w:color w:val="auto"/>
                <w:kern w:val="0"/>
                <w:szCs w:val="21"/>
                <w:highlight w:val="none"/>
                <w:lang w:eastAsia="zh-CN"/>
              </w:rPr>
              <w:t>人在</w:t>
            </w:r>
            <w:r>
              <w:rPr>
                <w:rFonts w:hint="eastAsia" w:ascii="宋体" w:hAnsi="宋体" w:cs="宋体"/>
                <w:color w:val="auto"/>
                <w:kern w:val="0"/>
                <w:szCs w:val="21"/>
                <w:highlight w:val="none"/>
              </w:rPr>
              <w:t>指定地点安装调试完成的现场交货价，报价包含：产品生产、设计、样板、运输、上楼、安装、辅材、垃圾清运、成品保护、税费、质保、售后等一切费用</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采购人不再支付其他任何款项。</w:t>
            </w:r>
          </w:p>
          <w:p w14:paraId="5EADC521">
            <w:pPr>
              <w:spacing w:line="360" w:lineRule="exact"/>
              <w:ind w:left="105" w:leftChars="50" w:right="105" w:rightChars="50"/>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2..产品检测报告：</w:t>
            </w:r>
          </w:p>
          <w:p w14:paraId="572BD9E1">
            <w:pPr>
              <w:spacing w:line="360" w:lineRule="exact"/>
              <w:ind w:left="105" w:leftChars="50" w:right="105" w:rightChars="50"/>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为确保产品的合格性和环保性，投标人投标前须提供符合采购参数要求的近两年检测报告复印件（签发日期须在2024年7月后）。检测报告的送检单位（委托单位）可以为投标人或所投产品的生产厂家（须与分项报价表中所列产品一致），检测内容包含但不限于：</w:t>
            </w:r>
          </w:p>
          <w:p w14:paraId="6AF5B79A">
            <w:pPr>
              <w:numPr>
                <w:ilvl w:val="0"/>
                <w:numId w:val="2"/>
              </w:numPr>
              <w:spacing w:line="360" w:lineRule="exact"/>
              <w:ind w:right="105" w:rightChars="50"/>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提供E0级三胺板（基材多层板）检测报告；检测内容包含但不限于含水率、胶合强度、静曲强度（横纹）、静曲强度（竖纹），且检测结果不低于本项目技术参数要求，投标人所用板材须符合GB/T 9846-2015《普通胶合板》标准中E0级要求：含水率5～14%（I类）：合格试件数与有效试件总数之比≥90%，胶合强度≥0.70MPa（Ⅰ类）：合格试件数与有效试件总数之比≥90%，静曲强度（顺纹）≥22.0MPa：合格试件数与有效试件总数之比≥90%，静曲强度（横纹）≥20.0MPa：合格试件数与有效试件总数之比≥90%；GB 18580-2017《室内装饰装修材料 人造板及其制品中甲醛释放限量》：甲醛释放量(1m³气候箱法)E0≤0.124 mg/m³；GB/T 39600-2021《人造板及其制品甲醛释放量分级》：甲醛释放量≤0.050mg/m³，并提供具备CMA或CNAS资质的第三方检测机构出具的有效检测报告。</w:t>
            </w:r>
          </w:p>
          <w:p w14:paraId="32C93C91">
            <w:pPr>
              <w:numPr>
                <w:ilvl w:val="0"/>
                <w:numId w:val="2"/>
              </w:numPr>
              <w:spacing w:line="360" w:lineRule="exact"/>
              <w:ind w:right="105" w:rightChars="50"/>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提供E0级三胺板（基材刨花板）检测报告；检测内容包含但不限于干燥状态下静曲强度、表面胶合强度、2h吸水厚度膨胀率、含水率、甲醛释放量；浸渍胶膜纸饰面刨花板：密度、内结合强度；投标人所用板材须符合GB/T 4897-2015《刨花板》：静曲强度≥11.0MPa、内结合强度≥0.35MPa、表面胶合强度≥0.80MPa、2h吸水厚度膨胀率≤8.0%、含水率3.0～13.0%；GB/T 15102-2017《浸渍胶膜纸饰面纤维板和刨花板》：密度0.60～0.90g/cm³、内结合强度≥0.35；GB 18580-2017《室内装饰装修材料 人造板及其制品中甲醛释放限量》：甲醛释放量(1m³气候箱法)E0≤0.124 mg/m³；GB/T 39600-2021《人造板及其制品甲醛释放量分级》：甲醛释放量≤0.050mg/m³，并提供具备CMA或CNAS资质的第三方检测机构出具的有效检测报告。</w:t>
            </w:r>
          </w:p>
          <w:p w14:paraId="33652FA4">
            <w:pPr>
              <w:numPr>
                <w:ilvl w:val="0"/>
                <w:numId w:val="1"/>
              </w:numPr>
              <w:spacing w:line="360" w:lineRule="exact"/>
              <w:ind w:left="105" w:leftChars="50" w:right="105" w:rightChars="50"/>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提供橡木实木检测报告；检测内容包含但不限于木材含水率、气干密度、抗弯强度；投标人所用橡木须符合GB/T 1927.4-2021《无疵小试样木材物理力学性质试验方法 第4部分：含水率测定》木材含水率8.0~13%；GB/T 1927.5-2021《无疵小试样木材物理力学性质试验方法 第5部分：密度测定》气干密度0.65~0.78g/cm³；GB/T 1927.9-2021《无疵小试样木材物理力学性质试验方法 第9部分：抗弯强度测定》抗弯强度≥85MPa；</w:t>
            </w:r>
          </w:p>
          <w:p w14:paraId="4928B4B0">
            <w:pPr>
              <w:spacing w:line="360" w:lineRule="exact"/>
              <w:ind w:left="105" w:leftChars="50" w:right="105" w:rightChars="50"/>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如发现扫描件与原件不符、涂改、伪造等情形，采购人有权取消成交资格，并上报政府采购监督管理部门依法处理。</w:t>
            </w:r>
          </w:p>
          <w:p w14:paraId="599BD5D1">
            <w:pPr>
              <w:spacing w:line="360" w:lineRule="exact"/>
              <w:ind w:left="105" w:leftChars="50" w:right="105" w:rightChars="50"/>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备注：检验报告的名称与采购要求名称不完全一致的，只要检测内容相同且检测结果不低于采购要求，视为相符。</w:t>
            </w:r>
          </w:p>
          <w:p w14:paraId="254635C5">
            <w:pPr>
              <w:spacing w:line="360" w:lineRule="exact"/>
              <w:ind w:left="105" w:leftChars="50" w:right="105" w:rightChars="5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无效报价条款</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出现以下任一情形，其报价将被认定为无效，不进入价格评审环节：</w:t>
            </w:r>
          </w:p>
          <w:p w14:paraId="7C8C94B6">
            <w:pPr>
              <w:spacing w:line="360" w:lineRule="exact"/>
              <w:ind w:right="105" w:rightChars="5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rPr>
              <w:t>报价内容不完整（如未包含垃圾清运、成品保护、税费等）或未按全包总价报价。</w:t>
            </w:r>
          </w:p>
          <w:p w14:paraId="450416F8">
            <w:pPr>
              <w:spacing w:line="360" w:lineRule="exact"/>
              <w:ind w:right="105" w:rightChars="5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响应文件中任何一项技术参数负偏离。</w:t>
            </w:r>
          </w:p>
          <w:p w14:paraId="6A826EFC">
            <w:pPr>
              <w:spacing w:line="360" w:lineRule="exact"/>
              <w:ind w:right="105" w:rightChars="5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未按要求上传检测报告，或检测报告不符合</w:t>
            </w:r>
            <w:r>
              <w:rPr>
                <w:rFonts w:hint="eastAsia" w:ascii="宋体" w:hAnsi="宋体" w:cs="宋体"/>
                <w:color w:val="auto"/>
                <w:kern w:val="0"/>
                <w:szCs w:val="21"/>
                <w:highlight w:val="none"/>
                <w:lang w:eastAsia="zh-CN"/>
              </w:rPr>
              <w:t>参数</w:t>
            </w:r>
            <w:r>
              <w:rPr>
                <w:rFonts w:hint="eastAsia" w:ascii="宋体" w:hAnsi="宋体" w:cs="宋体"/>
                <w:color w:val="auto"/>
                <w:kern w:val="0"/>
                <w:szCs w:val="21"/>
                <w:highlight w:val="none"/>
              </w:rPr>
              <w:t>要求。</w:t>
            </w:r>
          </w:p>
          <w:p w14:paraId="30F2FAA0">
            <w:pPr>
              <w:spacing w:line="360" w:lineRule="exact"/>
              <w:ind w:right="105" w:rightChars="50"/>
              <w:rPr>
                <w:rFonts w:hint="eastAsia" w:ascii="宋体" w:hAnsi="宋体" w:eastAsia="宋体"/>
                <w:color w:val="auto"/>
                <w:szCs w:val="21"/>
                <w:highlight w:val="none"/>
                <w:lang w:val="en-US" w:eastAsia="zh-CN"/>
              </w:rPr>
            </w:pP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供应商被列入政府采购严重违法失信行为记录名单或存在其他法律法规禁止的情形。</w:t>
            </w:r>
          </w:p>
        </w:tc>
      </w:tr>
      <w:tr w14:paraId="59DB6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trPr>
        <w:tc>
          <w:tcPr>
            <w:tcW w:w="788" w:type="pct"/>
            <w:gridSpan w:val="4"/>
            <w:shd w:val="clear" w:color="auto" w:fill="auto"/>
            <w:vAlign w:val="center"/>
          </w:tcPr>
          <w:p w14:paraId="6F82D95B">
            <w:pPr>
              <w:snapToGrid w:val="0"/>
              <w:spacing w:line="360" w:lineRule="exact"/>
              <w:jc w:val="center"/>
              <w:rPr>
                <w:rFonts w:hint="eastAsia" w:ascii="宋体" w:hAnsi="宋体" w:cs="宋体"/>
                <w:b/>
                <w:bCs/>
                <w:color w:val="auto"/>
                <w:szCs w:val="21"/>
              </w:rPr>
            </w:pPr>
            <w:r>
              <w:rPr>
                <w:rFonts w:hint="eastAsia" w:ascii="宋体" w:hAnsi="宋体" w:cs="宋体"/>
                <w:b/>
                <w:bCs/>
                <w:color w:val="auto"/>
                <w:szCs w:val="21"/>
              </w:rPr>
              <w:t>竞标报价</w:t>
            </w:r>
          </w:p>
        </w:tc>
        <w:tc>
          <w:tcPr>
            <w:tcW w:w="4211" w:type="pct"/>
            <w:gridSpan w:val="9"/>
            <w:shd w:val="clear" w:color="auto" w:fill="auto"/>
            <w:vAlign w:val="center"/>
          </w:tcPr>
          <w:p w14:paraId="09D96DC6">
            <w:pPr>
              <w:spacing w:line="360" w:lineRule="exact"/>
              <w:ind w:left="105" w:leftChars="50" w:right="105" w:rightChars="50"/>
              <w:rPr>
                <w:rFonts w:hint="eastAsia" w:ascii="宋体" w:hAnsi="宋体" w:cs="宋体"/>
                <w:color w:val="auto"/>
                <w:kern w:val="0"/>
                <w:szCs w:val="21"/>
              </w:rPr>
            </w:pPr>
            <w:r>
              <w:rPr>
                <w:rFonts w:hint="eastAsia" w:ascii="宋体" w:hAnsi="宋体" w:cs="宋体"/>
                <w:color w:val="auto"/>
                <w:kern w:val="0"/>
                <w:szCs w:val="21"/>
              </w:rPr>
              <w:t>1.投标报价为总价包干，以人民币为结算单位。报价应包括投标人完成项目的货物费、人工费、运输费、安装调试费和税费等工作中产生的所有费用以及应由投标人承担的义务、责任和风险所发生的一切费用。除此之外，学</w:t>
            </w:r>
            <w:r>
              <w:rPr>
                <w:rFonts w:hint="eastAsia" w:ascii="宋体" w:hAnsi="宋体" w:cs="宋体"/>
                <w:color w:val="auto"/>
                <w:kern w:val="0"/>
                <w:szCs w:val="21"/>
                <w:lang w:val="en-US" w:eastAsia="zh-CN"/>
              </w:rPr>
              <w:t>校</w:t>
            </w:r>
            <w:r>
              <w:rPr>
                <w:rFonts w:hint="eastAsia" w:ascii="宋体" w:hAnsi="宋体" w:cs="宋体"/>
                <w:color w:val="auto"/>
                <w:kern w:val="0"/>
                <w:szCs w:val="21"/>
              </w:rPr>
              <w:t>不再支付任何费用。</w:t>
            </w:r>
          </w:p>
          <w:p w14:paraId="0BF3C07D">
            <w:pPr>
              <w:spacing w:line="360" w:lineRule="exact"/>
              <w:ind w:left="105" w:leftChars="50" w:right="105" w:rightChars="50"/>
              <w:rPr>
                <w:rFonts w:hint="eastAsia" w:ascii="宋体" w:hAnsi="宋体" w:cs="宋体"/>
                <w:color w:val="auto"/>
                <w:kern w:val="0"/>
                <w:szCs w:val="21"/>
              </w:rPr>
            </w:pPr>
            <w:r>
              <w:rPr>
                <w:rFonts w:hint="eastAsia" w:ascii="宋体" w:hAnsi="宋体" w:cs="宋体"/>
                <w:color w:val="auto"/>
                <w:kern w:val="0"/>
                <w:szCs w:val="21"/>
              </w:rPr>
              <w:t>2.对于本文件中明确列明必须报价的货物或服务，投标人应分别报价。对于本文件中未列明，而投标人认为必需的费用也需列入总报价。在合同实施时，学</w:t>
            </w:r>
            <w:r>
              <w:rPr>
                <w:rFonts w:hint="eastAsia" w:ascii="宋体" w:hAnsi="宋体" w:cs="宋体"/>
                <w:color w:val="auto"/>
                <w:kern w:val="0"/>
                <w:szCs w:val="21"/>
                <w:lang w:val="en-US" w:eastAsia="zh-CN"/>
              </w:rPr>
              <w:t>校</w:t>
            </w:r>
            <w:r>
              <w:rPr>
                <w:rFonts w:hint="eastAsia" w:ascii="宋体" w:hAnsi="宋体" w:cs="宋体"/>
                <w:color w:val="auto"/>
                <w:kern w:val="0"/>
                <w:szCs w:val="21"/>
              </w:rPr>
              <w:t>将不予支付成交供应商没有列入的项目费用，并认为此项目的费用已包括在响应总报价中。</w:t>
            </w:r>
          </w:p>
          <w:p w14:paraId="75550630">
            <w:pPr>
              <w:spacing w:line="360" w:lineRule="exact"/>
              <w:ind w:left="105" w:leftChars="50" w:right="105" w:rightChars="50"/>
              <w:rPr>
                <w:rFonts w:hint="eastAsia" w:hAnsi="宋体"/>
                <w:color w:val="auto"/>
                <w:kern w:val="2"/>
                <w:sz w:val="21"/>
                <w:szCs w:val="21"/>
              </w:rPr>
            </w:pPr>
            <w:r>
              <w:rPr>
                <w:rFonts w:hint="eastAsia" w:ascii="宋体" w:hAnsi="宋体" w:cs="宋体"/>
                <w:color w:val="auto"/>
                <w:kern w:val="0"/>
                <w:szCs w:val="21"/>
              </w:rPr>
              <w:t>3.为保证正品行货及售后服务质量，投标供应商必须实质性能够满足产品参数要求，对不能满足参数要求虚假响应，业主可作为废标处理，并按规定对投标公司予以投诉处理。</w:t>
            </w:r>
          </w:p>
        </w:tc>
      </w:tr>
      <w:tr w14:paraId="36186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trPr>
        <w:tc>
          <w:tcPr>
            <w:tcW w:w="788" w:type="pct"/>
            <w:gridSpan w:val="4"/>
            <w:shd w:val="clear" w:color="auto" w:fill="auto"/>
            <w:vAlign w:val="center"/>
          </w:tcPr>
          <w:p w14:paraId="6FBA0750">
            <w:pPr>
              <w:snapToGrid w:val="0"/>
              <w:spacing w:line="360" w:lineRule="exact"/>
              <w:jc w:val="center"/>
              <w:rPr>
                <w:rFonts w:hint="eastAsia" w:ascii="宋体" w:hAnsi="宋体" w:cs="宋体"/>
                <w:b/>
                <w:bCs/>
                <w:color w:val="auto"/>
                <w:szCs w:val="21"/>
              </w:rPr>
            </w:pPr>
            <w:r>
              <w:rPr>
                <w:rFonts w:hint="eastAsia" w:ascii="宋体" w:hAnsi="宋体" w:cs="宋体"/>
                <w:b/>
                <w:bCs/>
                <w:color w:val="auto"/>
                <w:szCs w:val="21"/>
              </w:rPr>
              <w:t>★付款方式</w:t>
            </w:r>
          </w:p>
        </w:tc>
        <w:tc>
          <w:tcPr>
            <w:tcW w:w="4211" w:type="pct"/>
            <w:gridSpan w:val="9"/>
            <w:shd w:val="clear" w:color="auto" w:fill="auto"/>
            <w:vAlign w:val="center"/>
          </w:tcPr>
          <w:p w14:paraId="3A5A5269">
            <w:pPr>
              <w:spacing w:line="360" w:lineRule="exact"/>
              <w:ind w:left="105" w:leftChars="50" w:right="105" w:rightChars="50"/>
              <w:rPr>
                <w:rFonts w:hint="eastAsia" w:ascii="宋体" w:hAnsi="宋体" w:cs="仿宋"/>
                <w:bCs/>
                <w:color w:val="auto"/>
                <w:szCs w:val="21"/>
              </w:rPr>
            </w:pPr>
            <w:r>
              <w:rPr>
                <w:rFonts w:hint="eastAsia"/>
                <w:sz w:val="24"/>
                <w:szCs w:val="24"/>
              </w:rPr>
              <w:t>按学校规定执行</w:t>
            </w:r>
          </w:p>
        </w:tc>
      </w:tr>
      <w:tr w14:paraId="387C5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trPr>
        <w:tc>
          <w:tcPr>
            <w:tcW w:w="788" w:type="pct"/>
            <w:gridSpan w:val="4"/>
            <w:shd w:val="clear" w:color="auto" w:fill="auto"/>
            <w:vAlign w:val="center"/>
          </w:tcPr>
          <w:p w14:paraId="61240CD6">
            <w:pPr>
              <w:snapToGrid w:val="0"/>
              <w:spacing w:line="360" w:lineRule="exact"/>
              <w:jc w:val="center"/>
              <w:rPr>
                <w:rFonts w:hint="eastAsia" w:ascii="宋体" w:hAnsi="宋体" w:cs="宋体"/>
                <w:b/>
                <w:bCs/>
                <w:color w:val="auto"/>
                <w:szCs w:val="21"/>
              </w:rPr>
            </w:pPr>
            <w:r>
              <w:rPr>
                <w:rFonts w:hint="eastAsia" w:ascii="宋体" w:hAnsi="宋体" w:cs="宋体"/>
                <w:b/>
                <w:bCs/>
                <w:color w:val="auto"/>
                <w:szCs w:val="21"/>
              </w:rPr>
              <w:t>合同签订</w:t>
            </w:r>
          </w:p>
        </w:tc>
        <w:tc>
          <w:tcPr>
            <w:tcW w:w="4211" w:type="pct"/>
            <w:gridSpan w:val="9"/>
            <w:shd w:val="clear" w:color="auto" w:fill="auto"/>
            <w:vAlign w:val="center"/>
          </w:tcPr>
          <w:p w14:paraId="3F0D5C1D">
            <w:pPr>
              <w:spacing w:line="360" w:lineRule="exact"/>
              <w:ind w:left="105" w:leftChars="50" w:right="105" w:rightChars="50"/>
              <w:rPr>
                <w:rFonts w:hint="eastAsia" w:ascii="宋体" w:hAnsi="宋体" w:cs="宋体"/>
                <w:color w:val="auto"/>
                <w:kern w:val="0"/>
                <w:szCs w:val="21"/>
              </w:rPr>
            </w:pPr>
            <w:r>
              <w:rPr>
                <w:rFonts w:hint="eastAsia" w:ascii="宋体" w:hAnsi="宋体" w:cs="宋体"/>
                <w:color w:val="auto"/>
                <w:kern w:val="0"/>
                <w:szCs w:val="21"/>
              </w:rPr>
              <w:t>1.合同授予标准</w:t>
            </w:r>
          </w:p>
          <w:p w14:paraId="7E938D5D">
            <w:pPr>
              <w:spacing w:line="360" w:lineRule="exact"/>
              <w:ind w:left="105" w:leftChars="50" w:right="105" w:rightChars="50"/>
              <w:rPr>
                <w:rFonts w:hint="eastAsia" w:ascii="宋体" w:hAnsi="宋体" w:cs="宋体"/>
                <w:color w:val="auto"/>
                <w:kern w:val="0"/>
                <w:szCs w:val="21"/>
                <w:lang w:eastAsia="zh-CN"/>
              </w:rPr>
            </w:pPr>
            <w:r>
              <w:rPr>
                <w:rFonts w:hint="eastAsia" w:ascii="宋体" w:hAnsi="宋体" w:cs="宋体"/>
                <w:color w:val="auto"/>
                <w:kern w:val="0"/>
                <w:szCs w:val="21"/>
              </w:rPr>
              <w:t>合同将授予被确定实质上相应采购文件要求，具备履行合同能力，评分或报价排名第一的中标候选供应商</w:t>
            </w:r>
            <w:r>
              <w:rPr>
                <w:rFonts w:hint="eastAsia" w:ascii="宋体" w:hAnsi="宋体" w:cs="宋体"/>
                <w:color w:val="auto"/>
                <w:kern w:val="0"/>
                <w:szCs w:val="21"/>
                <w:lang w:eastAsia="zh-CN"/>
              </w:rPr>
              <w:t>，如第一中标候选人弃标，则顺延第二候选人为中标候选人，以此类推。</w:t>
            </w:r>
          </w:p>
          <w:p w14:paraId="7DA317E6">
            <w:pPr>
              <w:spacing w:line="360" w:lineRule="exact"/>
              <w:ind w:left="105" w:leftChars="50" w:right="105" w:rightChars="50"/>
              <w:rPr>
                <w:rFonts w:hint="eastAsia" w:ascii="宋体" w:hAnsi="宋体" w:cs="宋体"/>
                <w:color w:val="auto"/>
                <w:kern w:val="0"/>
                <w:szCs w:val="21"/>
              </w:rPr>
            </w:pPr>
            <w:r>
              <w:rPr>
                <w:rFonts w:hint="eastAsia" w:ascii="宋体" w:hAnsi="宋体" w:cs="宋体"/>
                <w:color w:val="auto"/>
                <w:kern w:val="0"/>
                <w:szCs w:val="21"/>
              </w:rPr>
              <w:t>2.签订合同</w:t>
            </w:r>
          </w:p>
          <w:p w14:paraId="74D8E124">
            <w:pPr>
              <w:spacing w:line="360" w:lineRule="exact"/>
              <w:ind w:left="105" w:leftChars="50" w:right="105" w:rightChars="50"/>
              <w:rPr>
                <w:rFonts w:hint="eastAsia" w:ascii="宋体" w:hAnsi="宋体" w:cs="宋体"/>
                <w:color w:val="auto"/>
                <w:kern w:val="0"/>
                <w:szCs w:val="21"/>
              </w:rPr>
            </w:pPr>
            <w:r>
              <w:rPr>
                <w:rFonts w:hint="eastAsia" w:ascii="宋体" w:hAnsi="宋体" w:cs="宋体"/>
                <w:color w:val="auto"/>
                <w:kern w:val="0"/>
                <w:szCs w:val="21"/>
              </w:rPr>
              <w:t>（1）中标人在接到中标通知书后，应按中标通知书规定的时间、地点及时与学院签订合同。</w:t>
            </w:r>
          </w:p>
          <w:p w14:paraId="3F421565">
            <w:pPr>
              <w:spacing w:line="360" w:lineRule="exact"/>
              <w:ind w:left="105" w:leftChars="50" w:right="105" w:rightChars="50"/>
              <w:rPr>
                <w:rFonts w:hint="eastAsia" w:ascii="宋体" w:hAnsi="宋体" w:cs="宋体"/>
                <w:color w:val="auto"/>
                <w:kern w:val="0"/>
                <w:szCs w:val="21"/>
              </w:rPr>
            </w:pPr>
            <w:r>
              <w:rPr>
                <w:rFonts w:hint="eastAsia" w:ascii="宋体" w:hAnsi="宋体" w:cs="宋体"/>
                <w:color w:val="auto"/>
                <w:kern w:val="0"/>
                <w:szCs w:val="21"/>
              </w:rPr>
              <w:t>（2）如中标人不按中标通知书的规定签订合同，则按中标人违约处理，学院将不予退还中标人全部投标保证金。</w:t>
            </w:r>
          </w:p>
          <w:p w14:paraId="653B8C25">
            <w:pPr>
              <w:spacing w:line="360" w:lineRule="exact"/>
              <w:ind w:left="105" w:leftChars="50" w:right="105" w:rightChars="50"/>
              <w:rPr>
                <w:rFonts w:hint="eastAsia" w:ascii="宋体" w:hAnsi="宋体"/>
                <w:color w:val="auto"/>
                <w:szCs w:val="21"/>
              </w:rPr>
            </w:pPr>
            <w:r>
              <w:rPr>
                <w:rFonts w:hint="eastAsia" w:ascii="宋体" w:hAnsi="宋体" w:cs="宋体"/>
                <w:color w:val="auto"/>
                <w:kern w:val="0"/>
                <w:szCs w:val="21"/>
              </w:rPr>
              <w:t>（3）中标人因不可抗力或者自身原因不能签订或履行采购合同的，学院可以与中标人之后排名第一的中标候选供应商签订采购合同，以此类推。</w:t>
            </w:r>
          </w:p>
        </w:tc>
      </w:tr>
      <w:tr w14:paraId="04601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trPr>
        <w:tc>
          <w:tcPr>
            <w:tcW w:w="788" w:type="pct"/>
            <w:gridSpan w:val="4"/>
            <w:shd w:val="clear" w:color="auto" w:fill="auto"/>
            <w:vAlign w:val="center"/>
          </w:tcPr>
          <w:p w14:paraId="1598AE06">
            <w:pPr>
              <w:snapToGrid w:val="0"/>
              <w:spacing w:line="360" w:lineRule="exact"/>
              <w:jc w:val="center"/>
              <w:rPr>
                <w:rFonts w:hint="eastAsia" w:ascii="宋体" w:hAnsi="宋体" w:cs="宋体"/>
                <w:b/>
                <w:bCs/>
                <w:color w:val="auto"/>
                <w:szCs w:val="21"/>
              </w:rPr>
            </w:pPr>
            <w:r>
              <w:rPr>
                <w:rFonts w:hint="eastAsia" w:ascii="宋体" w:hAnsi="宋体" w:cs="宋体"/>
                <w:b/>
                <w:bCs/>
                <w:color w:val="auto"/>
                <w:szCs w:val="21"/>
              </w:rPr>
              <w:t>项目验收</w:t>
            </w:r>
          </w:p>
        </w:tc>
        <w:tc>
          <w:tcPr>
            <w:tcW w:w="4211" w:type="pct"/>
            <w:gridSpan w:val="9"/>
            <w:shd w:val="clear" w:color="auto" w:fill="auto"/>
            <w:vAlign w:val="center"/>
          </w:tcPr>
          <w:p w14:paraId="1D58E038">
            <w:pPr>
              <w:spacing w:line="360" w:lineRule="exact"/>
              <w:ind w:left="105" w:leftChars="50" w:right="105" w:rightChars="50"/>
              <w:rPr>
                <w:rFonts w:hint="eastAsia" w:ascii="宋体" w:hAnsi="宋体" w:cs="宋体"/>
                <w:color w:val="auto"/>
                <w:kern w:val="0"/>
                <w:szCs w:val="21"/>
                <w:highlight w:val="none"/>
              </w:rPr>
            </w:pPr>
            <w:r>
              <w:rPr>
                <w:rFonts w:hint="eastAsia" w:ascii="宋体" w:hAnsi="宋体" w:cs="宋体"/>
                <w:color w:val="auto"/>
                <w:kern w:val="0"/>
                <w:szCs w:val="21"/>
                <w:highlight w:val="none"/>
              </w:rPr>
              <w:t>1.投标人所供投产品必须是符合国家有关质量标准及该行业标准制造并满足本项目需求的产品。学院按国家现行有关质量检验评定标准和施工技术验收规范执行并验收合格。</w:t>
            </w:r>
          </w:p>
          <w:p w14:paraId="759E751E">
            <w:pPr>
              <w:spacing w:line="360" w:lineRule="exact"/>
              <w:ind w:left="105" w:leftChars="50" w:right="105" w:rightChars="50"/>
              <w:rPr>
                <w:rFonts w:hint="eastAsia" w:ascii="宋体" w:hAnsi="宋体" w:cs="宋体"/>
                <w:color w:val="auto"/>
                <w:kern w:val="0"/>
                <w:szCs w:val="21"/>
                <w:highlight w:val="none"/>
              </w:rPr>
            </w:pPr>
            <w:r>
              <w:rPr>
                <w:rFonts w:hint="eastAsia" w:ascii="宋体" w:hAnsi="宋体" w:cs="宋体"/>
                <w:color w:val="auto"/>
                <w:kern w:val="0"/>
                <w:szCs w:val="21"/>
                <w:highlight w:val="none"/>
              </w:rPr>
              <w:t>2.投标人须在投标文件中对所投本项目产品的技术参数要求作出真实、有效的响应和承诺。所提供的产品（含零部件、配件等）必须为制造商原装出厂的、全新、无损伤、无变形、油漆喷涂均匀、表面无划伤、无脱落等质量问题或缺陷的产品。投标货物用材、制作工艺、配件等各项技术指标应完全符合国家和相关行业有关质量标准、检测标准、环保标准及产品出厂标准；</w:t>
            </w:r>
          </w:p>
          <w:p w14:paraId="5B00099E">
            <w:pPr>
              <w:spacing w:line="360" w:lineRule="exact"/>
              <w:ind w:left="105" w:leftChars="50" w:right="105" w:rightChars="50"/>
              <w:rPr>
                <w:rFonts w:hint="eastAsia" w:ascii="宋体" w:hAnsi="宋体" w:cs="宋体"/>
                <w:color w:val="auto"/>
                <w:kern w:val="0"/>
                <w:szCs w:val="21"/>
                <w:highlight w:val="none"/>
              </w:rPr>
            </w:pPr>
            <w:r>
              <w:rPr>
                <w:rFonts w:hint="eastAsia" w:ascii="宋体" w:hAnsi="宋体" w:cs="宋体"/>
                <w:color w:val="auto"/>
                <w:kern w:val="0"/>
                <w:szCs w:val="21"/>
                <w:highlight w:val="none"/>
              </w:rPr>
              <w:t>3.产品到货安装前，学院现场对成交供应商提交的货物依据采购文件上的技术规格要求和国家有关质量标准及投标文件承诺进行现场初步验收；中标供应商应将所提供货物的装箱清单、用户手册、原厂保修卡、随机资料、工具和备品、备件等交付给学院，如有缺失应及时补齐。货物符合前述要求的，给予签收（签收单由中标供应商负责提供），初步验收不合格的不予签收。</w:t>
            </w:r>
          </w:p>
          <w:p w14:paraId="2B7DC6D8">
            <w:pPr>
              <w:spacing w:line="360" w:lineRule="exact"/>
              <w:ind w:left="105" w:leftChars="50" w:right="105" w:rightChars="50"/>
              <w:rPr>
                <w:rFonts w:hint="eastAsia" w:ascii="宋体" w:hAnsi="宋体" w:cs="宋体"/>
                <w:color w:val="auto"/>
                <w:kern w:val="0"/>
                <w:szCs w:val="21"/>
                <w:highlight w:val="none"/>
              </w:rPr>
            </w:pPr>
            <w:r>
              <w:rPr>
                <w:rFonts w:hint="eastAsia" w:ascii="宋体" w:hAnsi="宋体" w:cs="宋体"/>
                <w:color w:val="auto"/>
                <w:kern w:val="0"/>
                <w:szCs w:val="21"/>
                <w:highlight w:val="none"/>
              </w:rPr>
              <w:t>4.中标供应商交货前应对产品作出全面检查和对验收文件进行整理，并列出清单，作为学院收货验收和使用的技术条件依据，检验的结果应随货物一同交给学院。</w:t>
            </w:r>
          </w:p>
          <w:p w14:paraId="13421B26">
            <w:pPr>
              <w:spacing w:line="360" w:lineRule="exact"/>
              <w:ind w:left="105" w:leftChars="50" w:right="105" w:rightChars="50"/>
              <w:rPr>
                <w:rFonts w:hint="eastAsia" w:ascii="宋体" w:hAnsi="宋体" w:cs="宋体"/>
                <w:color w:val="auto"/>
                <w:kern w:val="0"/>
                <w:szCs w:val="21"/>
                <w:highlight w:val="none"/>
              </w:rPr>
            </w:pPr>
            <w:r>
              <w:rPr>
                <w:rFonts w:hint="eastAsia" w:ascii="宋体" w:hAnsi="宋体" w:cs="宋体"/>
                <w:color w:val="auto"/>
                <w:kern w:val="0"/>
                <w:szCs w:val="21"/>
                <w:highlight w:val="none"/>
              </w:rPr>
              <w:t>5.货物在完成所有安装工序并经学院验收前，商品的丢失、损害或毁坏等风险由成交供应商承担。成交供应商组织安装施工期间应做到安全施工，不损坏学院的设备设施，否则应承担由于自身安全措施不力所造成的事故责任和造成的损失。</w:t>
            </w:r>
          </w:p>
          <w:p w14:paraId="6A1829A3">
            <w:pPr>
              <w:spacing w:line="360" w:lineRule="exact"/>
              <w:ind w:left="105" w:leftChars="50" w:right="105" w:rightChars="50"/>
              <w:rPr>
                <w:rFonts w:hint="eastAsia" w:ascii="宋体" w:hAnsi="宋体" w:cs="宋体"/>
                <w:color w:val="auto"/>
                <w:kern w:val="0"/>
                <w:szCs w:val="21"/>
                <w:highlight w:val="none"/>
              </w:rPr>
            </w:pPr>
            <w:r>
              <w:rPr>
                <w:rFonts w:hint="eastAsia" w:ascii="宋体" w:hAnsi="宋体" w:cs="宋体"/>
                <w:color w:val="auto"/>
                <w:kern w:val="0"/>
                <w:szCs w:val="21"/>
                <w:highlight w:val="none"/>
              </w:rPr>
              <w:t>6.学院在使用前对货物进行调试时，成交供应商需负责安装并培训学院的使用操作人员，并协助学院一起调试，直到符合技术要求，学院才做最终验收。</w:t>
            </w:r>
          </w:p>
          <w:p w14:paraId="401804EE">
            <w:pPr>
              <w:spacing w:line="360" w:lineRule="exact"/>
              <w:ind w:left="105" w:leftChars="50" w:right="105" w:rightChars="5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rPr>
              <w:t>.成交供应商对验收结果有异议的，应在验收后的3个工作日内以书面形式向学院提出，学院自收到成交供应商书面异议后的7个工作日内给与答复。</w:t>
            </w:r>
          </w:p>
          <w:p w14:paraId="74820436">
            <w:pPr>
              <w:spacing w:line="360" w:lineRule="exact"/>
              <w:ind w:left="105" w:leftChars="50" w:right="105" w:rightChars="5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8</w:t>
            </w:r>
            <w:r>
              <w:rPr>
                <w:rFonts w:hint="eastAsia" w:ascii="宋体" w:hAnsi="宋体" w:cs="宋体"/>
                <w:color w:val="auto"/>
                <w:kern w:val="0"/>
                <w:szCs w:val="21"/>
                <w:highlight w:val="none"/>
              </w:rPr>
              <w:t>.对于技术复杂的货物或服务，学院有权邀请国家认可的专业检测机构参与初步验收及最终验收，并由其出具质量检测报告。检测机构的验收费用由成交供应商负责。</w:t>
            </w:r>
          </w:p>
          <w:p w14:paraId="3AE87F15">
            <w:pPr>
              <w:spacing w:line="360" w:lineRule="exact"/>
              <w:ind w:left="105" w:leftChars="50" w:right="105" w:rightChars="50"/>
              <w:rPr>
                <w:rFonts w:hint="eastAsia" w:ascii="宋体" w:hAnsi="宋体"/>
                <w:color w:val="auto"/>
                <w:szCs w:val="21"/>
                <w:highlight w:val="none"/>
              </w:rPr>
            </w:pPr>
            <w:r>
              <w:rPr>
                <w:rFonts w:hint="eastAsia" w:ascii="宋体" w:hAnsi="宋体" w:cs="宋体"/>
                <w:color w:val="auto"/>
                <w:kern w:val="0"/>
                <w:szCs w:val="21"/>
                <w:highlight w:val="none"/>
                <w:lang w:val="en-US" w:eastAsia="zh-CN"/>
              </w:rPr>
              <w:t>9</w:t>
            </w:r>
            <w:r>
              <w:rPr>
                <w:rFonts w:hint="eastAsia" w:ascii="宋体" w:hAnsi="宋体" w:cs="宋体"/>
                <w:color w:val="auto"/>
                <w:kern w:val="0"/>
                <w:szCs w:val="21"/>
                <w:highlight w:val="none"/>
              </w:rPr>
              <w:t>.如学院在验收过程中发现中标供应商有违约问题，将暂缓合同结算。待违约问题解决后，方才办理合同结算事宜。</w:t>
            </w:r>
          </w:p>
        </w:tc>
      </w:tr>
      <w:tr w14:paraId="116AF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trPr>
        <w:tc>
          <w:tcPr>
            <w:tcW w:w="788" w:type="pct"/>
            <w:gridSpan w:val="4"/>
            <w:shd w:val="clear" w:color="auto" w:fill="auto"/>
            <w:vAlign w:val="center"/>
          </w:tcPr>
          <w:p w14:paraId="7692ED36">
            <w:pPr>
              <w:snapToGrid w:val="0"/>
              <w:spacing w:line="360" w:lineRule="exact"/>
              <w:jc w:val="center"/>
              <w:rPr>
                <w:rFonts w:hint="eastAsia" w:ascii="宋体" w:hAnsi="宋体" w:cs="宋体"/>
                <w:b/>
                <w:bCs/>
                <w:color w:val="auto"/>
                <w:szCs w:val="21"/>
              </w:rPr>
            </w:pPr>
            <w:r>
              <w:rPr>
                <w:rFonts w:hint="eastAsia" w:ascii="宋体" w:hAnsi="宋体" w:cs="宋体"/>
                <w:b/>
                <w:bCs/>
                <w:color w:val="auto"/>
                <w:szCs w:val="21"/>
              </w:rPr>
              <w:t>采购文件发布、澄清和修改方式</w:t>
            </w:r>
          </w:p>
        </w:tc>
        <w:tc>
          <w:tcPr>
            <w:tcW w:w="4211" w:type="pct"/>
            <w:gridSpan w:val="9"/>
            <w:shd w:val="clear" w:color="auto" w:fill="auto"/>
            <w:vAlign w:val="center"/>
          </w:tcPr>
          <w:p w14:paraId="7DA32E1E">
            <w:pPr>
              <w:spacing w:line="360" w:lineRule="exact"/>
              <w:ind w:left="105" w:leftChars="50" w:right="105" w:rightChars="50"/>
              <w:rPr>
                <w:rFonts w:hint="eastAsia" w:ascii="宋体" w:hAnsi="宋体" w:cs="宋体"/>
                <w:color w:val="auto"/>
                <w:kern w:val="0"/>
                <w:szCs w:val="21"/>
                <w:highlight w:val="none"/>
              </w:rPr>
            </w:pPr>
            <w:r>
              <w:rPr>
                <w:rFonts w:hint="eastAsia" w:ascii="宋体" w:hAnsi="宋体" w:cs="宋体"/>
                <w:color w:val="auto"/>
                <w:kern w:val="0"/>
                <w:szCs w:val="21"/>
                <w:highlight w:val="none"/>
              </w:rPr>
              <w:t>1.采购文件发布、澄清和修改方式：通过</w:t>
            </w:r>
            <w:bookmarkStart w:id="0" w:name="_Hlk109761147"/>
            <w:r>
              <w:rPr>
                <w:rFonts w:hint="eastAsia" w:ascii="宋体" w:hAnsi="宋体" w:cs="宋体"/>
                <w:color w:val="auto"/>
                <w:kern w:val="0"/>
                <w:szCs w:val="21"/>
                <w:highlight w:val="none"/>
              </w:rPr>
              <w:t>南宁师范大学</w:t>
            </w:r>
            <w:r>
              <w:rPr>
                <w:rFonts w:hint="eastAsia" w:ascii="宋体" w:hAnsi="宋体" w:cs="宋体"/>
                <w:color w:val="auto"/>
                <w:kern w:val="0"/>
                <w:szCs w:val="21"/>
                <w:highlight w:val="none"/>
                <w:lang w:eastAsia="zh-CN"/>
              </w:rPr>
              <w:t>官网</w:t>
            </w:r>
            <w:r>
              <w:rPr>
                <w:rFonts w:hint="eastAsia" w:ascii="宋体" w:hAnsi="宋体" w:cs="宋体"/>
                <w:color w:val="auto"/>
                <w:kern w:val="0"/>
                <w:szCs w:val="21"/>
                <w:highlight w:val="none"/>
              </w:rPr>
              <w:t>、校务公开栏发布</w:t>
            </w:r>
            <w:bookmarkEnd w:id="0"/>
            <w:r>
              <w:rPr>
                <w:rFonts w:hint="eastAsia" w:ascii="宋体" w:hAnsi="宋体" w:cs="宋体"/>
                <w:color w:val="auto"/>
                <w:kern w:val="0"/>
                <w:szCs w:val="21"/>
                <w:highlight w:val="none"/>
              </w:rPr>
              <w:t>或以书面、电话、短信等方式通知潜在投标人。</w:t>
            </w:r>
          </w:p>
          <w:p w14:paraId="782D3EB0">
            <w:pPr>
              <w:spacing w:line="360" w:lineRule="exact"/>
              <w:ind w:left="105" w:leftChars="50" w:right="105" w:rightChars="50"/>
              <w:rPr>
                <w:rFonts w:hint="eastAsia" w:ascii="宋体" w:hAnsi="宋体" w:cs="宋体"/>
                <w:color w:val="auto"/>
                <w:kern w:val="0"/>
                <w:szCs w:val="21"/>
                <w:highlight w:val="none"/>
              </w:rPr>
            </w:pPr>
            <w:r>
              <w:rPr>
                <w:rFonts w:hint="eastAsia" w:ascii="宋体" w:hAnsi="宋体" w:cs="宋体"/>
                <w:color w:val="auto"/>
                <w:kern w:val="0"/>
                <w:szCs w:val="21"/>
                <w:highlight w:val="none"/>
              </w:rPr>
              <w:t>2.★投标人应认真阅读采购文件的采购需求，如</w:t>
            </w:r>
            <w:r>
              <w:rPr>
                <w:rFonts w:hint="eastAsia" w:ascii="宋体" w:hAnsi="宋体" w:cs="宋体"/>
                <w:color w:val="auto"/>
                <w:kern w:val="0"/>
                <w:szCs w:val="21"/>
                <w:highlight w:val="none"/>
                <w:lang w:val="en-US" w:eastAsia="zh-CN"/>
              </w:rPr>
              <w:t>有异议</w:t>
            </w:r>
            <w:r>
              <w:rPr>
                <w:rFonts w:hint="eastAsia" w:ascii="宋体" w:hAnsi="宋体" w:cs="宋体"/>
                <w:color w:val="auto"/>
                <w:kern w:val="0"/>
                <w:szCs w:val="21"/>
                <w:highlight w:val="none"/>
              </w:rPr>
              <w:t>，投标人必须在提交响应文件截止日期3日前以书面形式</w:t>
            </w:r>
            <w:r>
              <w:rPr>
                <w:rFonts w:hint="eastAsia" w:ascii="宋体" w:hAnsi="宋体" w:cs="宋体"/>
                <w:color w:val="auto"/>
                <w:kern w:val="0"/>
                <w:szCs w:val="21"/>
                <w:highlight w:val="none"/>
                <w:lang w:val="en-US" w:eastAsia="zh-CN"/>
              </w:rPr>
              <w:t>向南宁师范大学国有资产与实验室管理中心</w:t>
            </w:r>
            <w:r>
              <w:rPr>
                <w:rFonts w:hint="eastAsia" w:ascii="宋体" w:hAnsi="宋体" w:cs="宋体"/>
                <w:color w:val="auto"/>
                <w:kern w:val="0"/>
                <w:szCs w:val="21"/>
                <w:highlight w:val="none"/>
              </w:rPr>
              <w:t>提出，同时认定其他澄清方式为无效。</w:t>
            </w:r>
            <w:r>
              <w:rPr>
                <w:rFonts w:hint="eastAsia" w:ascii="宋体" w:hAnsi="宋体" w:cs="宋体"/>
                <w:color w:val="auto"/>
                <w:kern w:val="0"/>
                <w:szCs w:val="21"/>
                <w:highlight w:val="none"/>
                <w:lang w:val="en-US" w:eastAsia="zh-CN"/>
              </w:rPr>
              <w:t>我校</w:t>
            </w:r>
            <w:r>
              <w:rPr>
                <w:rFonts w:hint="eastAsia" w:ascii="宋体" w:hAnsi="宋体" w:cs="宋体"/>
                <w:color w:val="auto"/>
                <w:kern w:val="0"/>
                <w:szCs w:val="21"/>
                <w:highlight w:val="none"/>
              </w:rPr>
              <w:t>将以书面或者电话、短信等方式予以答复。投标人在提交响应文件截止日期前不足3日对采购文件提出的质疑或投诉将不予受理。</w:t>
            </w:r>
          </w:p>
          <w:p w14:paraId="7ACAE7A3">
            <w:pPr>
              <w:spacing w:line="360" w:lineRule="exact"/>
              <w:ind w:left="105" w:leftChars="50" w:right="105" w:rightChars="50"/>
              <w:rPr>
                <w:rFonts w:hint="eastAsia" w:ascii="宋体" w:hAnsi="宋体" w:cs="宋体"/>
                <w:color w:val="auto"/>
                <w:kern w:val="0"/>
                <w:szCs w:val="21"/>
                <w:highlight w:val="none"/>
              </w:rPr>
            </w:pPr>
            <w:r>
              <w:rPr>
                <w:rFonts w:hint="eastAsia" w:ascii="宋体" w:hAnsi="宋体" w:cs="宋体"/>
                <w:color w:val="auto"/>
                <w:kern w:val="0"/>
                <w:szCs w:val="21"/>
                <w:highlight w:val="none"/>
              </w:rPr>
              <w:t>3.学院可对已发出的采购文件进行必要的澄清或者修改，澄清或者修改的内容作为采购文件的组成部分。澄清或修改的内容可能影响响应文件编制的，学院将视情况顺延提交响应文件截止时间，并通过学院官网、校务公开栏、书面或者电话、短信等方式通知投标人。</w:t>
            </w:r>
          </w:p>
          <w:p w14:paraId="5525423D">
            <w:pPr>
              <w:spacing w:line="360" w:lineRule="exact"/>
              <w:ind w:left="105" w:leftChars="50" w:right="105" w:rightChars="50"/>
              <w:rPr>
                <w:rFonts w:hint="eastAsia" w:ascii="宋体" w:hAnsi="宋体" w:eastAsia="宋体"/>
                <w:b w:val="0"/>
                <w:color w:val="auto"/>
                <w:sz w:val="21"/>
                <w:szCs w:val="21"/>
                <w:highlight w:val="none"/>
              </w:rPr>
            </w:pPr>
            <w:r>
              <w:rPr>
                <w:rFonts w:hint="eastAsia" w:ascii="宋体" w:hAnsi="宋体" w:cs="宋体"/>
                <w:color w:val="auto"/>
                <w:kern w:val="0"/>
                <w:szCs w:val="21"/>
                <w:highlight w:val="none"/>
              </w:rPr>
              <w:t>4.学院可视具体情况延长响应文件递交截止时间和开标时间，并在采购文件要求提交响应文件的截止时间1日前，将变更时间通过学院官网、校务公开栏、书面或者电话、短信等方式通知投标人。</w:t>
            </w:r>
          </w:p>
        </w:tc>
      </w:tr>
      <w:tr w14:paraId="43E0F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239" w:hRule="atLeast"/>
        </w:trPr>
        <w:tc>
          <w:tcPr>
            <w:tcW w:w="788" w:type="pct"/>
            <w:gridSpan w:val="4"/>
            <w:shd w:val="clear" w:color="auto" w:fill="auto"/>
            <w:vAlign w:val="center"/>
          </w:tcPr>
          <w:p w14:paraId="4FDB681F">
            <w:pPr>
              <w:snapToGrid w:val="0"/>
              <w:spacing w:line="360" w:lineRule="exact"/>
              <w:jc w:val="center"/>
              <w:rPr>
                <w:rFonts w:hint="eastAsia" w:ascii="宋体" w:hAnsi="宋体" w:cs="宋体"/>
                <w:b/>
                <w:bCs/>
                <w:color w:val="auto"/>
                <w:szCs w:val="21"/>
              </w:rPr>
            </w:pPr>
            <w:r>
              <w:rPr>
                <w:rFonts w:hint="eastAsia" w:ascii="宋体" w:hAnsi="宋体" w:cs="宋体"/>
                <w:b/>
                <w:bCs/>
                <w:color w:val="auto"/>
                <w:szCs w:val="21"/>
              </w:rPr>
              <w:t>其他要求</w:t>
            </w:r>
          </w:p>
        </w:tc>
        <w:tc>
          <w:tcPr>
            <w:tcW w:w="4211" w:type="pct"/>
            <w:gridSpan w:val="9"/>
            <w:shd w:val="clear" w:color="auto" w:fill="auto"/>
            <w:vAlign w:val="center"/>
          </w:tcPr>
          <w:p w14:paraId="4A8D774B">
            <w:pPr>
              <w:numPr>
                <w:ilvl w:val="0"/>
                <w:numId w:val="3"/>
              </w:numPr>
              <w:spacing w:line="360" w:lineRule="exact"/>
              <w:ind w:left="0" w:leftChars="0" w:right="105" w:rightChars="50" w:firstLine="0" w:firstLineChars="0"/>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供应商提供的货物需全部满足核心参数要求、必须提供检测报告复印件及原件核查，不提供或不合要求的业主可做废标处理，并按规定对投标公司予以处罚和进行网上通报处理。</w:t>
            </w:r>
          </w:p>
          <w:p w14:paraId="09B5336F">
            <w:pPr>
              <w:spacing w:line="360" w:lineRule="exact"/>
              <w:ind w:left="105" w:leftChars="50" w:right="105" w:rightChars="50"/>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2.★中标人应在签订合同前提供满足参数要求的阅览椅（</w:t>
            </w:r>
            <w:r>
              <w:rPr>
                <w:rFonts w:hint="eastAsia" w:ascii="宋体" w:hAnsi="宋体" w:eastAsia="宋体" w:cs="宋体"/>
                <w:i w:val="0"/>
                <w:iCs w:val="0"/>
                <w:color w:val="000000"/>
                <w:kern w:val="0"/>
                <w:sz w:val="22"/>
                <w:szCs w:val="22"/>
                <w:u w:val="none"/>
                <w:lang w:val="en-US" w:eastAsia="zh-CN" w:bidi="ar"/>
              </w:rPr>
              <w:t>450*450*880）</w:t>
            </w:r>
            <w:r>
              <w:rPr>
                <w:rFonts w:hint="eastAsia" w:ascii="宋体" w:hAnsi="宋体" w:cs="宋体"/>
                <w:color w:val="auto"/>
                <w:kern w:val="0"/>
                <w:szCs w:val="21"/>
                <w:highlight w:val="none"/>
                <w:lang w:val="en-US" w:eastAsia="zh-CN"/>
              </w:rPr>
              <w:t>样品一张，批量产品必须与样品完全一致，材质、颜色、纹理、工艺不得出现偏差，未按样品生产视为验收不合格，</w:t>
            </w:r>
            <w:r>
              <w:rPr>
                <w:rFonts w:hint="eastAsia" w:ascii="宋体" w:hAnsi="宋体" w:cs="宋体"/>
                <w:color w:val="auto"/>
                <w:kern w:val="0"/>
                <w:szCs w:val="21"/>
                <w:highlight w:val="none"/>
              </w:rPr>
              <w:t>并且能够达到相应的使用要求</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不合要求的业主可做废标处理，并按规定对投标公司予以处罚和进行网上通报处理。</w:t>
            </w:r>
          </w:p>
          <w:p w14:paraId="2F363B90">
            <w:pPr>
              <w:spacing w:line="360" w:lineRule="exact"/>
              <w:ind w:left="105" w:leftChars="50" w:right="105" w:rightChars="5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.中标供应商须保证向学院提供的货物（含硬件和软件）是全新、完整、未使用过的，具备正规合法经销渠道，符合国家各项有关质量标准的合格产品并且能够达到相应的使用要求。</w:t>
            </w:r>
          </w:p>
          <w:p w14:paraId="4D1EF22F">
            <w:pPr>
              <w:spacing w:line="360" w:lineRule="exact"/>
              <w:ind w:left="105" w:leftChars="50" w:right="105" w:rightChars="5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.除法律、法规和规章规定外，采购文件中用“拒绝”、“不接受”、“无效”、“不得”、“必须”、“应当”等文字规定或“</w:t>
            </w:r>
            <w:bookmarkStart w:id="1" w:name="_Hlk101777394"/>
            <w:r>
              <w:rPr>
                <w:rFonts w:hint="eastAsia" w:ascii="宋体" w:hAnsi="宋体" w:cs="宋体"/>
                <w:color w:val="auto"/>
                <w:kern w:val="0"/>
                <w:szCs w:val="21"/>
                <w:highlight w:val="none"/>
              </w:rPr>
              <w:t>★</w:t>
            </w:r>
            <w:bookmarkEnd w:id="1"/>
            <w:r>
              <w:rPr>
                <w:rFonts w:hint="eastAsia" w:ascii="宋体" w:hAnsi="宋体" w:cs="宋体"/>
                <w:color w:val="auto"/>
                <w:kern w:val="0"/>
                <w:szCs w:val="21"/>
                <w:highlight w:val="none"/>
              </w:rPr>
              <w:t>”符号的条款均为实质性要求条款。发生实质性负偏离的，视为无效响应。</w:t>
            </w:r>
          </w:p>
          <w:p w14:paraId="373DCBB1">
            <w:pPr>
              <w:spacing w:line="360" w:lineRule="exact"/>
              <w:ind w:left="105" w:leftChars="50" w:right="105" w:rightChars="5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投标人应仔细阅读采购文件的所有内容，按照采购文件的要求提交投标文件，并对所提供的全部资料的真实性承担法律责任。</w:t>
            </w:r>
          </w:p>
          <w:p w14:paraId="74A7A286">
            <w:pPr>
              <w:spacing w:line="360" w:lineRule="exact"/>
              <w:ind w:left="105" w:leftChars="50" w:right="105" w:rightChars="50"/>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6.★投标人在本项目采购活动中提供任何虚假材料，其投标无效；中标后发现的，中标人须依照《中华人民共和国消费者权益保护法》第49条之规定双倍赔偿采购人，且民事赔偿并不免除违法投标人的行政与刑事责任。</w:t>
            </w:r>
          </w:p>
        </w:tc>
      </w:tr>
    </w:tbl>
    <w:p w14:paraId="44A3A0B9"/>
    <w:sectPr>
      <w:pgSz w:w="11906" w:h="16838"/>
      <w:pgMar w:top="567" w:right="567" w:bottom="567" w:left="56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BFC50A"/>
    <w:multiLevelType w:val="singleLevel"/>
    <w:tmpl w:val="EBBFC50A"/>
    <w:lvl w:ilvl="0" w:tentative="0">
      <w:start w:val="1"/>
      <w:numFmt w:val="decimal"/>
      <w:suff w:val="nothing"/>
      <w:lvlText w:val="（%1）"/>
      <w:lvlJc w:val="left"/>
    </w:lvl>
  </w:abstractNum>
  <w:abstractNum w:abstractNumId="1">
    <w:nsid w:val="F070C1B1"/>
    <w:multiLevelType w:val="singleLevel"/>
    <w:tmpl w:val="F070C1B1"/>
    <w:lvl w:ilvl="0" w:tentative="0">
      <w:start w:val="1"/>
      <w:numFmt w:val="decimal"/>
      <w:suff w:val="nothing"/>
      <w:lvlText w:val="（%1）"/>
      <w:lvlJc w:val="left"/>
    </w:lvl>
  </w:abstractNum>
  <w:abstractNum w:abstractNumId="2">
    <w:nsid w:val="75BCF506"/>
    <w:multiLevelType w:val="singleLevel"/>
    <w:tmpl w:val="75BCF506"/>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5B20DE"/>
    <w:rsid w:val="00ED7220"/>
    <w:rsid w:val="017C65C5"/>
    <w:rsid w:val="020865D2"/>
    <w:rsid w:val="03E75194"/>
    <w:rsid w:val="03E8167A"/>
    <w:rsid w:val="03FA6D38"/>
    <w:rsid w:val="0591547A"/>
    <w:rsid w:val="05CF7D50"/>
    <w:rsid w:val="06736C0A"/>
    <w:rsid w:val="067F7BED"/>
    <w:rsid w:val="0689291F"/>
    <w:rsid w:val="08F6753C"/>
    <w:rsid w:val="0AD270DB"/>
    <w:rsid w:val="0ADF4592"/>
    <w:rsid w:val="0BBF224A"/>
    <w:rsid w:val="0C7D4058"/>
    <w:rsid w:val="0D116EA1"/>
    <w:rsid w:val="0DAF7237"/>
    <w:rsid w:val="0ED40740"/>
    <w:rsid w:val="0F3A019B"/>
    <w:rsid w:val="0F727B9B"/>
    <w:rsid w:val="0FF26B15"/>
    <w:rsid w:val="11370238"/>
    <w:rsid w:val="128F7D67"/>
    <w:rsid w:val="147541B9"/>
    <w:rsid w:val="149168C3"/>
    <w:rsid w:val="149425C9"/>
    <w:rsid w:val="14CB4C3E"/>
    <w:rsid w:val="15237771"/>
    <w:rsid w:val="16C41065"/>
    <w:rsid w:val="17312619"/>
    <w:rsid w:val="17E90CFE"/>
    <w:rsid w:val="18697B91"/>
    <w:rsid w:val="195F300D"/>
    <w:rsid w:val="196216FB"/>
    <w:rsid w:val="1A722667"/>
    <w:rsid w:val="1A9A04D5"/>
    <w:rsid w:val="1B430B6D"/>
    <w:rsid w:val="1CDF3A25"/>
    <w:rsid w:val="1D6F3E9B"/>
    <w:rsid w:val="1D92432C"/>
    <w:rsid w:val="1DA43419"/>
    <w:rsid w:val="1E1278FC"/>
    <w:rsid w:val="1F4C5B16"/>
    <w:rsid w:val="1FBE23A9"/>
    <w:rsid w:val="206E1E82"/>
    <w:rsid w:val="21582CD5"/>
    <w:rsid w:val="21A65A33"/>
    <w:rsid w:val="21C35BB2"/>
    <w:rsid w:val="23BF0FAD"/>
    <w:rsid w:val="24635DDC"/>
    <w:rsid w:val="25F211C5"/>
    <w:rsid w:val="278C564A"/>
    <w:rsid w:val="279F35CF"/>
    <w:rsid w:val="285F2D5E"/>
    <w:rsid w:val="29500971"/>
    <w:rsid w:val="29CD1C30"/>
    <w:rsid w:val="2A97233B"/>
    <w:rsid w:val="2AA84549"/>
    <w:rsid w:val="2BAC3CCA"/>
    <w:rsid w:val="2BB533C1"/>
    <w:rsid w:val="2BBC7992"/>
    <w:rsid w:val="2C0C49E1"/>
    <w:rsid w:val="2CF41CC7"/>
    <w:rsid w:val="2D0C28F6"/>
    <w:rsid w:val="30E90748"/>
    <w:rsid w:val="310821E5"/>
    <w:rsid w:val="31DE2F46"/>
    <w:rsid w:val="33001C3D"/>
    <w:rsid w:val="350E718F"/>
    <w:rsid w:val="357A1030"/>
    <w:rsid w:val="35853870"/>
    <w:rsid w:val="35B33840"/>
    <w:rsid w:val="35EF74CF"/>
    <w:rsid w:val="360B53C3"/>
    <w:rsid w:val="387908F6"/>
    <w:rsid w:val="38EB5155"/>
    <w:rsid w:val="39010314"/>
    <w:rsid w:val="39B76008"/>
    <w:rsid w:val="3AE72E6B"/>
    <w:rsid w:val="3B2D3075"/>
    <w:rsid w:val="3B8C77D5"/>
    <w:rsid w:val="3B8D4BD6"/>
    <w:rsid w:val="3B9052B1"/>
    <w:rsid w:val="3CF4581C"/>
    <w:rsid w:val="3D0A3626"/>
    <w:rsid w:val="3EC46073"/>
    <w:rsid w:val="3F6E1839"/>
    <w:rsid w:val="3F6F582D"/>
    <w:rsid w:val="401E39A0"/>
    <w:rsid w:val="40420B44"/>
    <w:rsid w:val="407E12AC"/>
    <w:rsid w:val="40D04494"/>
    <w:rsid w:val="41FA16D6"/>
    <w:rsid w:val="439C4B3A"/>
    <w:rsid w:val="44201E87"/>
    <w:rsid w:val="44955A6D"/>
    <w:rsid w:val="454472F8"/>
    <w:rsid w:val="46F93E47"/>
    <w:rsid w:val="47065D63"/>
    <w:rsid w:val="47AB0ABF"/>
    <w:rsid w:val="48B55270"/>
    <w:rsid w:val="4A087E3D"/>
    <w:rsid w:val="4A0D21C2"/>
    <w:rsid w:val="4AA613F1"/>
    <w:rsid w:val="4AE7361B"/>
    <w:rsid w:val="4CA63DE7"/>
    <w:rsid w:val="4D363B4B"/>
    <w:rsid w:val="4D3973EF"/>
    <w:rsid w:val="4D465E9F"/>
    <w:rsid w:val="4E3B668B"/>
    <w:rsid w:val="4E7F4AF7"/>
    <w:rsid w:val="4EA418F5"/>
    <w:rsid w:val="4EDE7A07"/>
    <w:rsid w:val="4F19792F"/>
    <w:rsid w:val="4F8C0439"/>
    <w:rsid w:val="50946536"/>
    <w:rsid w:val="510E0CFA"/>
    <w:rsid w:val="516945EC"/>
    <w:rsid w:val="522E0F28"/>
    <w:rsid w:val="56A161AD"/>
    <w:rsid w:val="57603931"/>
    <w:rsid w:val="57D904B8"/>
    <w:rsid w:val="58B2640F"/>
    <w:rsid w:val="58ED248B"/>
    <w:rsid w:val="599C78A9"/>
    <w:rsid w:val="5A5B20DE"/>
    <w:rsid w:val="5AB86A1E"/>
    <w:rsid w:val="5AEA369E"/>
    <w:rsid w:val="5B4812AC"/>
    <w:rsid w:val="5BEA5CEA"/>
    <w:rsid w:val="5C4528D4"/>
    <w:rsid w:val="5C566D9D"/>
    <w:rsid w:val="5CE172C2"/>
    <w:rsid w:val="61BF7DEE"/>
    <w:rsid w:val="62FB6AAB"/>
    <w:rsid w:val="64371EBE"/>
    <w:rsid w:val="64C9520C"/>
    <w:rsid w:val="672C5157"/>
    <w:rsid w:val="68555008"/>
    <w:rsid w:val="69901E14"/>
    <w:rsid w:val="6B4E15ED"/>
    <w:rsid w:val="6B8A4E6F"/>
    <w:rsid w:val="6BF951C8"/>
    <w:rsid w:val="6C186A79"/>
    <w:rsid w:val="6D365409"/>
    <w:rsid w:val="6D725D15"/>
    <w:rsid w:val="6E614EA5"/>
    <w:rsid w:val="6FA729CF"/>
    <w:rsid w:val="6FC438EB"/>
    <w:rsid w:val="70A00DEB"/>
    <w:rsid w:val="70BA2B7E"/>
    <w:rsid w:val="711517D9"/>
    <w:rsid w:val="71463740"/>
    <w:rsid w:val="73CA2808"/>
    <w:rsid w:val="741412BA"/>
    <w:rsid w:val="7491269B"/>
    <w:rsid w:val="77B90B10"/>
    <w:rsid w:val="77E42B0E"/>
    <w:rsid w:val="78413A17"/>
    <w:rsid w:val="794F33AE"/>
    <w:rsid w:val="79A07CA5"/>
    <w:rsid w:val="79DE63D4"/>
    <w:rsid w:val="7ADB3D1A"/>
    <w:rsid w:val="7AED5CCF"/>
    <w:rsid w:val="7B2F0C84"/>
    <w:rsid w:val="7C160DA1"/>
    <w:rsid w:val="7C3F3766"/>
    <w:rsid w:val="7DA0242A"/>
    <w:rsid w:val="7F531E4A"/>
    <w:rsid w:val="7FA16763"/>
    <w:rsid w:val="7FF526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line="380" w:lineRule="exact"/>
    </w:pPr>
    <w:rPr>
      <w:sz w:val="24"/>
    </w:rPr>
  </w:style>
  <w:style w:type="paragraph" w:styleId="3">
    <w:name w:val="Title"/>
    <w:basedOn w:val="1"/>
    <w:next w:val="1"/>
    <w:qFormat/>
    <w:uiPriority w:val="99"/>
    <w:pPr>
      <w:spacing w:before="240" w:after="60"/>
      <w:jc w:val="center"/>
      <w:outlineLvl w:val="0"/>
    </w:pPr>
    <w:rPr>
      <w:rFonts w:ascii="Cambria" w:hAnsi="Cambria" w:cs="Cambria" w:eastAsiaTheme="minorEastAsia"/>
      <w:b/>
      <w:bCs/>
      <w:sz w:val="32"/>
      <w:szCs w:val="32"/>
    </w:rPr>
  </w:style>
  <w:style w:type="paragraph" w:customStyle="1" w:styleId="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7">
    <w:name w:val="font21"/>
    <w:basedOn w:val="5"/>
    <w:qFormat/>
    <w:uiPriority w:val="0"/>
    <w:rPr>
      <w:rFonts w:hint="eastAsia" w:ascii="宋体" w:hAnsi="宋体" w:eastAsia="宋体" w:cs="宋体"/>
      <w:color w:val="000000"/>
      <w:sz w:val="24"/>
      <w:szCs w:val="24"/>
      <w:u w:val="none"/>
    </w:rPr>
  </w:style>
  <w:style w:type="character" w:customStyle="1" w:styleId="8">
    <w:name w:val="font41"/>
    <w:basedOn w:val="5"/>
    <w:qFormat/>
    <w:uiPriority w:val="0"/>
    <w:rPr>
      <w:rFonts w:hint="eastAsia" w:ascii="宋体" w:hAnsi="宋体" w:eastAsia="宋体" w:cs="宋体"/>
      <w:color w:val="FF0000"/>
      <w:sz w:val="24"/>
      <w:szCs w:val="24"/>
      <w:u w:val="none"/>
    </w:rPr>
  </w:style>
  <w:style w:type="character" w:customStyle="1" w:styleId="9">
    <w:name w:val="font31"/>
    <w:basedOn w:val="5"/>
    <w:qFormat/>
    <w:uiPriority w:val="0"/>
    <w:rPr>
      <w:rFonts w:hint="eastAsia" w:ascii="宋体" w:hAnsi="宋体" w:eastAsia="宋体" w:cs="宋体"/>
      <w:color w:val="000000"/>
      <w:sz w:val="22"/>
      <w:szCs w:val="22"/>
      <w:u w:val="none"/>
    </w:rPr>
  </w:style>
  <w:style w:type="character" w:customStyle="1" w:styleId="10">
    <w:name w:val="font51"/>
    <w:basedOn w:val="5"/>
    <w:qFormat/>
    <w:uiPriority w:val="0"/>
    <w:rPr>
      <w:rFonts w:hint="eastAsia" w:ascii="宋体" w:hAnsi="宋体" w:eastAsia="宋体" w:cs="宋体"/>
      <w:color w:val="FF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3263</Words>
  <Characters>3984</Characters>
  <Lines>0</Lines>
  <Paragraphs>0</Paragraphs>
  <TotalTime>5</TotalTime>
  <ScaleCrop>false</ScaleCrop>
  <LinksUpToDate>false</LinksUpToDate>
  <CharactersWithSpaces>4091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2026-05-29T08:04:00Z</dcterms:created>
  <dc:creator>办公家具赵冰冰15678999568</dc:creator>
  <cp:lastModifiedBy>李霜</cp:lastModifiedBy>
  <dcterms:modified xsi:type="dcterms:W3CDTF">2026-07-13T02:13:16Z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E25F98534A9B41CBB5DEE15865EB0217_13</vt:lpwstr>
  </property>
  <property fmtid="{D5CDD505-2E9C-101B-9397-08002B2CF9AE}" pid="4" name="KSOTemplateDocerSaveRecord">
    <vt:lpwstr>eyJoZGlkIjoiNWQ4ZTk5NGMyNGU1OTU1OWNmNzRiNDljYjFhMzU2ZjMiLCJ1c2VySWQiOiIzMjgzNDI1NzIifQ==</vt:lpwstr>
  </property>
</Properties>
</file>