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0B1D55">
      <w:pPr>
        <w:jc w:val="center"/>
        <w:rPr>
          <w:rFonts w:hint="eastAsia" w:ascii="宋体" w:hAnsi="宋体" w:eastAsia="宋体" w:cs="宋体"/>
          <w:b/>
          <w:bCs/>
          <w:i w:val="0"/>
          <w:iCs w:val="0"/>
          <w:color w:val="000000"/>
          <w:kern w:val="0"/>
          <w:sz w:val="30"/>
          <w:szCs w:val="30"/>
          <w:u w:val="none"/>
          <w:lang w:val="en-US" w:eastAsia="zh-CN" w:bidi="ar"/>
        </w:rPr>
      </w:pPr>
      <w:r>
        <w:rPr>
          <w:rFonts w:hint="eastAsia" w:ascii="宋体" w:hAnsi="宋体" w:eastAsia="宋体" w:cs="宋体"/>
          <w:b/>
          <w:bCs/>
          <w:i w:val="0"/>
          <w:iCs w:val="0"/>
          <w:color w:val="000000"/>
          <w:kern w:val="0"/>
          <w:sz w:val="30"/>
          <w:szCs w:val="30"/>
          <w:u w:val="none"/>
          <w:lang w:val="en-US" w:eastAsia="zh-CN" w:bidi="ar"/>
        </w:rPr>
        <w:t>南宁师范大学长岗校区图书馆书架采购项目需求表</w:t>
      </w:r>
      <w:bookmarkStart w:id="0" w:name="_GoBack"/>
      <w:bookmarkEnd w:id="0"/>
    </w:p>
    <w:p w14:paraId="2F0D7BD3">
      <w:pPr>
        <w:bidi w:val="0"/>
        <w:rPr>
          <w:rFonts w:hint="eastAsia" w:asciiTheme="minorHAnsi" w:hAnsiTheme="minorHAnsi" w:eastAsiaTheme="minorEastAsia" w:cstheme="minorBidi"/>
          <w:kern w:val="2"/>
          <w:sz w:val="21"/>
          <w:szCs w:val="24"/>
          <w:lang w:val="en-US" w:eastAsia="zh-CN" w:bidi="ar-SA"/>
        </w:rPr>
      </w:pPr>
    </w:p>
    <w:tbl>
      <w:tblPr>
        <w:tblStyle w:val="3"/>
        <w:tblW w:w="96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2"/>
        <w:gridCol w:w="1235"/>
        <w:gridCol w:w="5435"/>
        <w:gridCol w:w="750"/>
        <w:gridCol w:w="726"/>
        <w:gridCol w:w="831"/>
      </w:tblGrid>
      <w:tr w14:paraId="32061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80" w:hRule="atLeast"/>
          <w:jc w:val="center"/>
        </w:trPr>
        <w:tc>
          <w:tcPr>
            <w:tcW w:w="632" w:type="dxa"/>
            <w:vAlign w:val="center"/>
          </w:tcPr>
          <w:p w14:paraId="2DF07842">
            <w:pPr>
              <w:numPr>
                <w:ilvl w:val="0"/>
                <w:numId w:val="0"/>
              </w:numPr>
              <w:jc w:val="center"/>
              <w:rPr>
                <w:rFonts w:hint="default"/>
                <w:b/>
                <w:bCs/>
                <w:sz w:val="21"/>
                <w:szCs w:val="21"/>
                <w:vertAlign w:val="baseline"/>
                <w:lang w:val="en-US" w:eastAsia="zh-CN"/>
              </w:rPr>
            </w:pPr>
            <w:r>
              <w:rPr>
                <w:rFonts w:hint="eastAsia"/>
                <w:b/>
                <w:bCs/>
                <w:sz w:val="21"/>
                <w:szCs w:val="21"/>
                <w:vertAlign w:val="baseline"/>
                <w:lang w:val="en-US" w:eastAsia="zh-CN"/>
              </w:rPr>
              <w:t>产品名称</w:t>
            </w:r>
          </w:p>
        </w:tc>
        <w:tc>
          <w:tcPr>
            <w:tcW w:w="1235" w:type="dxa"/>
            <w:vAlign w:val="center"/>
          </w:tcPr>
          <w:p w14:paraId="258F0A46">
            <w:pPr>
              <w:numPr>
                <w:ilvl w:val="0"/>
                <w:numId w:val="0"/>
              </w:numPr>
              <w:jc w:val="center"/>
              <w:rPr>
                <w:rFonts w:hint="default"/>
                <w:b/>
                <w:bCs/>
                <w:sz w:val="21"/>
                <w:szCs w:val="21"/>
                <w:vertAlign w:val="baseline"/>
                <w:lang w:val="en-US" w:eastAsia="zh-CN"/>
              </w:rPr>
            </w:pPr>
            <w:r>
              <w:rPr>
                <w:rFonts w:hint="eastAsia"/>
                <w:b/>
                <w:bCs/>
                <w:sz w:val="21"/>
                <w:szCs w:val="21"/>
                <w:vertAlign w:val="baseline"/>
                <w:lang w:val="en-US" w:eastAsia="zh-CN"/>
              </w:rPr>
              <w:t>参考图片</w:t>
            </w:r>
          </w:p>
        </w:tc>
        <w:tc>
          <w:tcPr>
            <w:tcW w:w="5435" w:type="dxa"/>
            <w:vAlign w:val="center"/>
          </w:tcPr>
          <w:p w14:paraId="4D0C9F89">
            <w:pPr>
              <w:numPr>
                <w:ilvl w:val="0"/>
                <w:numId w:val="0"/>
              </w:numPr>
              <w:jc w:val="center"/>
              <w:rPr>
                <w:rFonts w:hint="default"/>
                <w:b/>
                <w:bCs/>
                <w:sz w:val="21"/>
                <w:szCs w:val="21"/>
                <w:vertAlign w:val="baseline"/>
                <w:lang w:val="en-US" w:eastAsia="zh-CN"/>
              </w:rPr>
            </w:pPr>
            <w:r>
              <w:rPr>
                <w:rFonts w:hint="eastAsia"/>
                <w:b/>
                <w:bCs/>
                <w:sz w:val="21"/>
                <w:szCs w:val="21"/>
                <w:vertAlign w:val="baseline"/>
                <w:lang w:val="en-US" w:eastAsia="zh-CN"/>
              </w:rPr>
              <w:t>技术参数</w:t>
            </w:r>
          </w:p>
        </w:tc>
        <w:tc>
          <w:tcPr>
            <w:tcW w:w="750" w:type="dxa"/>
            <w:vAlign w:val="center"/>
          </w:tcPr>
          <w:p w14:paraId="2DEFA11E">
            <w:pPr>
              <w:numPr>
                <w:ilvl w:val="0"/>
                <w:numId w:val="0"/>
              </w:numPr>
              <w:jc w:val="center"/>
              <w:rPr>
                <w:rFonts w:hint="default"/>
                <w:b/>
                <w:bCs/>
                <w:sz w:val="21"/>
                <w:szCs w:val="21"/>
                <w:vertAlign w:val="baseline"/>
                <w:lang w:val="en-US" w:eastAsia="zh-CN"/>
              </w:rPr>
            </w:pPr>
            <w:r>
              <w:rPr>
                <w:rFonts w:hint="eastAsia"/>
                <w:b/>
                <w:bCs/>
                <w:sz w:val="21"/>
                <w:szCs w:val="21"/>
                <w:vertAlign w:val="baseline"/>
                <w:lang w:val="en-US" w:eastAsia="zh-CN"/>
              </w:rPr>
              <w:t>数量</w:t>
            </w:r>
          </w:p>
        </w:tc>
        <w:tc>
          <w:tcPr>
            <w:tcW w:w="726" w:type="dxa"/>
            <w:vAlign w:val="center"/>
          </w:tcPr>
          <w:p w14:paraId="47EFA174">
            <w:pPr>
              <w:numPr>
                <w:ilvl w:val="0"/>
                <w:numId w:val="0"/>
              </w:numPr>
              <w:jc w:val="center"/>
              <w:rPr>
                <w:rFonts w:hint="default"/>
                <w:b/>
                <w:bCs/>
                <w:sz w:val="21"/>
                <w:szCs w:val="21"/>
                <w:vertAlign w:val="baseline"/>
                <w:lang w:val="en-US" w:eastAsia="zh-CN"/>
              </w:rPr>
            </w:pPr>
            <w:r>
              <w:rPr>
                <w:rFonts w:hint="eastAsia"/>
                <w:b/>
                <w:bCs/>
                <w:sz w:val="21"/>
                <w:szCs w:val="21"/>
                <w:vertAlign w:val="baseline"/>
                <w:lang w:val="en-US" w:eastAsia="zh-CN"/>
              </w:rPr>
              <w:t>单价</w:t>
            </w:r>
          </w:p>
        </w:tc>
        <w:tc>
          <w:tcPr>
            <w:tcW w:w="831" w:type="dxa"/>
            <w:vAlign w:val="center"/>
          </w:tcPr>
          <w:p w14:paraId="6704E33C">
            <w:pPr>
              <w:numPr>
                <w:ilvl w:val="0"/>
                <w:numId w:val="0"/>
              </w:numPr>
              <w:jc w:val="center"/>
              <w:rPr>
                <w:rFonts w:hint="default"/>
                <w:b/>
                <w:bCs/>
                <w:sz w:val="21"/>
                <w:szCs w:val="21"/>
                <w:vertAlign w:val="baseline"/>
                <w:lang w:val="en-US" w:eastAsia="zh-CN"/>
              </w:rPr>
            </w:pPr>
            <w:r>
              <w:rPr>
                <w:rFonts w:hint="eastAsia"/>
                <w:b/>
                <w:bCs/>
                <w:sz w:val="21"/>
                <w:szCs w:val="21"/>
                <w:vertAlign w:val="baseline"/>
                <w:lang w:val="en-US" w:eastAsia="zh-CN"/>
              </w:rPr>
              <w:t>总价</w:t>
            </w:r>
          </w:p>
        </w:tc>
      </w:tr>
      <w:tr w14:paraId="14A43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2" w:type="dxa"/>
            <w:vAlign w:val="center"/>
          </w:tcPr>
          <w:p w14:paraId="399F30D3">
            <w:pPr>
              <w:jc w:val="center"/>
              <w:rPr>
                <w:rFonts w:hint="eastAsia" w:ascii="宋体" w:hAnsi="宋体" w:eastAsia="宋体" w:cs="宋体"/>
                <w:kern w:val="2"/>
                <w:sz w:val="21"/>
                <w:szCs w:val="21"/>
                <w:vertAlign w:val="baseline"/>
                <w:lang w:val="en-US" w:eastAsia="zh-CN" w:bidi="ar-SA"/>
              </w:rPr>
            </w:pPr>
            <w:r>
              <w:rPr>
                <w:rFonts w:hint="eastAsia" w:ascii="宋体" w:hAnsi="宋体" w:eastAsia="宋体" w:cs="宋体"/>
                <w:sz w:val="21"/>
                <w:szCs w:val="21"/>
              </w:rPr>
              <w:t>钢制书架</w:t>
            </w:r>
          </w:p>
        </w:tc>
        <w:tc>
          <w:tcPr>
            <w:tcW w:w="1235" w:type="dxa"/>
          </w:tcPr>
          <w:p w14:paraId="41A83C3F">
            <w:pPr>
              <w:spacing w:line="310" w:lineRule="exact"/>
              <w:rPr>
                <w:rFonts w:hint="eastAsia" w:ascii="宋体" w:hAnsi="宋体" w:eastAsia="宋体" w:cs="宋体"/>
                <w:sz w:val="21"/>
                <w:szCs w:val="21"/>
              </w:rPr>
            </w:pPr>
            <w:r>
              <w:drawing>
                <wp:anchor distT="0" distB="0" distL="114300" distR="114300" simplePos="0" relativeHeight="251659264" behindDoc="0" locked="0" layoutInCell="1" allowOverlap="1">
                  <wp:simplePos x="0" y="0"/>
                  <wp:positionH relativeFrom="column">
                    <wp:posOffset>-45085</wp:posOffset>
                  </wp:positionH>
                  <wp:positionV relativeFrom="paragraph">
                    <wp:posOffset>3529965</wp:posOffset>
                  </wp:positionV>
                  <wp:extent cx="742315" cy="858520"/>
                  <wp:effectExtent l="0" t="0" r="635" b="17780"/>
                  <wp:wrapSquare wrapText="bothSides"/>
                  <wp:docPr id="31"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7"/>
                          <pic:cNvPicPr>
                            <a:picLocks noChangeAspect="1"/>
                          </pic:cNvPicPr>
                        </pic:nvPicPr>
                        <pic:blipFill>
                          <a:blip r:embed="rId4"/>
                          <a:stretch>
                            <a:fillRect/>
                          </a:stretch>
                        </pic:blipFill>
                        <pic:spPr>
                          <a:xfrm>
                            <a:off x="0" y="0"/>
                            <a:ext cx="742315" cy="858520"/>
                          </a:xfrm>
                          <a:prstGeom prst="rect">
                            <a:avLst/>
                          </a:prstGeom>
                          <a:noFill/>
                          <a:ln w="9525">
                            <a:noFill/>
                          </a:ln>
                        </pic:spPr>
                      </pic:pic>
                    </a:graphicData>
                  </a:graphic>
                </wp:anchor>
              </w:drawing>
            </w:r>
          </w:p>
        </w:tc>
        <w:tc>
          <w:tcPr>
            <w:tcW w:w="5435" w:type="dxa"/>
          </w:tcPr>
          <w:p w14:paraId="54ED7397">
            <w:pPr>
              <w:spacing w:line="288" w:lineRule="auto"/>
              <w:rPr>
                <w:rFonts w:ascii="宋体" w:hAnsi="宋体" w:eastAsia="宋体" w:cs="宋体"/>
                <w:szCs w:val="21"/>
              </w:rPr>
            </w:pPr>
            <w:r>
              <w:rPr>
                <w:rFonts w:hint="eastAsia" w:ascii="宋体" w:hAnsi="宋体" w:eastAsia="宋体" w:cs="宋体"/>
                <w:szCs w:val="21"/>
              </w:rPr>
              <w:t>单组规格：950L×450D×2250H（mm），每组书架六层，单层净高≥320mm。</w:t>
            </w:r>
          </w:p>
          <w:p w14:paraId="1B74E59B">
            <w:pPr>
              <w:spacing w:line="288" w:lineRule="auto"/>
              <w:rPr>
                <w:rFonts w:ascii="宋体" w:hAnsi="宋体" w:eastAsia="宋体" w:cs="宋体"/>
                <w:szCs w:val="21"/>
              </w:rPr>
            </w:pPr>
            <w:r>
              <w:rPr>
                <w:rFonts w:hint="eastAsia" w:ascii="宋体" w:hAnsi="宋体" w:eastAsia="宋体" w:cs="宋体"/>
                <w:szCs w:val="21"/>
              </w:rPr>
              <w:t>1、用材：采用国标冷轧钢板，钢板符合SPCC/GB 710检测标准。全钢结构，安装简单、方便、牢固，便于拆迁和搬运。可根据用户需求进行多架组合拼接使用。主体为双柱双面六层结构，采用冷轧钢。整体符合GB/T 13667.1-2015《钢制书架第1部分：单、复柱书架》，所用钢板各项性能均符合GB/T 11253-2019《碳素结构钢冷轧钢板及钢带》、GB/T 5213-2019《冷轧低碳钢板及钢带》的标准要求。所用塑粉符合HG/T 2006-2006《热固性粉末涂料》要求。</w:t>
            </w:r>
          </w:p>
          <w:p w14:paraId="769532E1">
            <w:pPr>
              <w:widowControl/>
              <w:spacing w:line="288" w:lineRule="auto"/>
              <w:jc w:val="left"/>
              <w:rPr>
                <w:rFonts w:ascii="宋体" w:hAnsi="宋体" w:eastAsia="宋体" w:cs="宋体"/>
                <w:kern w:val="0"/>
                <w:szCs w:val="21"/>
                <w:lang w:bidi="ar"/>
              </w:rPr>
            </w:pPr>
            <w:r>
              <w:rPr>
                <w:rFonts w:hint="eastAsia" w:ascii="宋体" w:hAnsi="宋体" w:eastAsia="宋体" w:cs="宋体"/>
                <w:szCs w:val="21"/>
              </w:rPr>
              <w:t>★2、立柱：立柱壁厚≥1.5mm，立柱正面宽度45mm±</w:t>
            </w:r>
            <w:r>
              <w:rPr>
                <w:rFonts w:ascii="宋体" w:hAnsi="宋体" w:eastAsia="宋体" w:cs="宋体"/>
                <w:szCs w:val="21"/>
              </w:rPr>
              <w:t>1</w:t>
            </w:r>
            <w:r>
              <w:rPr>
                <w:rFonts w:hint="eastAsia" w:ascii="宋体" w:hAnsi="宋体" w:eastAsia="宋体" w:cs="宋体"/>
                <w:szCs w:val="21"/>
              </w:rPr>
              <w:t>mm，立柱正面压加强筋，加强筋上压有纹路造型，侧面厚度36mm±</w:t>
            </w:r>
            <w:r>
              <w:rPr>
                <w:rFonts w:ascii="宋体" w:hAnsi="宋体" w:eastAsia="宋体" w:cs="宋体"/>
                <w:szCs w:val="21"/>
              </w:rPr>
              <w:t>1</w:t>
            </w:r>
            <w:r>
              <w:rPr>
                <w:rFonts w:hint="eastAsia" w:ascii="宋体" w:hAnsi="宋体" w:eastAsia="宋体" w:cs="宋体"/>
                <w:szCs w:val="21"/>
              </w:rPr>
              <w:t>mm，两侧面各压两条加强筋，共五条加强筋，提高</w:t>
            </w:r>
            <w:r>
              <w:rPr>
                <w:rFonts w:ascii="宋体" w:hAnsi="宋体" w:eastAsia="宋体" w:cs="宋体"/>
                <w:szCs w:val="21"/>
              </w:rPr>
              <w:t>立柱承载力</w:t>
            </w:r>
            <w:r>
              <w:rPr>
                <w:rFonts w:hint="eastAsia" w:ascii="宋体" w:hAnsi="宋体" w:eastAsia="宋体" w:cs="宋体"/>
                <w:szCs w:val="21"/>
              </w:rPr>
              <w:t>。</w:t>
            </w:r>
            <w:r>
              <w:rPr>
                <w:rFonts w:hint="eastAsia" w:ascii="宋体" w:hAnsi="宋体" w:eastAsia="宋体" w:cs="宋体"/>
                <w:kern w:val="0"/>
                <w:szCs w:val="21"/>
                <w:lang w:bidi="ar"/>
              </w:rPr>
              <w:t>书架立柱依据QB/T 4767-2014、GB/T 10125-2021等标准，要求达到：（1）金属喷涂层厚度60～130μm；（2）产品表面涂层的可溶性元素铅（Pb）≤10mg/kg、镉（Cd）≤10mg/kg、铬（Cr）≤10mg/kg、汞（Hg）≤10mg/kg；（3）金属喷塑涂层的硬度、冲击强度、附着力均检测合格；（4）弯曲试验（180°）合格；（5）力学性能要求下屈服强度≥195MPa、抗拉强度315～430MPa、断后伸长率≥24%；（6）耐腐蚀性要求不低于200小时的人造气氛腐蚀试验（盐雾试验）后，保护评级≥8级，外观评级≥8级。投标时提供具有CMA资质认定的第三方检测机构出具的“书架立柱”检测报告扫描件予以佐证，报告内容符合或优于参数要求；同时附第三方检测机构具有本产品检验检测能力的证明材料（所在地省级市场监督管理局或国家市场监督管理总局检验检测机构资质认定查询截图）。</w:t>
            </w:r>
          </w:p>
          <w:p w14:paraId="7ED94DCA">
            <w:pPr>
              <w:widowControl/>
              <w:spacing w:line="288" w:lineRule="auto"/>
              <w:jc w:val="left"/>
              <w:rPr>
                <w:rFonts w:ascii="宋体" w:hAnsi="宋体" w:eastAsia="宋体" w:cs="宋体"/>
                <w:kern w:val="0"/>
                <w:szCs w:val="21"/>
                <w:lang w:bidi="ar"/>
              </w:rPr>
            </w:pPr>
            <w:r>
              <w:rPr>
                <w:rFonts w:hint="eastAsia" w:ascii="宋体" w:hAnsi="宋体" w:eastAsia="宋体" w:cs="宋体"/>
                <w:szCs w:val="21"/>
              </w:rPr>
              <w:t>★3、搁板：采用冷轧钢板厚≥1.0mm，搁板采用六次折弯成型以增强其承载力；每张搁板焊承重加强筋</w:t>
            </w:r>
            <w:r>
              <w:rPr>
                <w:rFonts w:ascii="宋体" w:hAnsi="宋体" w:eastAsia="宋体" w:cs="宋体"/>
                <w:szCs w:val="21"/>
              </w:rPr>
              <w:t>，确保搁板</w:t>
            </w:r>
            <w:r>
              <w:rPr>
                <w:rFonts w:hint="eastAsia" w:ascii="宋体" w:hAnsi="宋体" w:eastAsia="宋体" w:cs="宋体"/>
                <w:szCs w:val="21"/>
              </w:rPr>
              <w:t>承载力。承重加强筋：采用冷轧钢板厚≥</w:t>
            </w:r>
            <w:r>
              <w:rPr>
                <w:rFonts w:ascii="宋体" w:hAnsi="宋体" w:eastAsia="宋体" w:cs="宋体"/>
                <w:szCs w:val="21"/>
              </w:rPr>
              <w:t>0.5</w:t>
            </w:r>
            <w:r>
              <w:rPr>
                <w:rFonts w:hint="eastAsia" w:ascii="宋体" w:hAnsi="宋体" w:eastAsia="宋体" w:cs="宋体"/>
                <w:szCs w:val="21"/>
              </w:rPr>
              <w:t>mm，全自动一次成型，四次折弯，并压三条加强筋，每层承重≥80kg（均匀负载）。每层书架搁板做一整块，外形美观，结构新颖，承重能力强，钢性足。表面采用酸洗磷化后进行喷塑处理，外形美观，结构新颖，色泽鲜亮，使基材不会腐蚀。</w:t>
            </w:r>
            <w:r>
              <w:rPr>
                <w:rFonts w:hint="eastAsia" w:ascii="宋体" w:hAnsi="宋体" w:eastAsia="宋体" w:cs="宋体"/>
                <w:kern w:val="0"/>
                <w:szCs w:val="21"/>
                <w:lang w:bidi="ar"/>
              </w:rPr>
              <w:t>书架搁板依据GB/T 13667.1-2015、GB/T 10125-2021等标准，要求达到：（1）金属喷塑涂层的硬度、耐腐蚀、冲击强度、附着力均检测合格；（2）弯曲试验（180°）合格；（3）力学性能要求下屈服强度≥195MPa、抗拉强度315～430MPa、断后伸长率≥24%；（4）耐腐蚀性要求不低于200小时的人造气氛腐蚀试验（盐雾试验）后，保护评级≥8级，外观评级≥8级。投标时提供具有CMA资质认定的第三方检测机构出具的“书架搁板”检测报告扫描件予以佐证，报告内容符合或优于参数要求；同时附第三方检测机构具有本产品检验检测能力的证明材料（所在地省级市场监督管理局或国家市场监督管理总局检验检测机构资质认定查询截图）。</w:t>
            </w:r>
          </w:p>
          <w:p w14:paraId="2E124CE9">
            <w:pPr>
              <w:widowControl/>
              <w:spacing w:line="288" w:lineRule="auto"/>
              <w:jc w:val="left"/>
              <w:rPr>
                <w:rFonts w:ascii="宋体" w:hAnsi="宋体" w:eastAsia="宋体" w:cs="宋体"/>
                <w:kern w:val="0"/>
                <w:szCs w:val="21"/>
                <w:lang w:bidi="ar"/>
              </w:rPr>
            </w:pPr>
            <w:r>
              <w:rPr>
                <w:rFonts w:hint="eastAsia" w:ascii="宋体" w:hAnsi="宋体" w:eastAsia="宋体" w:cs="宋体"/>
                <w:szCs w:val="21"/>
              </w:rPr>
              <w:t>★4、侧板、挂板：采用冷轧钢板厚≥1.0mm，冲压一次成型。挂板两端四挂钩结构设计，上下各压四条加强筋并冲两个椭圆形加强孔，挂板两端压自锁扣，与搁板孔配合，安装时相互自锁，提高架体稳定性。书架挂板依</w:t>
            </w:r>
            <w:r>
              <w:rPr>
                <w:rFonts w:hint="eastAsia" w:ascii="宋体" w:hAnsi="宋体" w:eastAsia="宋体" w:cs="宋体"/>
                <w:kern w:val="0"/>
                <w:szCs w:val="21"/>
                <w:lang w:bidi="ar"/>
              </w:rPr>
              <w:t>据GB/T 13667.1-2015、GB/T 10125-2021等标准，要求达到：（1）金属喷塑涂层的硬度、耐腐蚀、冲击强度、附着力均检测合格；（2）弯曲试验（180°）合格；（3）力学性能要求下屈服强度≥195MPa、抗拉强度315～430MPa、断后伸长率≥24%；（4）耐腐蚀性要求不低于200小时的人造气氛腐蚀试验（盐雾试验）后，保护评级≥8级，外观评级≥8级。投标时提供具有CMA资质认定的第三方检测机构出具的“书架挂板”检测报告扫描件予以佐证，报告内容符合或优于参数要求；同时附第三方检测机构具有本产品检验检测能力的证明材料（所在地省级市场监督管理局或国家市场监督管理总局检验检测机构资质认定查询截图）。</w:t>
            </w:r>
          </w:p>
          <w:p w14:paraId="21D688D3">
            <w:pPr>
              <w:spacing w:line="288" w:lineRule="auto"/>
              <w:rPr>
                <w:rFonts w:ascii="宋体" w:hAnsi="宋体" w:eastAsia="宋体" w:cs="宋体"/>
                <w:szCs w:val="21"/>
              </w:rPr>
            </w:pPr>
            <w:r>
              <w:rPr>
                <w:rFonts w:hint="eastAsia" w:ascii="宋体" w:hAnsi="宋体" w:eastAsia="宋体" w:cs="宋体"/>
                <w:szCs w:val="21"/>
              </w:rPr>
              <w:t>★5、挡书条：采用冷轧钢板厚≥</w:t>
            </w:r>
            <w:r>
              <w:rPr>
                <w:rFonts w:ascii="宋体" w:hAnsi="宋体" w:eastAsia="宋体" w:cs="宋体"/>
                <w:szCs w:val="21"/>
              </w:rPr>
              <w:t>1.0</w:t>
            </w:r>
            <w:r>
              <w:rPr>
                <w:rFonts w:hint="eastAsia" w:ascii="宋体" w:hAnsi="宋体" w:eastAsia="宋体" w:cs="宋体"/>
                <w:szCs w:val="21"/>
              </w:rPr>
              <w:t>mm，采用四次折弯，压三条加强筋，与挂板配合处有防脱落倒钩，防止挡书条脱落，提高整个架体的稳定性。挡书条依据GB/T 3325-2024、GB/T 35607-2024等标准，要求达到：（1）金属喷塑涂层（硬度、冲击强度、耐盐浴、附着力）均检测合格；（2）安全性要求可接触的棱角与棱倒圆半径不应小于2mm，其他所有的边应圆滑、无毛刺；（3）金属喷涂层的涂层厚度达到60～130μm；（4）家具涂层可迁移元素铅≤10mg/kg、镉≤10mg/kg、铬≤10mg/kg、汞≤10mg/kg、锑≤10mg/kg、钡≤10mg/kg、硒≤10mg/kg、砷≤10mg/kg；（5）耐霉菌性能要求黑曲霉、黄曲霉、链格孢的耐霉菌性等级达到0级；不低于200小时的人造气氛腐蚀试验（盐雾试验）后，要求保护评级≥8级，外观评级≥8级。</w:t>
            </w:r>
            <w:r>
              <w:rPr>
                <w:rFonts w:hint="eastAsia" w:ascii="宋体" w:hAnsi="宋体" w:eastAsia="宋体" w:cs="宋体"/>
                <w:kern w:val="0"/>
                <w:szCs w:val="21"/>
                <w:lang w:bidi="ar"/>
              </w:rPr>
              <w:t>投标时提供具有CMA资质认定的第三方检测机构出具的“挡书条”检测报告扫描件予以佐证，报告内容符合或优于参数要求；同时附第三方检测机构具有本产品检验检测能力的证明材料（所在地省级市场监督管理局或国家市场监督管理总局检验检测机构资质认定查询截图）。</w:t>
            </w:r>
          </w:p>
          <w:p w14:paraId="4624386D">
            <w:pPr>
              <w:spacing w:line="288" w:lineRule="auto"/>
              <w:rPr>
                <w:rFonts w:ascii="宋体" w:hAnsi="宋体" w:eastAsia="宋体" w:cs="宋体"/>
                <w:szCs w:val="21"/>
              </w:rPr>
            </w:pPr>
            <w:r>
              <w:rPr>
                <w:rFonts w:hint="eastAsia" w:ascii="宋体" w:hAnsi="宋体" w:eastAsia="宋体" w:cs="宋体"/>
                <w:szCs w:val="21"/>
              </w:rPr>
              <w:t>★6、顶板：采用冷轧钢板厚≥1.0mm，经双面六折弯，使用螺栓紧固于立柱上端，四角对焊，使其成框架结构；</w:t>
            </w:r>
            <w:r>
              <w:rPr>
                <w:rFonts w:hint="eastAsia" w:ascii="宋体" w:hAnsi="宋体" w:eastAsia="宋体" w:cs="宋体"/>
                <w:color w:val="000000"/>
                <w:szCs w:val="21"/>
              </w:rPr>
              <w:t>书架顶板：符合GB/T 13667.1-2015、GB/T 10125-2021或其他现行标准，要求金属喷塑涂层的硬度、耐腐蚀、冲击强度、附着力均检测合格，弯曲试验（180°）合格，力学性能要求下屈服强度≥195MPa、抗拉强度</w:t>
            </w:r>
            <w:r>
              <w:rPr>
                <w:rFonts w:hint="eastAsia" w:ascii="宋体" w:hAnsi="宋体" w:eastAsia="宋体" w:cs="宋体"/>
                <w:szCs w:val="21"/>
              </w:rPr>
              <w:t>≥</w:t>
            </w:r>
            <w:r>
              <w:rPr>
                <w:rFonts w:hint="eastAsia" w:ascii="宋体" w:hAnsi="宋体" w:eastAsia="宋体" w:cs="宋体"/>
                <w:color w:val="000000"/>
                <w:szCs w:val="21"/>
              </w:rPr>
              <w:t>315MPa、断后伸长率≥24%。</w:t>
            </w:r>
            <w:r>
              <w:rPr>
                <w:rFonts w:hint="eastAsia" w:ascii="宋体" w:hAnsi="宋体" w:eastAsia="宋体" w:cs="宋体"/>
                <w:kern w:val="0"/>
                <w:szCs w:val="21"/>
                <w:lang w:bidi="ar"/>
              </w:rPr>
              <w:t>投标时提供具有CMA资质认定的第三方检测机构出具的“书架顶板”检测报告扫描件予以佐证，报告内容符合或优于参数要求；同时附第三方检测机构具有本产品检验检测能力的证明材料（所在地省级市场监督管理局或国家市场监督管理总局检验检测机构资质认定查询截图）。</w:t>
            </w:r>
          </w:p>
          <w:p w14:paraId="045E32F5">
            <w:pPr>
              <w:spacing w:line="288" w:lineRule="auto"/>
              <w:rPr>
                <w:rFonts w:ascii="宋体" w:hAnsi="宋体" w:eastAsia="宋体" w:cs="宋体"/>
                <w:szCs w:val="21"/>
              </w:rPr>
            </w:pPr>
            <w:r>
              <w:rPr>
                <w:rFonts w:hint="eastAsia" w:ascii="宋体" w:hAnsi="宋体" w:eastAsia="宋体" w:cs="宋体"/>
                <w:szCs w:val="21"/>
              </w:rPr>
              <w:t>★7、</w:t>
            </w:r>
            <w:r>
              <w:rPr>
                <w:rFonts w:hint="eastAsia" w:ascii="宋体" w:hAnsi="宋体" w:eastAsia="宋体" w:cs="宋体"/>
                <w:color w:val="000000"/>
                <w:szCs w:val="21"/>
              </w:rPr>
              <w:t>书架底框：符合GB/T 13667.1-2015、GB/T 10125-2021或其他现行标准，要求金属喷塑涂层的硬度、耐腐蚀、冲击强度、附着力均检测合格，弯曲试验（180°）合格，力学性能要求下屈服强度≥195MPa、抗拉强度</w:t>
            </w:r>
            <w:r>
              <w:rPr>
                <w:rFonts w:hint="eastAsia" w:ascii="宋体" w:hAnsi="宋体" w:eastAsia="宋体" w:cs="宋体"/>
                <w:szCs w:val="21"/>
              </w:rPr>
              <w:t>≥</w:t>
            </w:r>
            <w:r>
              <w:rPr>
                <w:rFonts w:hint="eastAsia" w:ascii="宋体" w:hAnsi="宋体" w:eastAsia="宋体" w:cs="宋体"/>
                <w:color w:val="000000"/>
                <w:szCs w:val="21"/>
              </w:rPr>
              <w:t>315MPa、断后伸长率≥24%。</w:t>
            </w:r>
            <w:r>
              <w:rPr>
                <w:rFonts w:hint="eastAsia" w:ascii="宋体" w:hAnsi="宋体" w:eastAsia="宋体" w:cs="宋体"/>
                <w:kern w:val="0"/>
                <w:szCs w:val="21"/>
                <w:lang w:bidi="ar"/>
              </w:rPr>
              <w:t>投标时提供具有CMA资质认定的第三方检测机构出具的“书架底框”检测报告扫描件予以佐证，报告内容符合或优于参数要求；同时附第三方检测机构具有本产品检验检测能力的证明材料（所在地省级市场监督管理局或国家市场监督管理总局检验检测机构资质认定查询截图）。</w:t>
            </w:r>
          </w:p>
          <w:p w14:paraId="5FCB07C2">
            <w:pPr>
              <w:spacing w:line="288" w:lineRule="auto"/>
              <w:rPr>
                <w:rFonts w:ascii="宋体" w:hAnsi="宋体" w:eastAsia="宋体" w:cs="宋体"/>
                <w:szCs w:val="21"/>
              </w:rPr>
            </w:pPr>
            <w:r>
              <w:rPr>
                <w:rFonts w:hint="eastAsia" w:ascii="宋体" w:hAnsi="宋体" w:eastAsia="宋体" w:cs="宋体"/>
                <w:szCs w:val="21"/>
              </w:rPr>
              <w:t>8、侧板做平，不做凹凸造型。每块侧板配亚克力标识框，能横放A4纸。</w:t>
            </w:r>
          </w:p>
          <w:p w14:paraId="672F9D21">
            <w:pPr>
              <w:widowControl/>
              <w:spacing w:line="288" w:lineRule="auto"/>
              <w:jc w:val="left"/>
              <w:rPr>
                <w:rFonts w:ascii="宋体" w:hAnsi="宋体" w:eastAsia="宋体" w:cs="宋体"/>
                <w:szCs w:val="21"/>
              </w:rPr>
            </w:pPr>
            <w:r>
              <w:rPr>
                <w:rFonts w:hint="eastAsia" w:ascii="宋体" w:hAnsi="宋体" w:eastAsia="宋体" w:cs="宋体"/>
                <w:szCs w:val="21"/>
              </w:rPr>
              <w:t>★9、</w:t>
            </w:r>
            <w:r>
              <w:rPr>
                <w:rFonts w:hint="eastAsia" w:ascii="宋体" w:hAnsi="宋体" w:eastAsia="宋体" w:cs="宋体"/>
                <w:kern w:val="0"/>
                <w:szCs w:val="21"/>
                <w:lang w:bidi="ar"/>
              </w:rPr>
              <w:t>粉末涂料：依据HG/T 2006-2022、GB/T 35602-2017等标准，要求达到：（1）外观色泽均匀，无异物，呈松散粉末状；（2）筛余物（125μm）全部通过；涂膜外观正常；（3）附着力（干附着力）≤1级；（4）铅笔硬度≥H；（5）耐冲击性（正向冲击，高度50cm）检测，无裂纹、皱纹及剥落现象；（6）杯突试验≥4mm；（7）弯曲试验≤4mm；（8）耐磨性（750g/500r）≤50mg；（9）耐酸性（3％质量分数盐酸溶液）240h无异常；（10）耐碱性（5％质量分数氢氧化钠溶液）168h无异常；（11）耐沸水性2h无异常；（12）耐湿性（室内用）300h无异常；（13）重金属元素含量（木质板、家具用）铅≤10mg/kg、镉≤10mg/kg、六价铬≤10mg/kg、汞≤10mg/kg、砷≤10mg/kg、硒（Se）≤10mg/kg、锑（Sb）≤10mg/kg。投标时提供具有CMA资质认定的第三方检测机构出具的“粉末涂料”检测报告扫描件予以佐证，报告内容符合或优于参数要求；同时附第三方检测机构具有本产品检验检测能力的证明材料（所在地省级市场监督管理局或国家市场监督管理总局检验检测机构资质认定查询截图）。</w:t>
            </w:r>
          </w:p>
          <w:p w14:paraId="5392BB52">
            <w:pPr>
              <w:spacing w:line="288" w:lineRule="auto"/>
              <w:jc w:val="left"/>
              <w:rPr>
                <w:rFonts w:ascii="宋体" w:hAnsi="宋体" w:eastAsia="宋体" w:cs="宋体"/>
                <w:szCs w:val="21"/>
              </w:rPr>
            </w:pPr>
            <w:r>
              <w:rPr>
                <w:rFonts w:hint="eastAsia" w:ascii="宋体" w:hAnsi="宋体" w:eastAsia="宋体" w:cs="宋体"/>
                <w:szCs w:val="21"/>
              </w:rPr>
              <w:t>10、生产工艺要求：</w:t>
            </w:r>
          </w:p>
          <w:p w14:paraId="5FFFF9D5">
            <w:pPr>
              <w:spacing w:line="288" w:lineRule="auto"/>
              <w:rPr>
                <w:rFonts w:ascii="宋体" w:hAnsi="宋体" w:eastAsia="宋体" w:cs="宋体"/>
                <w:szCs w:val="21"/>
              </w:rPr>
            </w:pPr>
            <w:r>
              <w:rPr>
                <w:rFonts w:hint="eastAsia" w:ascii="宋体" w:hAnsi="宋体" w:eastAsia="宋体" w:cs="宋体"/>
                <w:szCs w:val="21"/>
              </w:rPr>
              <w:t>①钣金件质量：所有钣金件、机加件加工后应无毛刺、无裂纹及伤痕；所有板材部件均不可焊拼接，要求一体成型；钣金件质量要求达到GB1097-91、GB3325、GB912标准。</w:t>
            </w:r>
          </w:p>
          <w:p w14:paraId="237DAC3C">
            <w:pPr>
              <w:spacing w:line="288" w:lineRule="auto"/>
              <w:rPr>
                <w:rFonts w:ascii="宋体" w:hAnsi="宋体" w:eastAsia="宋体" w:cs="宋体"/>
                <w:szCs w:val="21"/>
              </w:rPr>
            </w:pPr>
            <w:r>
              <w:rPr>
                <w:rFonts w:hint="eastAsia" w:ascii="宋体" w:hAnsi="宋体" w:eastAsia="宋体" w:cs="宋体"/>
                <w:szCs w:val="21"/>
              </w:rPr>
              <w:t>②表面处理：前处理工序：各部零件在涂覆前，必须进行预脱脂-脱脂-水洗-酸洗-水洗-中和-表调-磷化-水洗-钝化十工位表面前处理工序，表面磷化处理执行GB6807-86标准，表面涂装质量要求符合GB1732、GB1763、GB1720标准，所用标准件及紧固件均需氧化或镀锌处理。</w:t>
            </w:r>
          </w:p>
          <w:p w14:paraId="52C54D66">
            <w:pPr>
              <w:spacing w:line="288" w:lineRule="auto"/>
              <w:rPr>
                <w:rFonts w:ascii="宋体" w:hAnsi="宋体" w:eastAsia="宋体" w:cs="宋体"/>
                <w:szCs w:val="21"/>
              </w:rPr>
            </w:pPr>
            <w:r>
              <w:rPr>
                <w:rFonts w:hint="eastAsia" w:ascii="宋体" w:hAnsi="宋体" w:eastAsia="宋体" w:cs="宋体"/>
                <w:szCs w:val="21"/>
              </w:rPr>
              <w:t>③喷塑粉料：经过表面酸洗磷化处理工艺后，采用环保粉末进行喷塑。</w:t>
            </w:r>
          </w:p>
          <w:p w14:paraId="79EB2417">
            <w:pPr>
              <w:spacing w:line="288" w:lineRule="auto"/>
              <w:rPr>
                <w:rFonts w:ascii="宋体" w:hAnsi="宋体" w:eastAsia="宋体" w:cs="宋体"/>
                <w:szCs w:val="21"/>
              </w:rPr>
            </w:pPr>
            <w:r>
              <w:rPr>
                <w:rFonts w:hint="eastAsia" w:ascii="宋体" w:hAnsi="宋体" w:eastAsia="宋体" w:cs="宋体"/>
                <w:szCs w:val="21"/>
              </w:rPr>
              <w:t>④喷塑要求：涂层表面应光滑平整，色泽均匀一致，不应有流挂、起粒、皱皮、露底、剥落、伤痕等缺陷；书架各工件弯角、边角折弯处不允许出现漏喷塑粉情况。</w:t>
            </w:r>
          </w:p>
          <w:p w14:paraId="424E9255">
            <w:pPr>
              <w:keepNext w:val="0"/>
              <w:keepLines w:val="0"/>
              <w:pageBreakBefore w:val="0"/>
              <w:kinsoku/>
              <w:wordWrap/>
              <w:overflowPunct/>
              <w:topLinePunct w:val="0"/>
              <w:autoSpaceDE/>
              <w:autoSpaceDN/>
              <w:bidi w:val="0"/>
              <w:adjustRightInd/>
              <w:snapToGrid/>
              <w:spacing w:line="288" w:lineRule="auto"/>
              <w:textAlignment w:val="auto"/>
              <w:rPr>
                <w:rFonts w:hint="eastAsia" w:ascii="宋体" w:hAnsi="宋体" w:eastAsia="宋体" w:cs="宋体"/>
                <w:color w:val="auto"/>
                <w:sz w:val="21"/>
                <w:szCs w:val="21"/>
                <w:vertAlign w:val="baseline"/>
                <w:lang w:val="en-US" w:eastAsia="zh-CN"/>
              </w:rPr>
            </w:pPr>
            <w:r>
              <w:rPr>
                <w:rFonts w:hint="eastAsia" w:ascii="宋体" w:hAnsi="宋体" w:eastAsia="宋体" w:cs="宋体"/>
                <w:szCs w:val="21"/>
              </w:rPr>
              <w:t>★11、</w:t>
            </w:r>
            <w:r>
              <w:rPr>
                <w:rFonts w:hint="eastAsia" w:ascii="宋体" w:hAnsi="宋体" w:eastAsia="宋体" w:cs="宋体"/>
                <w:kern w:val="0"/>
                <w:szCs w:val="21"/>
                <w:lang w:bidi="ar"/>
              </w:rPr>
              <w:t>书架依据GB/T 13667.1-2015《钢制书架 第1部分：单、复柱书架》标准要求通过型式检验并取得型式检验报告，检测项目包含但不限于：（1）金属喷塑涂层（硬度、冲击强度、附着力、耐腐蚀）均检测合格；（2）稳定性检测合格；（3）搁板支承件强度检测合格；（4）搁板弯曲检测合格；（5）全静载荷检测合格；（6）结构强度检测合格；（7）零部件的互换性检测合格。投标时提供具有CMA资质认定的第三方检测机构出具的“书架”检测报告扫描件予以佐证，报告内容符合或优于参数要求；同时附第三方检测机构具有本产品检验检测能力的证明材料（所在地省级市场监督管理局或国家市场监督管理总局检验检测机构资质认定查询截图）。</w:t>
            </w:r>
          </w:p>
        </w:tc>
        <w:tc>
          <w:tcPr>
            <w:tcW w:w="750" w:type="dxa"/>
            <w:vAlign w:val="center"/>
          </w:tcPr>
          <w:p w14:paraId="08FEBFB1">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114组</w:t>
            </w:r>
          </w:p>
        </w:tc>
        <w:tc>
          <w:tcPr>
            <w:tcW w:w="726" w:type="dxa"/>
            <w:vAlign w:val="center"/>
          </w:tcPr>
          <w:p w14:paraId="1D4D1D27">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877</w:t>
            </w:r>
          </w:p>
        </w:tc>
        <w:tc>
          <w:tcPr>
            <w:tcW w:w="831" w:type="dxa"/>
            <w:vAlign w:val="center"/>
          </w:tcPr>
          <w:p w14:paraId="3C218D5F">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99978</w:t>
            </w:r>
          </w:p>
        </w:tc>
      </w:tr>
      <w:tr w14:paraId="6C5C1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67" w:type="dxa"/>
            <w:gridSpan w:val="2"/>
            <w:vAlign w:val="center"/>
          </w:tcPr>
          <w:p w14:paraId="08D20F2C">
            <w:pPr>
              <w:spacing w:line="310" w:lineRule="exact"/>
              <w:jc w:val="center"/>
              <w:rPr>
                <w:rFonts w:hint="eastAsia" w:ascii="宋体" w:hAnsi="宋体" w:eastAsia="宋体" w:cs="宋体"/>
                <w:b/>
                <w:bCs/>
                <w:kern w:val="2"/>
                <w:sz w:val="24"/>
                <w:szCs w:val="24"/>
                <w:lang w:val="en-US" w:eastAsia="zh-CN" w:bidi="ar-SA"/>
              </w:rPr>
            </w:pPr>
            <w:r>
              <w:rPr>
                <w:rFonts w:hint="eastAsia" w:ascii="宋体" w:hAnsi="宋体" w:eastAsia="宋体" w:cs="宋体"/>
                <w:b/>
                <w:bCs/>
                <w:sz w:val="24"/>
                <w:szCs w:val="24"/>
                <w:lang w:val="en-US" w:eastAsia="zh-CN"/>
              </w:rPr>
              <w:t>合计（大写）</w:t>
            </w:r>
          </w:p>
        </w:tc>
        <w:tc>
          <w:tcPr>
            <w:tcW w:w="5435" w:type="dxa"/>
            <w:vAlign w:val="top"/>
          </w:tcPr>
          <w:p w14:paraId="3654E329">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宋体" w:hAnsi="宋体" w:eastAsia="宋体" w:cs="宋体"/>
                <w:b/>
                <w:bCs/>
                <w:color w:val="auto"/>
                <w:kern w:val="2"/>
                <w:sz w:val="24"/>
                <w:szCs w:val="24"/>
                <w:lang w:val="en-US" w:eastAsia="zh-CN" w:bidi="ar-SA"/>
              </w:rPr>
            </w:pPr>
            <w:r>
              <w:rPr>
                <w:rFonts w:hint="eastAsia" w:ascii="宋体" w:hAnsi="宋体" w:eastAsia="宋体" w:cs="宋体"/>
                <w:b/>
                <w:bCs/>
                <w:color w:val="auto"/>
                <w:sz w:val="24"/>
                <w:szCs w:val="24"/>
                <w:lang w:val="en-US" w:eastAsia="zh-CN"/>
              </w:rPr>
              <w:t>人民币玖万玖仟玖佰柒拾捌元整</w:t>
            </w:r>
          </w:p>
        </w:tc>
        <w:tc>
          <w:tcPr>
            <w:tcW w:w="750" w:type="dxa"/>
            <w:vAlign w:val="center"/>
          </w:tcPr>
          <w:p w14:paraId="217419A8">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宋体" w:hAnsi="宋体" w:eastAsia="宋体" w:cs="宋体"/>
                <w:b/>
                <w:bCs/>
                <w:color w:val="auto"/>
                <w:kern w:val="2"/>
                <w:sz w:val="24"/>
                <w:szCs w:val="24"/>
                <w:lang w:val="en-US" w:eastAsia="zh-CN" w:bidi="ar-SA"/>
              </w:rPr>
            </w:pPr>
          </w:p>
        </w:tc>
        <w:tc>
          <w:tcPr>
            <w:tcW w:w="726" w:type="dxa"/>
            <w:vAlign w:val="center"/>
          </w:tcPr>
          <w:p w14:paraId="5D2A7C21">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宋体" w:hAnsi="宋体" w:eastAsia="宋体" w:cs="宋体"/>
                <w:b/>
                <w:bCs/>
                <w:color w:val="auto"/>
                <w:kern w:val="2"/>
                <w:sz w:val="24"/>
                <w:szCs w:val="24"/>
                <w:lang w:val="en-US" w:eastAsia="zh-CN" w:bidi="ar-SA"/>
              </w:rPr>
            </w:pPr>
          </w:p>
        </w:tc>
        <w:tc>
          <w:tcPr>
            <w:tcW w:w="831" w:type="dxa"/>
            <w:vAlign w:val="center"/>
          </w:tcPr>
          <w:p w14:paraId="7CE59547">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宋体" w:hAnsi="宋体" w:eastAsia="宋体" w:cs="宋体"/>
                <w:b/>
                <w:bCs/>
                <w:color w:val="auto"/>
                <w:kern w:val="2"/>
                <w:sz w:val="24"/>
                <w:szCs w:val="24"/>
                <w:lang w:val="en-US" w:eastAsia="zh-CN" w:bidi="ar-SA"/>
              </w:rPr>
            </w:pPr>
            <w:r>
              <w:rPr>
                <w:rFonts w:hint="eastAsia" w:ascii="宋体" w:hAnsi="宋体" w:eastAsia="宋体" w:cs="宋体"/>
                <w:b/>
                <w:bCs/>
                <w:color w:val="auto"/>
                <w:sz w:val="24"/>
                <w:szCs w:val="24"/>
                <w:lang w:val="en-US" w:eastAsia="zh-CN"/>
              </w:rPr>
              <w:t>99978</w:t>
            </w:r>
          </w:p>
        </w:tc>
      </w:tr>
    </w:tbl>
    <w:p w14:paraId="705289C9">
      <w:pPr>
        <w:bidi w:val="0"/>
        <w:jc w:val="left"/>
        <w:rPr>
          <w:rFonts w:hint="eastAsia"/>
          <w:lang w:val="en-US" w:eastAsia="zh-CN"/>
        </w:rPr>
      </w:pPr>
    </w:p>
    <w:p w14:paraId="29FB44C4">
      <w:pPr>
        <w:bidi w:val="0"/>
        <w:jc w:val="left"/>
        <w:rPr>
          <w:rFonts w:hint="eastAsia"/>
          <w:lang w:val="en-US" w:eastAsia="zh-CN"/>
        </w:rPr>
      </w:pPr>
    </w:p>
    <w:p w14:paraId="0D3DBF65">
      <w:pPr>
        <w:bidi w:val="0"/>
        <w:jc w:val="center"/>
        <w:rPr>
          <w:rFonts w:hint="eastAsia"/>
          <w:b/>
          <w:bCs/>
          <w:sz w:val="24"/>
          <w:szCs w:val="24"/>
          <w:lang w:val="en-US" w:eastAsia="zh-CN"/>
        </w:rPr>
      </w:pPr>
    </w:p>
    <w:p w14:paraId="2BBC944E">
      <w:pPr>
        <w:bidi w:val="0"/>
        <w:jc w:val="center"/>
        <w:rPr>
          <w:rFonts w:hint="default"/>
          <w:b/>
          <w:bCs/>
          <w:sz w:val="24"/>
          <w:szCs w:val="24"/>
          <w:lang w:val="en-US" w:eastAsia="zh-CN"/>
        </w:rPr>
      </w:pPr>
      <w:r>
        <w:rPr>
          <w:rFonts w:hint="eastAsia"/>
          <w:b/>
          <w:bCs/>
          <w:sz w:val="24"/>
          <w:szCs w:val="24"/>
          <w:lang w:val="en-US" w:eastAsia="zh-CN"/>
        </w:rPr>
        <w:t>商务要求</w:t>
      </w:r>
    </w:p>
    <w:p w14:paraId="07EB8A09">
      <w:pPr>
        <w:bidi w:val="0"/>
        <w:jc w:val="left"/>
        <w:rPr>
          <w:rFonts w:hint="eastAsia"/>
          <w:lang w:val="en-US" w:eastAsia="zh-CN"/>
        </w:rPr>
      </w:pP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6"/>
        <w:gridCol w:w="8718"/>
      </w:tblGrid>
      <w:tr w14:paraId="525D7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6" w:type="dxa"/>
          </w:tcPr>
          <w:p w14:paraId="2A6D5A4F">
            <w:pPr>
              <w:bidi w:val="0"/>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售后服务要求</w:t>
            </w:r>
          </w:p>
        </w:tc>
        <w:tc>
          <w:tcPr>
            <w:tcW w:w="8718" w:type="dxa"/>
          </w:tcPr>
          <w:p w14:paraId="51464E87">
            <w:pPr>
              <w:bidi w:val="0"/>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1.合同签订期：自中标通知书发出之日起3日内。</w:t>
            </w:r>
          </w:p>
          <w:p w14:paraId="7840A01C">
            <w:pPr>
              <w:bidi w:val="0"/>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2.交付使用时间：自合同签订之日起30日内交付并安装验收完毕。</w:t>
            </w:r>
          </w:p>
          <w:p w14:paraId="116C3FE0">
            <w:pPr>
              <w:bidi w:val="0"/>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3.交货地点：南宁市内（采购人指定地点）。</w:t>
            </w:r>
          </w:p>
          <w:p w14:paraId="1D207BDC">
            <w:pPr>
              <w:bidi w:val="0"/>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4.交货方式：现场交货。</w:t>
            </w:r>
          </w:p>
          <w:p w14:paraId="721D0DB8">
            <w:pPr>
              <w:bidi w:val="0"/>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5.售后服务要求：</w:t>
            </w:r>
          </w:p>
          <w:p w14:paraId="5F428DEC">
            <w:pPr>
              <w:bidi w:val="0"/>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（1）送货上门，按现场条件全程安装调试，直至最终验收前产生的所有费用由中标供应商承担。</w:t>
            </w:r>
          </w:p>
          <w:p w14:paraId="3103D495">
            <w:pPr>
              <w:bidi w:val="0"/>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2）包修期：保修期内，对全部产品提供上门包修服务，不向采购人收取额外费用。所有非故意性损坏以及正常使用范围内造成的损坏均要提供维修及更换零配件；因人为因素故意性损坏出现的故障不在包修范围，但中标供应商也要积极帮助采购人修理。</w:t>
            </w:r>
          </w:p>
          <w:p w14:paraId="3C75CBBD">
            <w:pPr>
              <w:bidi w:val="0"/>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（3）质量保证期：全部产品按国家有“三包”规定执行“三包”。自验项目收合格之日起整个项目质量保证期不低于</w:t>
            </w:r>
            <w:r>
              <w:rPr>
                <w:rFonts w:hint="eastAsia" w:ascii="宋体" w:hAnsi="宋体" w:eastAsia="宋体" w:cs="宋体"/>
                <w:color w:val="auto"/>
                <w:sz w:val="21"/>
                <w:szCs w:val="21"/>
                <w:vertAlign w:val="baseline"/>
                <w:lang w:val="en-US" w:eastAsia="zh-CN"/>
              </w:rPr>
              <w:t>五年；中</w:t>
            </w:r>
            <w:r>
              <w:rPr>
                <w:rFonts w:hint="eastAsia" w:ascii="宋体" w:hAnsi="宋体" w:eastAsia="宋体" w:cs="宋体"/>
                <w:sz w:val="21"/>
                <w:szCs w:val="21"/>
                <w:vertAlign w:val="baseline"/>
                <w:lang w:val="en-US" w:eastAsia="zh-CN"/>
              </w:rPr>
              <w:t>标人须提供服务质量保证承诺，免费质保期承诺，售后服务承诺。</w:t>
            </w:r>
          </w:p>
          <w:p w14:paraId="4E31799D">
            <w:pPr>
              <w:bidi w:val="0"/>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4）故障响应时间：质保期内，中标供应商须提供每周7×24小时电话咨询服务，在接到故障通知后2小时内进行响应，如需现场服务，12小时内到达现场免费维修，24小时内修复。如24小时内无法修复的，全免费提供不低于故障设备规格型号档次的备用设备(或采用应急措施)供采购人临时使用，不得影响采购人的正常工作，直到故障设备修复。质保期到期后，货物发生故障时，在接到采购人通知后2小时内到达现场处理，一般故障处理时限不超过12小时，12小时内不能修复的，提供替代品。</w:t>
            </w:r>
          </w:p>
          <w:p w14:paraId="60FB3815">
            <w:pPr>
              <w:bidi w:val="0"/>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（5）验收所需工具、器材由中标供应商自理；各项性能指标达到技术要求的，由供需双方共同签字认可，现场验收。</w:t>
            </w:r>
          </w:p>
          <w:p w14:paraId="32F8CB42">
            <w:pPr>
              <w:bidi w:val="0"/>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（6）中标供应商负责处理解决货物出现的质量及安全问题并承担一切费用。</w:t>
            </w:r>
          </w:p>
          <w:p w14:paraId="635D436A">
            <w:pPr>
              <w:bidi w:val="0"/>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（7）中标供应商应根据服务要求提供售后服务。</w:t>
            </w:r>
          </w:p>
          <w:p w14:paraId="06425643">
            <w:pPr>
              <w:bidi w:val="0"/>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（8）供货产品为整体或板式安装结构，供货时不接受任何产品或原材料现场切割、焊接、加工、喷漆、胶粘等对现场环境产生负面影响的施工作业，否则不予验收，终止合同。</w:t>
            </w:r>
          </w:p>
        </w:tc>
      </w:tr>
      <w:tr w14:paraId="1E28A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6" w:type="dxa"/>
          </w:tcPr>
          <w:p w14:paraId="06912BAA">
            <w:pPr>
              <w:bidi w:val="0"/>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投标报价</w:t>
            </w:r>
          </w:p>
        </w:tc>
        <w:tc>
          <w:tcPr>
            <w:tcW w:w="8718" w:type="dxa"/>
          </w:tcPr>
          <w:p w14:paraId="1AF19128">
            <w:pPr>
              <w:bidi w:val="0"/>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1.投标报价为采购人指定地点的现场交货价，包括：</w:t>
            </w:r>
          </w:p>
          <w:p w14:paraId="0CE4F0BA">
            <w:pPr>
              <w:bidi w:val="0"/>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（1）货物的价格：包括货款、零配件、安装调试费、验收费；</w:t>
            </w:r>
          </w:p>
          <w:p w14:paraId="57A13360">
            <w:pPr>
              <w:bidi w:val="0"/>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（2）货物的标准附件、备品备件、专用工具的价格；</w:t>
            </w:r>
          </w:p>
          <w:p w14:paraId="06E0DED4">
            <w:pPr>
              <w:bidi w:val="0"/>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（3）运输、装卸、调试、培训、技术支持、售后服务费；</w:t>
            </w:r>
          </w:p>
          <w:p w14:paraId="648B8DD1">
            <w:pPr>
              <w:bidi w:val="0"/>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（4）按采购人要求进行摆放的费用。</w:t>
            </w:r>
          </w:p>
          <w:p w14:paraId="3A0D9B77">
            <w:pPr>
              <w:bidi w:val="0"/>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注：投标人自行考虑完成项目所需的辅材、杂配件等数量，投标报价中应包含全部内容，中标后采购人不再另行支付额外费用。</w:t>
            </w:r>
          </w:p>
        </w:tc>
      </w:tr>
      <w:tr w14:paraId="53578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6" w:type="dxa"/>
          </w:tcPr>
          <w:p w14:paraId="244DB23A">
            <w:pPr>
              <w:bidi w:val="0"/>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其它要求及说明</w:t>
            </w:r>
          </w:p>
        </w:tc>
        <w:tc>
          <w:tcPr>
            <w:tcW w:w="8718" w:type="dxa"/>
          </w:tcPr>
          <w:p w14:paraId="0433C825">
            <w:pPr>
              <w:bidi w:val="0"/>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1.中标人保证向采购人提供的货物是全新、完整、未使用过的。</w:t>
            </w:r>
          </w:p>
          <w:p w14:paraId="6EEBD094">
            <w:pPr>
              <w:bidi w:val="0"/>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2.本项目不接受进口产品（即通过中国海关报关验放进入中国境内且产自关境外的产品）参与投标，如有此类产品参与投标的投标无效。</w:t>
            </w:r>
          </w:p>
          <w:p w14:paraId="0318B07D">
            <w:pPr>
              <w:bidi w:val="0"/>
              <w:jc w:val="left"/>
              <w:rPr>
                <w:rFonts w:hint="eastAsia" w:ascii="宋体" w:hAnsi="宋体" w:eastAsia="宋体" w:cs="宋体"/>
                <w:sz w:val="21"/>
                <w:szCs w:val="21"/>
                <w:vertAlign w:val="baseline"/>
                <w:lang w:val="en-US" w:eastAsia="zh-CN"/>
              </w:rPr>
            </w:pPr>
            <w:r>
              <w:rPr>
                <w:rFonts w:hint="eastAsia" w:ascii="宋体" w:hAnsi="宋体" w:eastAsia="宋体" w:cs="宋体"/>
                <w:i w:val="0"/>
                <w:iCs w:val="0"/>
                <w:color w:val="000000"/>
                <w:kern w:val="0"/>
                <w:sz w:val="21"/>
                <w:szCs w:val="21"/>
                <w:u w:val="none"/>
                <w:lang w:val="en-US" w:eastAsia="zh-CN" w:bidi="ar"/>
              </w:rPr>
              <w:t>★</w:t>
            </w:r>
            <w:r>
              <w:rPr>
                <w:rFonts w:hint="eastAsia" w:ascii="宋体" w:hAnsi="宋体" w:eastAsia="宋体" w:cs="宋体"/>
                <w:sz w:val="21"/>
                <w:szCs w:val="21"/>
                <w:vertAlign w:val="baseline"/>
                <w:lang w:val="en-US" w:eastAsia="zh-CN"/>
              </w:rPr>
              <w:t>3.供货商提供的货物需全部满足核心参数的要求，并在报价时上传符合以下要求的检测报告复印件：针对投标产品使用的“</w:t>
            </w:r>
            <w:r>
              <w:rPr>
                <w:rFonts w:hint="eastAsia" w:ascii="宋体" w:hAnsi="宋体" w:eastAsia="宋体" w:cs="宋体"/>
                <w:b/>
                <w:bCs/>
                <w:sz w:val="21"/>
                <w:szCs w:val="21"/>
                <w:vertAlign w:val="baseline"/>
                <w:lang w:val="en-US" w:eastAsia="zh-CN"/>
              </w:rPr>
              <w:t>书架立柱”、“书架搁板”、“书架挂板”、“</w:t>
            </w:r>
            <w:r>
              <w:rPr>
                <w:rFonts w:hint="eastAsia" w:ascii="宋体" w:hAnsi="宋体" w:eastAsia="宋体" w:cs="宋体"/>
                <w:b/>
                <w:bCs/>
                <w:i w:val="0"/>
                <w:iCs w:val="0"/>
                <w:color w:val="auto"/>
                <w:kern w:val="0"/>
                <w:sz w:val="21"/>
                <w:szCs w:val="21"/>
                <w:highlight w:val="none"/>
                <w:u w:val="none"/>
                <w:lang w:val="en-US" w:eastAsia="zh-CN" w:bidi="ar"/>
              </w:rPr>
              <w:t>挡书条</w:t>
            </w:r>
            <w:r>
              <w:rPr>
                <w:rFonts w:hint="eastAsia" w:ascii="宋体" w:hAnsi="宋体" w:eastAsia="宋体" w:cs="宋体"/>
                <w:b/>
                <w:bCs/>
                <w:sz w:val="21"/>
                <w:szCs w:val="21"/>
                <w:vertAlign w:val="baseline"/>
                <w:lang w:val="en-US" w:eastAsia="zh-CN"/>
              </w:rPr>
              <w:t>”、“</w:t>
            </w:r>
            <w:r>
              <w:rPr>
                <w:rFonts w:hint="eastAsia" w:ascii="宋体" w:hAnsi="宋体" w:eastAsia="宋体" w:cs="宋体"/>
                <w:b/>
                <w:bCs/>
                <w:color w:val="000000"/>
                <w:kern w:val="2"/>
                <w:sz w:val="21"/>
                <w:szCs w:val="21"/>
                <w:lang w:val="en-US" w:eastAsia="zh-CN" w:bidi="ar-SA"/>
              </w:rPr>
              <w:t>书架顶板”</w:t>
            </w:r>
            <w:r>
              <w:rPr>
                <w:rFonts w:hint="eastAsia" w:ascii="宋体" w:hAnsi="宋体" w:eastAsia="宋体" w:cs="宋体"/>
                <w:color w:val="000000"/>
                <w:kern w:val="2"/>
                <w:sz w:val="21"/>
                <w:szCs w:val="21"/>
                <w:lang w:val="en-US" w:eastAsia="zh-CN" w:bidi="ar-SA"/>
              </w:rPr>
              <w:t>、</w:t>
            </w:r>
            <w:r>
              <w:rPr>
                <w:rFonts w:hint="eastAsia" w:ascii="宋体" w:hAnsi="宋体" w:eastAsia="宋体" w:cs="宋体"/>
                <w:b/>
                <w:bCs/>
                <w:color w:val="000000"/>
                <w:kern w:val="2"/>
                <w:sz w:val="21"/>
                <w:szCs w:val="21"/>
                <w:lang w:val="en-US" w:eastAsia="zh-CN" w:bidi="ar-SA"/>
              </w:rPr>
              <w:t>“书架底框”、</w:t>
            </w:r>
            <w:r>
              <w:rPr>
                <w:rFonts w:hint="eastAsia" w:ascii="宋体" w:hAnsi="宋体" w:eastAsia="宋体" w:cs="宋体"/>
                <w:b/>
                <w:bCs/>
                <w:sz w:val="21"/>
                <w:szCs w:val="21"/>
                <w:vertAlign w:val="baseline"/>
                <w:lang w:val="en-US" w:eastAsia="zh-CN"/>
              </w:rPr>
              <w:t>“</w:t>
            </w:r>
            <w:r>
              <w:rPr>
                <w:rFonts w:hint="eastAsia" w:ascii="宋体" w:hAnsi="宋体" w:eastAsia="宋体" w:cs="宋体"/>
                <w:b/>
                <w:bCs/>
                <w:i w:val="0"/>
                <w:iCs w:val="0"/>
                <w:color w:val="auto"/>
                <w:kern w:val="0"/>
                <w:sz w:val="21"/>
                <w:szCs w:val="21"/>
                <w:highlight w:val="none"/>
                <w:u w:val="none"/>
                <w:lang w:val="en-US" w:eastAsia="zh-CN" w:bidi="ar"/>
              </w:rPr>
              <w:t>粉末涂料</w:t>
            </w:r>
            <w:r>
              <w:rPr>
                <w:rFonts w:hint="eastAsia" w:ascii="宋体" w:hAnsi="宋体" w:eastAsia="宋体" w:cs="宋体"/>
                <w:b/>
                <w:bCs/>
                <w:sz w:val="21"/>
                <w:szCs w:val="21"/>
                <w:vertAlign w:val="baseline"/>
                <w:lang w:val="en-US" w:eastAsia="zh-CN"/>
              </w:rPr>
              <w:t>”</w:t>
            </w:r>
            <w:r>
              <w:rPr>
                <w:rFonts w:hint="eastAsia" w:ascii="宋体" w:hAnsi="宋体" w:eastAsia="宋体" w:cs="宋体"/>
                <w:sz w:val="21"/>
                <w:szCs w:val="21"/>
                <w:vertAlign w:val="baseline"/>
                <w:lang w:val="en-US" w:eastAsia="zh-CN"/>
              </w:rPr>
              <w:t>，根据技术参数及性能（配置）要求中的“</w:t>
            </w:r>
            <w:r>
              <w:rPr>
                <w:rFonts w:hint="eastAsia" w:ascii="宋体" w:hAnsi="宋体" w:eastAsia="宋体" w:cs="宋体"/>
                <w:i w:val="0"/>
                <w:iCs w:val="0"/>
                <w:color w:val="000000"/>
                <w:kern w:val="0"/>
                <w:sz w:val="21"/>
                <w:szCs w:val="21"/>
                <w:u w:val="none"/>
                <w:lang w:val="en-US" w:eastAsia="zh-CN" w:bidi="ar"/>
              </w:rPr>
              <w:t>★</w:t>
            </w:r>
            <w:r>
              <w:rPr>
                <w:rFonts w:hint="eastAsia" w:ascii="宋体" w:hAnsi="宋体" w:eastAsia="宋体" w:cs="宋体"/>
                <w:sz w:val="21"/>
                <w:szCs w:val="21"/>
                <w:vertAlign w:val="baseline"/>
                <w:lang w:val="en-US" w:eastAsia="zh-CN"/>
              </w:rPr>
              <w:t>”号内容要求提供且具有国家认可的第三方检验机构出具的检测报告扫描件以及提供</w:t>
            </w:r>
            <w:r>
              <w:rPr>
                <w:rFonts w:hint="eastAsia" w:ascii="宋体" w:hAnsi="宋体" w:eastAsia="宋体" w:cs="宋体"/>
                <w:b/>
                <w:bCs/>
                <w:sz w:val="21"/>
                <w:szCs w:val="21"/>
                <w:vertAlign w:val="baseline"/>
                <w:lang w:val="en-US" w:eastAsia="zh-CN"/>
              </w:rPr>
              <w:t>“书架”</w:t>
            </w:r>
            <w:r>
              <w:rPr>
                <w:rFonts w:hint="eastAsia" w:ascii="宋体" w:hAnsi="宋体" w:eastAsia="宋体" w:cs="宋体"/>
                <w:sz w:val="21"/>
                <w:szCs w:val="21"/>
                <w:vertAlign w:val="baseline"/>
                <w:lang w:val="en-US" w:eastAsia="zh-CN"/>
              </w:rPr>
              <w:t>型式检测合格报告，检验对象名称可以不完全一致，只需要相符；检验报告的送检单位必须是投标人、产品生产厂家、原材料生产厂家（投标人需承诺检测报告中检测的材料在本次投标的产品中使用，检测的产品应与本次投标采用同样的材料和工艺生产）。不提供或与招标参数不符合的报价无效。</w:t>
            </w:r>
          </w:p>
          <w:p w14:paraId="17011A5A">
            <w:pPr>
              <w:bidi w:val="0"/>
              <w:jc w:val="left"/>
              <w:rPr>
                <w:rFonts w:hint="eastAsia" w:ascii="宋体" w:hAnsi="宋体" w:eastAsia="宋体" w:cs="宋体"/>
                <w:sz w:val="21"/>
                <w:szCs w:val="21"/>
                <w:vertAlign w:val="baseline"/>
                <w:lang w:val="en-US" w:eastAsia="zh-CN"/>
              </w:rPr>
            </w:pPr>
            <w:r>
              <w:rPr>
                <w:rFonts w:hint="eastAsia" w:ascii="宋体" w:hAnsi="宋体" w:eastAsia="宋体" w:cs="宋体"/>
                <w:i w:val="0"/>
                <w:iCs w:val="0"/>
                <w:color w:val="000000"/>
                <w:kern w:val="0"/>
                <w:sz w:val="21"/>
                <w:szCs w:val="21"/>
                <w:u w:val="none"/>
                <w:lang w:val="en-US" w:eastAsia="zh-CN" w:bidi="ar"/>
              </w:rPr>
              <w:t>★</w:t>
            </w:r>
            <w:r>
              <w:rPr>
                <w:rFonts w:hint="eastAsia" w:ascii="宋体" w:hAnsi="宋体" w:eastAsia="宋体" w:cs="宋体"/>
                <w:sz w:val="21"/>
                <w:szCs w:val="21"/>
                <w:vertAlign w:val="baseline"/>
                <w:lang w:val="en-US" w:eastAsia="zh-CN"/>
              </w:rPr>
              <w:t>4.供应商须承诺其提供的检验检测报告符合以下相关要求：（1）产品检验流程严格遵循相关法律法规；（2）真实、有效（不存在检测机构相关无效声明的情形），不存在未送样、未经真实检验、盗用冒用其他合法报告编号非法编造的情形；（3）出具报告的第三方检测机构依法获得有效的国家认可资质（CMA）和具有本项目采购产品相对应的检验检测能力范围认定；（4）报告具有或检测机构能提供合法有效的电子邮箱、电话（传真）作为真伪查验方式，并能无条件配合报告真伪的验证工作；（5）签订合同前，中标人须提供纸质原件以供核验其真伪，中标人需在查证时自愿按采购人要求在规定的期限内提交包括但不限于检验检测报告原件、样品送检票证等其他的需要和能够证明检测报告合法真实有效的佐证材料；（6）如经查证为虚假报告或投标人有违以上承诺内容的投标人自愿承担提供虚假检验检测报告由此产生的一切不利法律后果（必须单独提供承诺函，格式自拟，未承诺按实质性要求未响应处理）。</w:t>
            </w:r>
          </w:p>
          <w:p w14:paraId="647169D2">
            <w:pPr>
              <w:bidi w:val="0"/>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5.本次所采购的货物在验收合格之日起60天内若发现产品有质量缺陷、安全隐患或不合用的，中标人负责上门包修、包换至合用；在货物验收合格之日起质保期内正常使用情况下出现材料及质量问题，中标人负责包修包换。</w:t>
            </w:r>
          </w:p>
          <w:p w14:paraId="3FF8C898">
            <w:pPr>
              <w:bidi w:val="0"/>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6.投标人出具的检测报告必须符合国家标准及技术性能要求。</w:t>
            </w:r>
          </w:p>
        </w:tc>
      </w:tr>
    </w:tbl>
    <w:p w14:paraId="1AC2645C">
      <w:pPr>
        <w:bidi w:val="0"/>
        <w:jc w:val="left"/>
        <w:rPr>
          <w:rFonts w:hint="eastAsia" w:ascii="宋体" w:hAnsi="宋体" w:eastAsia="宋体" w:cs="宋体"/>
          <w:sz w:val="21"/>
          <w:szCs w:val="21"/>
          <w:lang w:val="en-US" w:eastAsia="zh-CN"/>
        </w:rPr>
      </w:pPr>
    </w:p>
    <w:p w14:paraId="5A8681ED">
      <w:pPr>
        <w:bidi w:val="0"/>
        <w:jc w:val="left"/>
        <w:rPr>
          <w:rFonts w:hint="eastAsia"/>
          <w:lang w:val="en-US" w:eastAsia="zh-CN"/>
        </w:rPr>
      </w:pPr>
    </w:p>
    <w:p w14:paraId="340E6A42">
      <w:pPr>
        <w:bidi w:val="0"/>
        <w:jc w:val="left"/>
        <w:rPr>
          <w:rFonts w:hint="eastAsia"/>
          <w:lang w:val="en-US" w:eastAsia="zh-CN"/>
        </w:rPr>
      </w:pPr>
    </w:p>
    <w:sectPr>
      <w:pgSz w:w="11906" w:h="16838"/>
      <w:pgMar w:top="1134" w:right="1134"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I5Yjk2NzVlMzk3ZTMxMDY2YmNlMjdjNGQwZjQ2YzUifQ=="/>
  </w:docVars>
  <w:rsids>
    <w:rsidRoot w:val="52CB5336"/>
    <w:rsid w:val="00B942D1"/>
    <w:rsid w:val="060D2A5D"/>
    <w:rsid w:val="0D6F0B5F"/>
    <w:rsid w:val="1CFE7E6B"/>
    <w:rsid w:val="1ECE4BF1"/>
    <w:rsid w:val="29B81BEA"/>
    <w:rsid w:val="2CAD71A4"/>
    <w:rsid w:val="2E9E263A"/>
    <w:rsid w:val="39153DAE"/>
    <w:rsid w:val="3FA8138D"/>
    <w:rsid w:val="429E3BED"/>
    <w:rsid w:val="4AC72AD7"/>
    <w:rsid w:val="52CB5336"/>
    <w:rsid w:val="56EB24D4"/>
    <w:rsid w:val="5C013209"/>
    <w:rsid w:val="6E652F74"/>
    <w:rsid w:val="717E613F"/>
    <w:rsid w:val="74F058DB"/>
    <w:rsid w:val="769431A0"/>
    <w:rsid w:val="7D3D71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5201</Words>
  <Characters>5841</Characters>
  <Lines>0</Lines>
  <Paragraphs>0</Paragraphs>
  <TotalTime>5</TotalTime>
  <ScaleCrop>false</ScaleCrop>
  <LinksUpToDate>false</LinksUpToDate>
  <CharactersWithSpaces>5862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2026-06-24T08:02:00Z</dcterms:created>
  <dc:creator>Administrator</dc:creator>
  <cp:lastModifiedBy>海之源</cp:lastModifiedBy>
  <dcterms:modified xsi:type="dcterms:W3CDTF">2026-07-02T08:07:03Z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2D648B1C1D7F4771A661EDAA049D975D_13</vt:lpwstr>
  </property>
  <property fmtid="{D5CDD505-2E9C-101B-9397-08002B2CF9AE}" pid="4" name="KSOTemplateDocerSaveRecord">
    <vt:lpwstr>eyJoZGlkIjoiN2M5NjMxMDg4YTU1MTc1MzUzNTdiYjQxMWM0NWM5ZWUiLCJ1c2VySWQiOiIxMDExMDYxNDQ1In0=</vt:lpwstr>
  </property>
</Properties>
</file>