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BD849">
      <w:pPr>
        <w:jc w:val="center"/>
        <w:rPr>
          <w:rFonts w:hint="eastAsia" w:ascii="宋体" w:hAnsi="宋体" w:eastAsia="宋体" w:cs="宋体"/>
          <w:b/>
          <w:bCs/>
          <w:i w:val="0"/>
          <w:iCs w:val="0"/>
          <w:color w:val="000000"/>
          <w:kern w:val="0"/>
          <w:sz w:val="36"/>
          <w:szCs w:val="36"/>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南宁师范大学继续教育学院多功能培训教室家具</w:t>
      </w:r>
    </w:p>
    <w:p w14:paraId="09446FEB">
      <w:pPr>
        <w:jc w:val="center"/>
        <w:rPr>
          <w:rFonts w:hint="eastAsia" w:ascii="宋体" w:hAnsi="宋体" w:eastAsia="宋体" w:cs="宋体"/>
          <w:b/>
          <w:bCs/>
          <w:i w:val="0"/>
          <w:iCs w:val="0"/>
          <w:color w:val="000000"/>
          <w:kern w:val="0"/>
          <w:sz w:val="30"/>
          <w:szCs w:val="30"/>
          <w:u w:val="none"/>
          <w:lang w:val="en-US" w:eastAsia="zh-CN" w:bidi="ar"/>
        </w:rPr>
      </w:pPr>
      <w:r>
        <w:rPr>
          <w:rFonts w:hint="eastAsia" w:ascii="宋体" w:hAnsi="宋体" w:eastAsia="宋体" w:cs="宋体"/>
          <w:b/>
          <w:bCs/>
          <w:i w:val="0"/>
          <w:iCs w:val="0"/>
          <w:color w:val="000000"/>
          <w:kern w:val="0"/>
          <w:sz w:val="36"/>
          <w:szCs w:val="36"/>
          <w:u w:val="none"/>
          <w:lang w:val="en-US" w:eastAsia="zh-CN" w:bidi="ar"/>
        </w:rPr>
        <w:t>采购项目需求表</w:t>
      </w:r>
      <w:bookmarkStart w:id="0" w:name="_GoBack"/>
      <w:bookmarkEnd w:id="0"/>
    </w:p>
    <w:p w14:paraId="4A2B6E6D">
      <w:pPr>
        <w:bidi w:val="0"/>
        <w:rPr>
          <w:rFonts w:hint="eastAsia" w:asciiTheme="minorHAnsi" w:hAnsiTheme="minorHAnsi" w:eastAsiaTheme="minorEastAsia" w:cstheme="minorBidi"/>
          <w:kern w:val="2"/>
          <w:sz w:val="21"/>
          <w:szCs w:val="24"/>
          <w:lang w:val="en-US" w:eastAsia="zh-CN" w:bidi="ar-SA"/>
        </w:rPr>
      </w:pPr>
    </w:p>
    <w:tbl>
      <w:tblPr>
        <w:tblStyle w:val="3"/>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235"/>
        <w:gridCol w:w="5435"/>
        <w:gridCol w:w="750"/>
        <w:gridCol w:w="726"/>
        <w:gridCol w:w="831"/>
      </w:tblGrid>
      <w:tr w14:paraId="63CD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32" w:type="dxa"/>
            <w:vAlign w:val="center"/>
          </w:tcPr>
          <w:p w14:paraId="25ED1C72">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产品名称</w:t>
            </w:r>
          </w:p>
        </w:tc>
        <w:tc>
          <w:tcPr>
            <w:tcW w:w="1235" w:type="dxa"/>
            <w:vAlign w:val="center"/>
          </w:tcPr>
          <w:p w14:paraId="14841266">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参考图片</w:t>
            </w:r>
          </w:p>
        </w:tc>
        <w:tc>
          <w:tcPr>
            <w:tcW w:w="5435" w:type="dxa"/>
            <w:vAlign w:val="center"/>
          </w:tcPr>
          <w:p w14:paraId="0668737E">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技术参数</w:t>
            </w:r>
          </w:p>
        </w:tc>
        <w:tc>
          <w:tcPr>
            <w:tcW w:w="750" w:type="dxa"/>
            <w:vAlign w:val="center"/>
          </w:tcPr>
          <w:p w14:paraId="7B65BF25">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数量</w:t>
            </w:r>
          </w:p>
        </w:tc>
        <w:tc>
          <w:tcPr>
            <w:tcW w:w="726" w:type="dxa"/>
            <w:vAlign w:val="center"/>
          </w:tcPr>
          <w:p w14:paraId="1AFFCED2">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单价</w:t>
            </w:r>
          </w:p>
        </w:tc>
        <w:tc>
          <w:tcPr>
            <w:tcW w:w="831" w:type="dxa"/>
            <w:vAlign w:val="center"/>
          </w:tcPr>
          <w:p w14:paraId="5D42B21F">
            <w:pPr>
              <w:numPr>
                <w:ilvl w:val="0"/>
                <w:numId w:val="0"/>
              </w:numPr>
              <w:jc w:val="center"/>
              <w:rPr>
                <w:rFonts w:hint="default"/>
                <w:b/>
                <w:bCs/>
                <w:sz w:val="21"/>
                <w:szCs w:val="21"/>
                <w:vertAlign w:val="baseline"/>
                <w:lang w:val="en-US" w:eastAsia="zh-CN"/>
              </w:rPr>
            </w:pPr>
            <w:r>
              <w:rPr>
                <w:rFonts w:hint="eastAsia"/>
                <w:b/>
                <w:bCs/>
                <w:sz w:val="21"/>
                <w:szCs w:val="21"/>
                <w:vertAlign w:val="baseline"/>
                <w:lang w:val="en-US" w:eastAsia="zh-CN"/>
              </w:rPr>
              <w:t>总价</w:t>
            </w:r>
          </w:p>
        </w:tc>
      </w:tr>
      <w:tr w14:paraId="79CF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0" w:hRule="atLeast"/>
          <w:jc w:val="center"/>
        </w:trPr>
        <w:tc>
          <w:tcPr>
            <w:tcW w:w="632" w:type="dxa"/>
            <w:vAlign w:val="center"/>
          </w:tcPr>
          <w:p w14:paraId="6DC4D605">
            <w:pPr>
              <w:jc w:val="center"/>
              <w:rPr>
                <w:rFonts w:hint="default"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双人位条桌</w:t>
            </w:r>
          </w:p>
          <w:p w14:paraId="7729FB7C">
            <w:pPr>
              <w:jc w:val="center"/>
              <w:rPr>
                <w:rFonts w:hint="default" w:ascii="宋体" w:hAnsi="宋体" w:eastAsia="宋体" w:cs="宋体"/>
                <w:kern w:val="2"/>
                <w:sz w:val="21"/>
                <w:szCs w:val="21"/>
                <w:vertAlign w:val="baseline"/>
                <w:lang w:val="en-US" w:eastAsia="zh-CN" w:bidi="ar-SA"/>
              </w:rPr>
            </w:pPr>
          </w:p>
        </w:tc>
        <w:tc>
          <w:tcPr>
            <w:tcW w:w="1235" w:type="dxa"/>
          </w:tcPr>
          <w:p w14:paraId="5B30A9A2">
            <w:pPr>
              <w:spacing w:line="310" w:lineRule="exact"/>
              <w:rPr>
                <w:rFonts w:hint="eastAsia" w:ascii="宋体" w:hAnsi="宋体" w:eastAsia="宋体" w:cs="宋体"/>
                <w:sz w:val="21"/>
                <w:szCs w:val="21"/>
              </w:rPr>
            </w:pPr>
            <w:r>
              <w:drawing>
                <wp:anchor distT="0" distB="0" distL="114300" distR="114300" simplePos="0" relativeHeight="251659264" behindDoc="0" locked="0" layoutInCell="1" allowOverlap="1">
                  <wp:simplePos x="0" y="0"/>
                  <wp:positionH relativeFrom="column">
                    <wp:posOffset>-48260</wp:posOffset>
                  </wp:positionH>
                  <wp:positionV relativeFrom="paragraph">
                    <wp:posOffset>1270635</wp:posOffset>
                  </wp:positionV>
                  <wp:extent cx="659130" cy="590550"/>
                  <wp:effectExtent l="0" t="0" r="7620" b="0"/>
                  <wp:wrapSquare wrapText="bothSides"/>
                  <wp:docPr id="123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5" name="图片 1"/>
                          <pic:cNvPicPr>
                            <a:picLocks noChangeAspect="1"/>
                          </pic:cNvPicPr>
                        </pic:nvPicPr>
                        <pic:blipFill>
                          <a:blip r:embed="rId4"/>
                          <a:stretch>
                            <a:fillRect/>
                          </a:stretch>
                        </pic:blipFill>
                        <pic:spPr>
                          <a:xfrm>
                            <a:off x="0" y="0"/>
                            <a:ext cx="659130" cy="590550"/>
                          </a:xfrm>
                          <a:prstGeom prst="rect">
                            <a:avLst/>
                          </a:prstGeom>
                          <a:noFill/>
                          <a:ln w="9525">
                            <a:noFill/>
                          </a:ln>
                        </pic:spPr>
                      </pic:pic>
                    </a:graphicData>
                  </a:graphic>
                </wp:anchor>
              </w:drawing>
            </w:r>
          </w:p>
        </w:tc>
        <w:tc>
          <w:tcPr>
            <w:tcW w:w="5435" w:type="dxa"/>
            <w:vMerge w:val="restart"/>
          </w:tcPr>
          <w:p w14:paraId="5058EFD6">
            <w:pPr>
              <w:keepNext w:val="0"/>
              <w:keepLines w:val="0"/>
              <w:pageBreakBefore w:val="0"/>
              <w:kinsoku/>
              <w:wordWrap/>
              <w:overflowPunct/>
              <w:topLinePunct w:val="0"/>
              <w:autoSpaceDE/>
              <w:autoSpaceDN/>
              <w:bidi w:val="0"/>
              <w:adjustRightInd/>
              <w:snapToGrid/>
              <w:spacing w:line="288" w:lineRule="auto"/>
              <w:textAlignment w:val="auto"/>
              <w:rPr>
                <w:rFonts w:hint="default"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双人位条桌尺寸：1400L*400D*760Hmm；单人位条桌尺寸：700L*400D*760Hmm。</w:t>
            </w:r>
          </w:p>
          <w:p w14:paraId="6E8724A6">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★1、实木多层板：理化性能（含水率、胶合强度、浸渍剥离、静曲强度顺纹、静曲强度横纹、弹性模量顺纹、弹性模量横纹）均合格，甲醛释放量≤0.05mg/m³；符合GB/T 9846-2015《普通胶合板》标准。</w:t>
            </w:r>
          </w:p>
          <w:p w14:paraId="4F86952A">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采用钢制桌架。桌架：管材应无裂缝、叠缝，外露管口端面应封闭，金属喷漆（塑）涂层硬度要求铅笔硬度H，应无塑性变形和/或内聚破坏，金属喷漆（塑）涂层冲击强度要求冲击高度400mm，应无剥落、裂纹、皱纹，金属喷漆（塑）涂层耐盐浴要求划道两侧3mm外，应无鼓泡、锈蚀、剥落和起皱等现象，金属喷漆（塑）涂层附着力要求2级或优于2级（0级最好，5级最差），桌（几）类用钢构件强度和耐久性要求跌落试验结果无损，桌类用钢构件稳定性要求垂直加载稳定性试验结果无倾翻现象，安全性要求可接触的棱角与棱倒圆半径不应小于2mm，金属喷涂层的涂层厚度60～130μm，经人造气氛腐蚀试验（盐雾试验）后，保护评级（Rᴘ）不低于8级，外观评级（Rᴀ）不低于8级（10级最好，0级最差）；符合GB/T 3325-2024《金属家具通用技术条件》、QB/T 4767-2014《家具用钢构件》、GB/T 10125-2021《人造气氛腐蚀试验 盐雾试验》、GB/T 6461-2002《金属基体上金属和其他无机覆盖层 经腐蚀试验后的试样和试件的评级》。</w:t>
            </w:r>
          </w:p>
          <w:p w14:paraId="29CC54DA">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3、塑粉：外观、筛余物（125μm）、涂膜外观、附着力（干附着力）、铅笔硬度（内聚破坏中擦伤）、耐冲击性（正向冲击）、耐磨性（750g/500r）、耐酸性（3％质量分数盐酸溶液）、耐碱性（5％质量分数氢氧化钠溶液）、耐沸水性（2h）、弯曲试验、杯突试验均合格，耐湿热要求（47±1）℃，（96±2）％RH，500h，应无锈蚀、鼓泡、剥落现象；符合HG/T 2006-2022《热固性和热塑性粉末涂料》标准。</w:t>
            </w:r>
          </w:p>
          <w:p w14:paraId="6B03F0FD">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4、脚轮：尺寸（轮径、偏心距、轮宽、轮间距、插杆直径、外角倒圆半径、内角倒圆半径）均合格，力学性能（抗冲击性能、动载荷、滚动阻力、旋转阻力、制动性能、静载荷性能）均合格，外观及装配要求脚轮零部件之间应装配牢固，转动零部件应灵活，无卡滞、轮轴应固定不动，塑料件耐冷热循环应无裂纹、鼓泡、变色、起皱，塑料件硬度（邵氏D硬度）≥HD63；符合QB/T 5224-2018《办公椅用脚轮》、GB/T 32487-2016《塑料家具通用技术条件》标准。</w:t>
            </w:r>
          </w:p>
          <w:p w14:paraId="611C0B6B">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★5、条桌依据GB/T 3324-2024《木家具通用技术条件》标准要求通过型式检验并取得型式检验报告，检测项目包含但不限于：（1）形状和位置公差（翘曲度、平整度、邻边垂直度、底脚平稳性）均检测合格；（2）有害物质限量要求甲醛≤0.04mg/m³，苯≤0.03mg/m³，甲苯≤0.08mg/m³，二甲苯（邻、间、对二甲苯之和）≤0.10mg/m³，总挥发性有机化合物（TVOC）≤0.30mg/m³，家具中可迁移有害元素锑（Sb）≤10mg/kg、砷（As）≤10mg/kg、钡（Ba）≤10mg/kg、镉（Cd）≤10mg/kg、铬（Cr）≤10mg/kg、铅（Pb）≤10mg/kg、汞（Hg）≤10mg/kg、硒（Se）≤10mg/kg。投标时提供具有CMA资质认定的第三方检测机构出具的“条桌”型式检测报告扫描件予以佐证，报告内容符合或优于参数要求。</w:t>
            </w:r>
          </w:p>
        </w:tc>
        <w:tc>
          <w:tcPr>
            <w:tcW w:w="750" w:type="dxa"/>
            <w:vAlign w:val="center"/>
          </w:tcPr>
          <w:p w14:paraId="3C252944">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32张</w:t>
            </w:r>
          </w:p>
        </w:tc>
        <w:tc>
          <w:tcPr>
            <w:tcW w:w="726" w:type="dxa"/>
            <w:vAlign w:val="center"/>
          </w:tcPr>
          <w:p w14:paraId="0FCB9F0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680 </w:t>
            </w:r>
          </w:p>
        </w:tc>
        <w:tc>
          <w:tcPr>
            <w:tcW w:w="831" w:type="dxa"/>
            <w:vAlign w:val="center"/>
          </w:tcPr>
          <w:p w14:paraId="5E038E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21760 </w:t>
            </w:r>
          </w:p>
        </w:tc>
      </w:tr>
      <w:tr w14:paraId="64BD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763F3857">
            <w:pPr>
              <w:jc w:val="center"/>
              <w:rPr>
                <w:rFonts w:hint="default" w:ascii="宋体" w:hAnsi="宋体" w:eastAsia="宋体" w:cs="宋体"/>
                <w:sz w:val="21"/>
                <w:szCs w:val="21"/>
                <w:lang w:val="en-US"/>
              </w:rPr>
            </w:pPr>
            <w:r>
              <w:rPr>
                <w:rFonts w:hint="eastAsia" w:ascii="宋体" w:hAnsi="宋体" w:eastAsia="宋体" w:cs="宋体"/>
                <w:kern w:val="2"/>
                <w:sz w:val="21"/>
                <w:szCs w:val="21"/>
                <w:vertAlign w:val="baseline"/>
                <w:lang w:val="en-US" w:eastAsia="zh-CN" w:bidi="ar-SA"/>
              </w:rPr>
              <w:t>单人位条桌</w:t>
            </w:r>
          </w:p>
        </w:tc>
        <w:tc>
          <w:tcPr>
            <w:tcW w:w="1235" w:type="dxa"/>
          </w:tcPr>
          <w:p w14:paraId="776D88A6">
            <w:pPr>
              <w:spacing w:line="310" w:lineRule="exact"/>
              <w:rPr>
                <w:rFonts w:hint="eastAsia" w:ascii="宋体" w:hAnsi="宋体" w:eastAsia="宋体" w:cs="宋体"/>
                <w:sz w:val="21"/>
                <w:szCs w:val="21"/>
              </w:rPr>
            </w:pPr>
            <w:r>
              <w:drawing>
                <wp:anchor distT="0" distB="0" distL="114300" distR="114300" simplePos="0" relativeHeight="251660288" behindDoc="0" locked="0" layoutInCell="1" allowOverlap="1">
                  <wp:simplePos x="0" y="0"/>
                  <wp:positionH relativeFrom="column">
                    <wp:posOffset>18415</wp:posOffset>
                  </wp:positionH>
                  <wp:positionV relativeFrom="paragraph">
                    <wp:posOffset>1818005</wp:posOffset>
                  </wp:positionV>
                  <wp:extent cx="686435" cy="614680"/>
                  <wp:effectExtent l="0" t="0" r="18415" b="1397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686435" cy="614680"/>
                          </a:xfrm>
                          <a:prstGeom prst="rect">
                            <a:avLst/>
                          </a:prstGeom>
                          <a:noFill/>
                          <a:ln w="9525">
                            <a:noFill/>
                          </a:ln>
                        </pic:spPr>
                      </pic:pic>
                    </a:graphicData>
                  </a:graphic>
                </wp:anchor>
              </w:drawing>
            </w:r>
          </w:p>
        </w:tc>
        <w:tc>
          <w:tcPr>
            <w:tcW w:w="5435" w:type="dxa"/>
            <w:vMerge w:val="continue"/>
          </w:tcPr>
          <w:p w14:paraId="4C7C0A8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vertAlign w:val="baseline"/>
                <w:lang w:val="en-US" w:eastAsia="zh-CN"/>
              </w:rPr>
            </w:pPr>
          </w:p>
        </w:tc>
        <w:tc>
          <w:tcPr>
            <w:tcW w:w="750" w:type="dxa"/>
            <w:vAlign w:val="center"/>
          </w:tcPr>
          <w:p w14:paraId="5E24F6C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8张</w:t>
            </w:r>
          </w:p>
        </w:tc>
        <w:tc>
          <w:tcPr>
            <w:tcW w:w="726" w:type="dxa"/>
            <w:vAlign w:val="center"/>
          </w:tcPr>
          <w:p w14:paraId="55695E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480 </w:t>
            </w:r>
          </w:p>
        </w:tc>
        <w:tc>
          <w:tcPr>
            <w:tcW w:w="831" w:type="dxa"/>
            <w:vAlign w:val="center"/>
          </w:tcPr>
          <w:p w14:paraId="59BA52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3840 </w:t>
            </w:r>
          </w:p>
        </w:tc>
      </w:tr>
      <w:tr w14:paraId="1DA85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77055EFE">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培训椅</w:t>
            </w:r>
          </w:p>
        </w:tc>
        <w:tc>
          <w:tcPr>
            <w:tcW w:w="1235" w:type="dxa"/>
          </w:tcPr>
          <w:p w14:paraId="6CF39366">
            <w:pPr>
              <w:spacing w:line="310" w:lineRule="exact"/>
              <w:rPr>
                <w:rFonts w:hint="eastAsia" w:ascii="宋体" w:hAnsi="宋体" w:eastAsia="宋体" w:cs="宋体"/>
                <w:sz w:val="21"/>
                <w:szCs w:val="21"/>
              </w:rPr>
            </w:pPr>
            <w:r>
              <w:drawing>
                <wp:anchor distT="0" distB="0" distL="114300" distR="114300" simplePos="0" relativeHeight="251661312" behindDoc="0" locked="0" layoutInCell="1" allowOverlap="1">
                  <wp:simplePos x="0" y="0"/>
                  <wp:positionH relativeFrom="column">
                    <wp:posOffset>65405</wp:posOffset>
                  </wp:positionH>
                  <wp:positionV relativeFrom="paragraph">
                    <wp:posOffset>2413635</wp:posOffset>
                  </wp:positionV>
                  <wp:extent cx="593090" cy="753110"/>
                  <wp:effectExtent l="0" t="0" r="16510" b="8890"/>
                  <wp:wrapSquare wrapText="bothSides"/>
                  <wp:docPr id="1232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6" name="图片 2"/>
                          <pic:cNvPicPr>
                            <a:picLocks noChangeAspect="1"/>
                          </pic:cNvPicPr>
                        </pic:nvPicPr>
                        <pic:blipFill>
                          <a:blip r:embed="rId5"/>
                          <a:stretch>
                            <a:fillRect/>
                          </a:stretch>
                        </pic:blipFill>
                        <pic:spPr>
                          <a:xfrm>
                            <a:off x="0" y="0"/>
                            <a:ext cx="593090" cy="753110"/>
                          </a:xfrm>
                          <a:prstGeom prst="rect">
                            <a:avLst/>
                          </a:prstGeom>
                          <a:noFill/>
                          <a:ln w="9525">
                            <a:noFill/>
                          </a:ln>
                        </pic:spPr>
                      </pic:pic>
                    </a:graphicData>
                  </a:graphic>
                </wp:anchor>
              </w:drawing>
            </w:r>
          </w:p>
        </w:tc>
        <w:tc>
          <w:tcPr>
            <w:tcW w:w="5435" w:type="dxa"/>
          </w:tcPr>
          <w:p w14:paraId="7BC7FB0E">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椅背：使用高弹性透气加密网布，精抛铝合金连接件。网布：甲醛含量≤20mg/kg，pH值4.0～8.5，染色牢度（耐水色牢度）≥3级，染色牢度（耐酸汗渍色牢度）≥3级，染色牢度（耐碱汗渍色牢度）≥3级，染色牢度（耐干摩擦色牢度）≥3级，无异味，可分解致癌芳香胺染料未检出，可萃取的重金属砷（As）≤1.0mg/kg，可萃取的重金属铅（Pb）≤1.0mg/kg，可萃取的重金属铬（Cr）≤1.0mg/kg，可萃取的重金属铜（Cu）≤1.0mg/kg，可萃取的重金属镍（Ni）≤1.0mg/kg，可萃取的重金属镉（Cd）≤0.05mg/kg，可萃取的重金属锑（Sb）≤1.0mg/kg，可萃取的重金属汞（Hg）≤0.01mg/kg，重金属总量铅（Pb）≤10.0mg/kg，重金属总量镉（Cd）≤10.0mg/kg；符合GB 18401-2010《国家纺织产品基本安全技术规范》、HJ 2546-2016《环境标志产品技术要求 纺织产品》标准。</w:t>
            </w:r>
          </w:p>
          <w:p w14:paraId="3CEA945D">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椅座：采用高密度一次发泡成型定型棉，座面使用高透气纤维布料，座前圆弧延垂。海绵：回弹率≥35％，75％压缩永久变形≤8％，65％/25％压陷比≥1.8，拉伸强度≥100kPa，断裂伸长率≥110％，撕裂强度≥1.8N/cm，干热老化后拉伸强度≥55kPa，干热老化拉伸强度变化率≤±30%，湿热老化后拉伸强度≥55kPa，湿热老化拉伸强度变化率≤±30%，灰分≤2.75％；符合GB/T 10802-2023《通用软质聚氨酯泡沫塑料》标准。</w:t>
            </w:r>
          </w:p>
          <w:p w14:paraId="39B7A04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3、椅架：采用优质钢管，经多工位表面处理后高温烤漆，漆面牢固。底部配ABS静音胶套，塑料件外观应无裂纹、明显变形、缩水、针孔，塑料件耐冷热循环应无裂纹、鼓泡、变色、起皱，塑料件硬度（邵氏D硬度）≥HD63，多环芳烃苯并[a]芘≤0.5mg/kg；符合GB/T 32487-2016《塑料家具通用技术条件》。</w:t>
            </w:r>
          </w:p>
          <w:p w14:paraId="3E753416">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18"/>
                <w:szCs w:val="18"/>
                <w:vertAlign w:val="baseline"/>
                <w:lang w:val="en-US" w:eastAsia="zh-CN"/>
              </w:rPr>
              <w:t>4、功能：座垫可上翻，可折叠收纳。</w:t>
            </w:r>
          </w:p>
        </w:tc>
        <w:tc>
          <w:tcPr>
            <w:tcW w:w="750" w:type="dxa"/>
            <w:vAlign w:val="center"/>
          </w:tcPr>
          <w:p w14:paraId="65A1BC62">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62张</w:t>
            </w:r>
          </w:p>
        </w:tc>
        <w:tc>
          <w:tcPr>
            <w:tcW w:w="726" w:type="dxa"/>
            <w:vAlign w:val="center"/>
          </w:tcPr>
          <w:p w14:paraId="5DED10E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300 </w:t>
            </w:r>
          </w:p>
        </w:tc>
        <w:tc>
          <w:tcPr>
            <w:tcW w:w="831" w:type="dxa"/>
            <w:vAlign w:val="center"/>
          </w:tcPr>
          <w:p w14:paraId="493444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18600 </w:t>
            </w:r>
          </w:p>
        </w:tc>
      </w:tr>
      <w:tr w14:paraId="14CA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vAlign w:val="center"/>
          </w:tcPr>
          <w:p w14:paraId="1DCAE99B">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多媒体讲台</w:t>
            </w:r>
          </w:p>
        </w:tc>
        <w:tc>
          <w:tcPr>
            <w:tcW w:w="1235" w:type="dxa"/>
          </w:tcPr>
          <w:p w14:paraId="53EE5970">
            <w:pPr>
              <w:spacing w:line="310" w:lineRule="exact"/>
              <w:rPr>
                <w:rFonts w:hint="eastAsia" w:ascii="宋体" w:hAnsi="宋体" w:eastAsia="宋体" w:cs="宋体"/>
                <w:sz w:val="21"/>
                <w:szCs w:val="21"/>
              </w:rPr>
            </w:pPr>
            <w:r>
              <w:drawing>
                <wp:anchor distT="0" distB="0" distL="114300" distR="114300" simplePos="0" relativeHeight="251662336" behindDoc="0" locked="0" layoutInCell="1" allowOverlap="1">
                  <wp:simplePos x="0" y="0"/>
                  <wp:positionH relativeFrom="column">
                    <wp:posOffset>-3175</wp:posOffset>
                  </wp:positionH>
                  <wp:positionV relativeFrom="paragraph">
                    <wp:posOffset>2362200</wp:posOffset>
                  </wp:positionV>
                  <wp:extent cx="679450" cy="489585"/>
                  <wp:effectExtent l="0" t="0" r="6350" b="5715"/>
                  <wp:wrapSquare wrapText="bothSides"/>
                  <wp:docPr id="12326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7" name="Picture 83"/>
                          <pic:cNvPicPr>
                            <a:picLocks noChangeAspect="1"/>
                          </pic:cNvPicPr>
                        </pic:nvPicPr>
                        <pic:blipFill>
                          <a:blip r:embed="rId6"/>
                          <a:stretch>
                            <a:fillRect/>
                          </a:stretch>
                        </pic:blipFill>
                        <pic:spPr>
                          <a:xfrm>
                            <a:off x="0" y="0"/>
                            <a:ext cx="679450" cy="489585"/>
                          </a:xfrm>
                          <a:prstGeom prst="rect">
                            <a:avLst/>
                          </a:prstGeom>
                          <a:noFill/>
                          <a:ln w="1">
                            <a:noFill/>
                          </a:ln>
                        </pic:spPr>
                      </pic:pic>
                    </a:graphicData>
                  </a:graphic>
                </wp:anchor>
              </w:drawing>
            </w:r>
          </w:p>
        </w:tc>
        <w:tc>
          <w:tcPr>
            <w:tcW w:w="5435" w:type="dxa"/>
          </w:tcPr>
          <w:p w14:paraId="41D227F6">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1、尺寸(长*宽*高)mm： (1100*700*980mm)</w:t>
            </w:r>
          </w:p>
          <w:p w14:paraId="02355ED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上台面尺寸： 1100*700*330    下柜体尺寸：830*640*650</w:t>
            </w:r>
          </w:p>
          <w:p w14:paraId="7E9EEA55">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材质：优质冷轧钢板；面板、主梁厚度为：1.5mm；冷轧钢板：力学性能-规定塑性延伸强度≥195MPa，力学性能-抗拉强度315～430MPa，力学性能-断后伸长率≥24%，表面结构（平均粗糙度）≤0.9μm，经人造气氛腐蚀试验（盐雾试验）后，保护评级（Rᴘ）不低于8级，外观评级（Rᴀ）不低于8级（10级最好，0级最差）；符合GB/T 11253-2019《碳素结构钢冷轧钢板及钢带》、GB/T 10125-2021《人造气氛腐蚀试验 盐雾试验》、GB/T 6461-2002 《金属基体上金属和其他无机覆盖层 经腐蚀试验后的试样和试件的评级》标准。</w:t>
            </w:r>
          </w:p>
          <w:p w14:paraId="3832A8CD">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3、工艺：数控生产技术，一体化设计制造，扶手倾角设计，符合人体工程学原理，提高人的使用舒适度。</w:t>
            </w:r>
          </w:p>
          <w:p w14:paraId="2FFE2720">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4、表面经过除油，酸洗，磷化，静电喷塑，具防腐、耐磨、散热等性能；</w:t>
            </w:r>
          </w:p>
          <w:p w14:paraId="4E39081B">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颜色：驼灰色（颜色可以选择）；</w:t>
            </w:r>
          </w:p>
          <w:p w14:paraId="238F5A4B">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5、翻转开启上盖门，启动辅助升降液晶显示器，键盘为翻转式设计，右侧为隐藏式的抽拉抽屉，可放置视频展台；设备箱内隔板活动可调；整体外形更美观，布局更合理；</w:t>
            </w:r>
          </w:p>
          <w:p w14:paraId="5F5A2A38">
            <w:pPr>
              <w:keepNext w:val="0"/>
              <w:keepLines w:val="0"/>
              <w:pageBreakBefore w:val="0"/>
              <w:kinsoku/>
              <w:wordWrap/>
              <w:overflowPunct/>
              <w:topLinePunct w:val="0"/>
              <w:autoSpaceDE/>
              <w:autoSpaceDN/>
              <w:bidi w:val="0"/>
              <w:adjustRightInd/>
              <w:snapToGrid/>
              <w:spacing w:line="288" w:lineRule="auto"/>
              <w:textAlignment w:val="auto"/>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18"/>
                <w:szCs w:val="18"/>
                <w:vertAlign w:val="baseline"/>
                <w:lang w:val="en-US" w:eastAsia="zh-CN"/>
              </w:rPr>
              <w:t>★6、后门设计为上下开门方式，便于检修设备；设计有百叶窗，保护设备的互循环散热结构；、坚固的磁控锁防护，保护设备的安全性；边角圆弧过渡，工艺精湛，高贵大方。</w:t>
            </w:r>
          </w:p>
        </w:tc>
        <w:tc>
          <w:tcPr>
            <w:tcW w:w="750" w:type="dxa"/>
            <w:vAlign w:val="center"/>
          </w:tcPr>
          <w:p w14:paraId="3EA278E5">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1张</w:t>
            </w:r>
          </w:p>
        </w:tc>
        <w:tc>
          <w:tcPr>
            <w:tcW w:w="726" w:type="dxa"/>
            <w:vAlign w:val="center"/>
          </w:tcPr>
          <w:p w14:paraId="4763A2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950 </w:t>
            </w:r>
          </w:p>
        </w:tc>
        <w:tc>
          <w:tcPr>
            <w:tcW w:w="831" w:type="dxa"/>
            <w:vAlign w:val="center"/>
          </w:tcPr>
          <w:p w14:paraId="5B4CA12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 xml:space="preserve">950 </w:t>
            </w:r>
          </w:p>
        </w:tc>
      </w:tr>
      <w:tr w14:paraId="6D97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67" w:type="dxa"/>
            <w:gridSpan w:val="2"/>
            <w:vAlign w:val="center"/>
          </w:tcPr>
          <w:p w14:paraId="11F0C033">
            <w:pPr>
              <w:spacing w:line="310" w:lineRule="exact"/>
              <w:jc w:val="center"/>
              <w:rPr>
                <w:rFonts w:hint="eastAsia" w:ascii="宋体" w:hAnsi="宋体" w:eastAsia="宋体" w:cs="宋体"/>
                <w:b/>
                <w:bCs/>
                <w:kern w:val="2"/>
                <w:sz w:val="24"/>
                <w:szCs w:val="24"/>
                <w:lang w:val="en-US" w:eastAsia="zh-CN" w:bidi="ar-SA"/>
              </w:rPr>
            </w:pPr>
            <w:r>
              <w:rPr>
                <w:rFonts w:hint="eastAsia" w:ascii="宋体" w:hAnsi="宋体" w:eastAsia="宋体" w:cs="宋体"/>
                <w:b/>
                <w:bCs/>
                <w:sz w:val="24"/>
                <w:szCs w:val="24"/>
                <w:lang w:val="en-US" w:eastAsia="zh-CN"/>
              </w:rPr>
              <w:t>合计（大写）</w:t>
            </w:r>
          </w:p>
        </w:tc>
        <w:tc>
          <w:tcPr>
            <w:tcW w:w="5435" w:type="dxa"/>
            <w:vAlign w:val="top"/>
          </w:tcPr>
          <w:p w14:paraId="4E5CECA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val="en-US" w:eastAsia="zh-CN"/>
              </w:rPr>
              <w:t>人民币肆万伍仟壹佰伍拾元整</w:t>
            </w:r>
          </w:p>
        </w:tc>
        <w:tc>
          <w:tcPr>
            <w:tcW w:w="750" w:type="dxa"/>
            <w:vAlign w:val="center"/>
          </w:tcPr>
          <w:p w14:paraId="7F0DEB40">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p>
        </w:tc>
        <w:tc>
          <w:tcPr>
            <w:tcW w:w="726" w:type="dxa"/>
            <w:vAlign w:val="center"/>
          </w:tcPr>
          <w:p w14:paraId="03CEE2CC">
            <w:pPr>
              <w:keepNext w:val="0"/>
              <w:keepLines w:val="0"/>
              <w:pageBreakBefore w:val="0"/>
              <w:kinsoku/>
              <w:wordWrap/>
              <w:overflowPunct/>
              <w:topLinePunct w:val="0"/>
              <w:autoSpaceDE/>
              <w:autoSpaceDN/>
              <w:bidi w:val="0"/>
              <w:adjustRightInd/>
              <w:snapToGrid/>
              <w:spacing w:line="288" w:lineRule="auto"/>
              <w:jc w:val="center"/>
              <w:textAlignment w:val="auto"/>
              <w:rPr>
                <w:rFonts w:hint="eastAsia" w:ascii="宋体" w:hAnsi="宋体" w:eastAsia="宋体" w:cs="宋体"/>
                <w:b/>
                <w:bCs/>
                <w:color w:val="auto"/>
                <w:kern w:val="2"/>
                <w:sz w:val="24"/>
                <w:szCs w:val="24"/>
                <w:lang w:val="en-US" w:eastAsia="zh-CN" w:bidi="ar-SA"/>
              </w:rPr>
            </w:pPr>
          </w:p>
        </w:tc>
        <w:tc>
          <w:tcPr>
            <w:tcW w:w="831" w:type="dxa"/>
            <w:vAlign w:val="center"/>
          </w:tcPr>
          <w:p w14:paraId="21AC057A">
            <w:pPr>
              <w:keepNext w:val="0"/>
              <w:keepLines w:val="0"/>
              <w:pageBreakBefore w:val="0"/>
              <w:kinsoku/>
              <w:wordWrap/>
              <w:overflowPunct/>
              <w:topLinePunct w:val="0"/>
              <w:autoSpaceDE/>
              <w:autoSpaceDN/>
              <w:bidi w:val="0"/>
              <w:adjustRightInd/>
              <w:snapToGrid/>
              <w:spacing w:line="288" w:lineRule="auto"/>
              <w:jc w:val="center"/>
              <w:textAlignment w:val="auto"/>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45150</w:t>
            </w:r>
          </w:p>
        </w:tc>
      </w:tr>
    </w:tbl>
    <w:p w14:paraId="5A170525">
      <w:pPr>
        <w:bidi w:val="0"/>
        <w:jc w:val="left"/>
        <w:rPr>
          <w:rFonts w:hint="eastAsia"/>
          <w:lang w:val="en-US" w:eastAsia="zh-CN"/>
        </w:rPr>
      </w:pPr>
    </w:p>
    <w:p w14:paraId="3C657F0C">
      <w:pPr>
        <w:bidi w:val="0"/>
        <w:jc w:val="left"/>
        <w:rPr>
          <w:rFonts w:hint="eastAsia"/>
          <w:lang w:val="en-US" w:eastAsia="zh-CN"/>
        </w:rPr>
      </w:pPr>
    </w:p>
    <w:p w14:paraId="4086F645">
      <w:pPr>
        <w:bidi w:val="0"/>
        <w:jc w:val="center"/>
        <w:rPr>
          <w:rFonts w:hint="eastAsia"/>
          <w:b/>
          <w:bCs/>
          <w:sz w:val="24"/>
          <w:szCs w:val="24"/>
          <w:lang w:val="en-US" w:eastAsia="zh-CN"/>
        </w:rPr>
      </w:pPr>
    </w:p>
    <w:p w14:paraId="580ED412">
      <w:pPr>
        <w:bidi w:val="0"/>
        <w:jc w:val="center"/>
        <w:rPr>
          <w:rFonts w:hint="eastAsia"/>
          <w:b/>
          <w:bCs/>
          <w:sz w:val="24"/>
          <w:szCs w:val="24"/>
          <w:lang w:val="en-US" w:eastAsia="zh-CN"/>
        </w:rPr>
      </w:pPr>
    </w:p>
    <w:p w14:paraId="57B31932">
      <w:pPr>
        <w:bidi w:val="0"/>
        <w:jc w:val="center"/>
        <w:rPr>
          <w:rFonts w:hint="eastAsia"/>
          <w:b/>
          <w:bCs/>
          <w:sz w:val="24"/>
          <w:szCs w:val="24"/>
          <w:lang w:val="en-US" w:eastAsia="zh-CN"/>
        </w:rPr>
      </w:pPr>
    </w:p>
    <w:p w14:paraId="2AE894F3">
      <w:pPr>
        <w:bidi w:val="0"/>
        <w:jc w:val="center"/>
        <w:rPr>
          <w:rFonts w:hint="eastAsia"/>
          <w:b/>
          <w:bCs/>
          <w:sz w:val="24"/>
          <w:szCs w:val="24"/>
          <w:lang w:val="en-US" w:eastAsia="zh-CN"/>
        </w:rPr>
      </w:pPr>
    </w:p>
    <w:p w14:paraId="7D1BBFDB">
      <w:pPr>
        <w:bidi w:val="0"/>
        <w:jc w:val="center"/>
        <w:rPr>
          <w:rFonts w:hint="eastAsia"/>
          <w:b/>
          <w:bCs/>
          <w:sz w:val="24"/>
          <w:szCs w:val="24"/>
          <w:lang w:val="en-US" w:eastAsia="zh-CN"/>
        </w:rPr>
      </w:pPr>
    </w:p>
    <w:p w14:paraId="4B0E6ABA">
      <w:pPr>
        <w:bidi w:val="0"/>
        <w:jc w:val="center"/>
        <w:rPr>
          <w:rFonts w:hint="eastAsia"/>
          <w:b/>
          <w:bCs/>
          <w:sz w:val="24"/>
          <w:szCs w:val="24"/>
          <w:lang w:val="en-US" w:eastAsia="zh-CN"/>
        </w:rPr>
      </w:pPr>
    </w:p>
    <w:p w14:paraId="44E5C72E">
      <w:pPr>
        <w:bidi w:val="0"/>
        <w:jc w:val="center"/>
        <w:rPr>
          <w:rFonts w:hint="eastAsia"/>
          <w:b/>
          <w:bCs/>
          <w:sz w:val="24"/>
          <w:szCs w:val="24"/>
          <w:lang w:val="en-US" w:eastAsia="zh-CN"/>
        </w:rPr>
      </w:pPr>
    </w:p>
    <w:p w14:paraId="3FFD1BE4">
      <w:pPr>
        <w:bidi w:val="0"/>
        <w:jc w:val="center"/>
        <w:rPr>
          <w:rFonts w:hint="eastAsia"/>
          <w:b/>
          <w:bCs/>
          <w:sz w:val="24"/>
          <w:szCs w:val="24"/>
          <w:lang w:val="en-US" w:eastAsia="zh-CN"/>
        </w:rPr>
      </w:pPr>
    </w:p>
    <w:p w14:paraId="51F7572F">
      <w:pPr>
        <w:bidi w:val="0"/>
        <w:jc w:val="center"/>
        <w:rPr>
          <w:rFonts w:hint="eastAsia"/>
          <w:b/>
          <w:bCs/>
          <w:sz w:val="24"/>
          <w:szCs w:val="24"/>
          <w:lang w:val="en-US" w:eastAsia="zh-CN"/>
        </w:rPr>
      </w:pPr>
    </w:p>
    <w:p w14:paraId="29BD9079">
      <w:pPr>
        <w:bidi w:val="0"/>
        <w:jc w:val="center"/>
        <w:rPr>
          <w:rFonts w:hint="eastAsia"/>
          <w:b/>
          <w:bCs/>
          <w:sz w:val="24"/>
          <w:szCs w:val="24"/>
          <w:lang w:val="en-US" w:eastAsia="zh-CN"/>
        </w:rPr>
      </w:pPr>
    </w:p>
    <w:p w14:paraId="07E203DF">
      <w:pPr>
        <w:bidi w:val="0"/>
        <w:jc w:val="center"/>
        <w:rPr>
          <w:rFonts w:hint="eastAsia"/>
          <w:b/>
          <w:bCs/>
          <w:sz w:val="24"/>
          <w:szCs w:val="24"/>
          <w:lang w:val="en-US" w:eastAsia="zh-CN"/>
        </w:rPr>
      </w:pPr>
    </w:p>
    <w:p w14:paraId="204DBFDD">
      <w:pPr>
        <w:bidi w:val="0"/>
        <w:jc w:val="center"/>
        <w:rPr>
          <w:rFonts w:hint="eastAsia"/>
          <w:b/>
          <w:bCs/>
          <w:sz w:val="24"/>
          <w:szCs w:val="24"/>
          <w:lang w:val="en-US" w:eastAsia="zh-CN"/>
        </w:rPr>
      </w:pPr>
    </w:p>
    <w:p w14:paraId="006D2C4C">
      <w:pPr>
        <w:bidi w:val="0"/>
        <w:jc w:val="center"/>
        <w:rPr>
          <w:rFonts w:hint="eastAsia"/>
          <w:b/>
          <w:bCs/>
          <w:sz w:val="24"/>
          <w:szCs w:val="24"/>
          <w:lang w:val="en-US" w:eastAsia="zh-CN"/>
        </w:rPr>
      </w:pPr>
    </w:p>
    <w:p w14:paraId="4D275A09">
      <w:pPr>
        <w:bidi w:val="0"/>
        <w:jc w:val="center"/>
        <w:rPr>
          <w:rFonts w:hint="eastAsia"/>
          <w:b/>
          <w:bCs/>
          <w:sz w:val="24"/>
          <w:szCs w:val="24"/>
          <w:lang w:val="en-US" w:eastAsia="zh-CN"/>
        </w:rPr>
      </w:pPr>
    </w:p>
    <w:p w14:paraId="5AF36756">
      <w:pPr>
        <w:bidi w:val="0"/>
        <w:jc w:val="center"/>
        <w:rPr>
          <w:rFonts w:hint="default"/>
          <w:b/>
          <w:bCs/>
          <w:sz w:val="24"/>
          <w:szCs w:val="24"/>
          <w:lang w:val="en-US" w:eastAsia="zh-CN"/>
        </w:rPr>
      </w:pPr>
      <w:r>
        <w:rPr>
          <w:rFonts w:hint="eastAsia"/>
          <w:b/>
          <w:bCs/>
          <w:sz w:val="24"/>
          <w:szCs w:val="24"/>
          <w:lang w:val="en-US" w:eastAsia="zh-CN"/>
        </w:rPr>
        <w:t>商务要求</w:t>
      </w:r>
    </w:p>
    <w:p w14:paraId="2E2F9228">
      <w:pPr>
        <w:bidi w:val="0"/>
        <w:jc w:val="left"/>
        <w:rPr>
          <w:rFonts w:hint="eastAsia"/>
          <w:lang w:val="en-US" w:eastAsia="zh-C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6"/>
        <w:gridCol w:w="8718"/>
      </w:tblGrid>
      <w:tr w14:paraId="1B78B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6" w:type="dxa"/>
          </w:tcPr>
          <w:p w14:paraId="76F6101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售后服务要求</w:t>
            </w:r>
          </w:p>
        </w:tc>
        <w:tc>
          <w:tcPr>
            <w:tcW w:w="8718" w:type="dxa"/>
          </w:tcPr>
          <w:p w14:paraId="4C75C5BE">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1.合同签订期：自中标通知书发出之日起3日内。</w:t>
            </w:r>
          </w:p>
          <w:p w14:paraId="683D582E">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2.交付使用时间：自合同签订之日起30日内交付并安装验收完毕。</w:t>
            </w:r>
          </w:p>
          <w:p w14:paraId="0C41CB92">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3.交货地点：南宁市内（采购人指定地点）。</w:t>
            </w:r>
          </w:p>
          <w:p w14:paraId="1892A661">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4.交货方式：现场交货。</w:t>
            </w:r>
          </w:p>
          <w:p w14:paraId="54C464BF">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5.售后服务要求：</w:t>
            </w:r>
          </w:p>
          <w:p w14:paraId="238EA329">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（1）送货上门，按现场条件全程安装调试，直至最终验收前产生的所有费用由中标供应商承担。</w:t>
            </w:r>
          </w:p>
          <w:p w14:paraId="41770D59">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包修期：保修期内，对全部产品提供上门包修服务，不向采购人收取额外费用。所有非故意性损坏以及正常使用范围内造成的损坏均要提供维修及更换零配件；因人为因素故意性损坏出现的故障不在包修范围，但中标供应商也要积极帮助采购人修理。</w:t>
            </w:r>
          </w:p>
          <w:p w14:paraId="0139848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（3）质量保证期：全部产品按国家有“三包”规定执行“三包”。自验项目收合格之日起整个项目质量保证期不低于</w:t>
            </w:r>
            <w:r>
              <w:rPr>
                <w:rFonts w:hint="eastAsia" w:ascii="宋体" w:hAnsi="宋体" w:eastAsia="宋体" w:cs="宋体"/>
                <w:color w:val="auto"/>
                <w:sz w:val="21"/>
                <w:szCs w:val="21"/>
                <w:vertAlign w:val="baseline"/>
                <w:lang w:val="en-US" w:eastAsia="zh-CN"/>
              </w:rPr>
              <w:t>五年；中</w:t>
            </w:r>
            <w:r>
              <w:rPr>
                <w:rFonts w:hint="eastAsia" w:ascii="宋体" w:hAnsi="宋体" w:eastAsia="宋体" w:cs="宋体"/>
                <w:sz w:val="21"/>
                <w:szCs w:val="21"/>
                <w:vertAlign w:val="baseline"/>
                <w:lang w:val="en-US" w:eastAsia="zh-CN"/>
              </w:rPr>
              <w:t>标人须提供服务质量保证承诺，免费质保期承诺，售后服务承诺。</w:t>
            </w:r>
          </w:p>
          <w:p w14:paraId="076DA095">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故障响应时间：质保期内，中标供应商须提供每周7×24小时电话咨询服务，在接到故障通知后2小时内进行响应，如需现场服务，12小时内到达现场免费维修，24小时内修复。如24小时内无法修复的，全免费提供不低于故障设备规格型号档次的备用设备(或采用应急措施)供采购人临时使用，不得影响采购人的正常工作，直到故障设备修复。质保期到期后，货物发生故障时，在接到采购人通知后2小时内到达现场处理，一般故障处理时限不超过12小时，12小时内不能修复的，提供替代品。</w:t>
            </w:r>
          </w:p>
          <w:p w14:paraId="21615BEB">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（5）验收所需工具、器材由中标供应商自理；各项性能指标达到技术要求的，由供需双方共同签字认可，现场验收。</w:t>
            </w:r>
          </w:p>
          <w:p w14:paraId="7E7B11C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（6）中标供应商负责处理解决货物出现的质量及安全问题并承担一切费用。</w:t>
            </w:r>
          </w:p>
          <w:p w14:paraId="2B723451">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（7）中标供应商应根据服务要求提供售后服务。</w:t>
            </w:r>
          </w:p>
          <w:p w14:paraId="1C2DDB5B">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（8）供货产品为整体或板式安装结构，供货时不接受任何产品或原材料现场切割、焊接、加工、喷漆、胶粘等对现场环境产生负面影响的施工作业，否则不予验收，终止合同。</w:t>
            </w:r>
          </w:p>
        </w:tc>
      </w:tr>
      <w:tr w14:paraId="0407C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tcPr>
          <w:p w14:paraId="5F718814">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投标报价</w:t>
            </w:r>
          </w:p>
        </w:tc>
        <w:tc>
          <w:tcPr>
            <w:tcW w:w="8718" w:type="dxa"/>
          </w:tcPr>
          <w:p w14:paraId="7A70E68F">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1.投标报价为采购人指定地点的现场交货价，包括：</w:t>
            </w:r>
          </w:p>
          <w:p w14:paraId="40004296">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（1）货物的价格：包括货款、零配件、安装调试费、验收费；</w:t>
            </w:r>
          </w:p>
          <w:p w14:paraId="79D63D24">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（2）货物的标准附件、备品备件、专用工具的价格；</w:t>
            </w:r>
          </w:p>
          <w:p w14:paraId="37343E79">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（3）运输、装卸、调试、培训、技术支持、售后服务费；</w:t>
            </w:r>
          </w:p>
          <w:p w14:paraId="40AAF825">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（4）按采购人要求进行摆放的费用。</w:t>
            </w:r>
          </w:p>
          <w:p w14:paraId="258D713E">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注：投标人自行考虑完成项目所需的辅材、杂配件等数量，投标报价中应包含全部内容，中标后采购人不再另行支付额外费用。</w:t>
            </w:r>
          </w:p>
        </w:tc>
      </w:tr>
      <w:tr w14:paraId="2978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tcPr>
          <w:p w14:paraId="41FB4693">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其它要求及说明</w:t>
            </w:r>
          </w:p>
        </w:tc>
        <w:tc>
          <w:tcPr>
            <w:tcW w:w="8718" w:type="dxa"/>
          </w:tcPr>
          <w:p w14:paraId="36C04F26">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1.中标人保证向采购人提供的货物是全新、完整、未使用过的。</w:t>
            </w:r>
          </w:p>
          <w:p w14:paraId="1BB47D5F">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2.本项目不接受进口产品（即通过中国海关报关验放进入中国境内且产自关境外的产品）参与投标，如有此类产品参与投标的投标无效。</w:t>
            </w:r>
          </w:p>
          <w:p w14:paraId="62545512">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3.供货商提供的货物需全部满足核心参数的要求，并在报价时上传符合以下要求的带CMA标识的检测报告复印件：针对投标产品使用的</w:t>
            </w:r>
            <w:r>
              <w:rPr>
                <w:rFonts w:hint="eastAsia" w:ascii="宋体" w:hAnsi="宋体" w:eastAsia="宋体" w:cs="宋体"/>
                <w:b/>
                <w:bCs/>
                <w:sz w:val="21"/>
                <w:szCs w:val="21"/>
                <w:vertAlign w:val="baseline"/>
                <w:lang w:val="en-US" w:eastAsia="zh-CN"/>
              </w:rPr>
              <w:t>“实木多层板”、“桌架”、“塑粉”、“脚轮”、“网布</w:t>
            </w:r>
            <w:r>
              <w:rPr>
                <w:rFonts w:hint="eastAsia" w:ascii="宋体" w:hAnsi="宋体" w:eastAsia="宋体" w:cs="宋体"/>
                <w:b/>
                <w:bCs/>
                <w:color w:val="000000"/>
                <w:kern w:val="2"/>
                <w:sz w:val="21"/>
                <w:szCs w:val="21"/>
                <w:lang w:val="en-US" w:eastAsia="zh-CN" w:bidi="ar-SA"/>
              </w:rPr>
              <w:t>”</w:t>
            </w:r>
            <w:r>
              <w:rPr>
                <w:rFonts w:hint="eastAsia" w:ascii="宋体" w:hAnsi="宋体" w:eastAsia="宋体" w:cs="宋体"/>
                <w:color w:val="000000"/>
                <w:kern w:val="2"/>
                <w:sz w:val="21"/>
                <w:szCs w:val="21"/>
                <w:lang w:val="en-US" w:eastAsia="zh-CN" w:bidi="ar-SA"/>
              </w:rPr>
              <w:t>、</w:t>
            </w:r>
            <w:r>
              <w:rPr>
                <w:rFonts w:hint="eastAsia" w:ascii="宋体" w:hAnsi="宋体" w:eastAsia="宋体" w:cs="宋体"/>
                <w:b/>
                <w:bCs/>
                <w:color w:val="000000"/>
                <w:kern w:val="2"/>
                <w:sz w:val="21"/>
                <w:szCs w:val="21"/>
                <w:lang w:val="en-US" w:eastAsia="zh-CN" w:bidi="ar-SA"/>
              </w:rPr>
              <w:t>“海绵”、“ABS静音胶套”、“冷轧钢板”</w:t>
            </w:r>
            <w:r>
              <w:rPr>
                <w:rFonts w:hint="eastAsia" w:ascii="宋体" w:hAnsi="宋体" w:eastAsia="宋体" w:cs="宋体"/>
                <w:sz w:val="21"/>
                <w:szCs w:val="21"/>
                <w:vertAlign w:val="baseline"/>
                <w:lang w:val="en-US" w:eastAsia="zh-CN"/>
              </w:rPr>
              <w:t>，根据技术参数及性能（配置）要求中的“</w:t>
            </w: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”号内容要求提供且具有国家认可的第三方检验机构出具的带CMA标识检测报告扫描件以及提供</w:t>
            </w:r>
            <w:r>
              <w:rPr>
                <w:rFonts w:hint="eastAsia" w:ascii="宋体" w:hAnsi="宋体" w:eastAsia="宋体" w:cs="宋体"/>
                <w:b/>
                <w:bCs/>
                <w:sz w:val="21"/>
                <w:szCs w:val="21"/>
                <w:vertAlign w:val="baseline"/>
                <w:lang w:val="en-US" w:eastAsia="zh-CN"/>
              </w:rPr>
              <w:t>“条桌”</w:t>
            </w:r>
            <w:r>
              <w:rPr>
                <w:rFonts w:hint="eastAsia" w:ascii="宋体" w:hAnsi="宋体" w:eastAsia="宋体" w:cs="宋体"/>
                <w:sz w:val="21"/>
                <w:szCs w:val="21"/>
                <w:vertAlign w:val="baseline"/>
                <w:lang w:val="en-US" w:eastAsia="zh-CN"/>
              </w:rPr>
              <w:t>型式检测合格报告，检验对象名称可以不完全一致，只需要相符；检验报告的送检单位可以</w:t>
            </w:r>
            <w:r>
              <w:rPr>
                <w:rFonts w:hint="eastAsia" w:ascii="宋体" w:hAnsi="宋体" w:eastAsia="宋体" w:cs="宋体"/>
                <w:color w:val="auto"/>
                <w:sz w:val="21"/>
                <w:szCs w:val="21"/>
                <w:vertAlign w:val="baseline"/>
                <w:lang w:val="en-US" w:eastAsia="zh-CN"/>
              </w:rPr>
              <w:t>是投标人，或者是产品生产厂家，或者是原材料生产厂家（投标人需承诺检测报告中检测的材料在本次投标的产品中使用，检测的产品应与本次投标采用同样的材料和工艺生产）。不提供或</w:t>
            </w:r>
            <w:r>
              <w:rPr>
                <w:rFonts w:hint="eastAsia" w:ascii="宋体" w:hAnsi="宋体" w:eastAsia="宋体" w:cs="宋体"/>
                <w:sz w:val="21"/>
                <w:szCs w:val="21"/>
                <w:vertAlign w:val="baseline"/>
                <w:lang w:val="en-US" w:eastAsia="zh-CN"/>
              </w:rPr>
              <w:t>与招标参数不符合的报价无效。</w:t>
            </w:r>
          </w:p>
          <w:p w14:paraId="4306B811">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sz w:val="21"/>
                <w:szCs w:val="21"/>
                <w:vertAlign w:val="baseline"/>
                <w:lang w:val="en-US" w:eastAsia="zh-CN"/>
              </w:rPr>
              <w:t>4.供应商须承诺其提供的检验检测报告符合以下相关要求：（1）产品检验流程严格遵循相关法律法规；（2）真实、有效（不存在检测机构相关无效声明的情形），不存在未送样、未经真实检验、盗用冒用其他合法报告编号非法编造的情形；（3）出具报告的第三方检测机构依法获得有效的国家认可资质（CMA）和具有本项目采购产品相对应的检验检测能力范围认定；（4）报告具有或检测机构能提供合法有效的电子邮箱、电话（传真）作为真伪查验方式，并能无条件配合报告真伪的验证工作；（5）签订合同前，中标人须提供纸质原件以供核验其真伪，中标人需在查证时自愿按采购人要求在规定的期限内提交包括但不限于检验检测报告原件、样品送检票证等其他的需要和能够证明检测报告合法真实有效的佐证材料；（6）如经查证为虚假报告或投标人有违以上承诺内容的投标人自愿承担提供虚假检验检测报告由此产生的一切不利法律后果（必须单独提供承诺函，格式自拟，未承诺按实质性要求未响应处理）。</w:t>
            </w:r>
          </w:p>
          <w:p w14:paraId="315800D8">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本次所采购的货物在验收合格之日起60天内若发现产品有质量缺陷、安全隐患或不合用的，中标人负责上门包修、包换至合用；在货物验收合格之日起质保期内正常使用情况下出现材料及质量问题，中标人负责包修包换。</w:t>
            </w:r>
          </w:p>
          <w:p w14:paraId="4263A729">
            <w:pPr>
              <w:bidi w:val="0"/>
              <w:jc w:val="left"/>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6.投标人出具的检测报告必须符合国家标准及技术性能要求。</w:t>
            </w:r>
          </w:p>
        </w:tc>
      </w:tr>
    </w:tbl>
    <w:p w14:paraId="1D565168">
      <w:pPr>
        <w:bidi w:val="0"/>
        <w:jc w:val="left"/>
        <w:rPr>
          <w:rFonts w:hint="eastAsia" w:ascii="宋体" w:hAnsi="宋体" w:eastAsia="宋体" w:cs="宋体"/>
          <w:sz w:val="21"/>
          <w:szCs w:val="21"/>
          <w:lang w:val="en-US" w:eastAsia="zh-CN"/>
        </w:rPr>
      </w:pPr>
    </w:p>
    <w:p w14:paraId="6A05DBBC">
      <w:pPr>
        <w:bidi w:val="0"/>
        <w:jc w:val="left"/>
        <w:rPr>
          <w:rFonts w:hint="eastAsia"/>
          <w:lang w:val="en-US" w:eastAsia="zh-CN"/>
        </w:rPr>
      </w:pPr>
    </w:p>
    <w:p w14:paraId="148D0EDE">
      <w:pPr>
        <w:bidi w:val="0"/>
        <w:jc w:val="left"/>
        <w:rPr>
          <w:rFonts w:hint="eastAsia"/>
          <w:lang w:val="en-US" w:eastAsia="zh-CN"/>
        </w:rPr>
      </w:pPr>
    </w:p>
    <w:p w14:paraId="5AF65E65">
      <w:pPr>
        <w:bidi w:val="0"/>
        <w:jc w:val="left"/>
        <w:rPr>
          <w:rFonts w:hint="eastAsia"/>
          <w:lang w:val="en-US" w:eastAsia="zh-CN"/>
        </w:rPr>
      </w:pPr>
    </w:p>
    <w:p w14:paraId="11CDD064">
      <w:pPr>
        <w:bidi w:val="0"/>
        <w:jc w:val="left"/>
        <w:rPr>
          <w:rFonts w:hint="eastAsia"/>
          <w:b/>
          <w:bCs/>
          <w:sz w:val="24"/>
          <w:szCs w:val="24"/>
          <w:lang w:val="en-US" w:eastAsia="zh-CN"/>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5Yjk2NzVlMzk3ZTMxMDY2YmNlMjdjNGQwZjQ2YzUifQ=="/>
  </w:docVars>
  <w:rsids>
    <w:rsidRoot w:val="52CB5336"/>
    <w:rsid w:val="00B942D1"/>
    <w:rsid w:val="01043F03"/>
    <w:rsid w:val="01C73C8F"/>
    <w:rsid w:val="060D2A5D"/>
    <w:rsid w:val="07F13FAE"/>
    <w:rsid w:val="0D6F0B5F"/>
    <w:rsid w:val="1CFE7E6B"/>
    <w:rsid w:val="1ECE4BF1"/>
    <w:rsid w:val="265A4FBD"/>
    <w:rsid w:val="296A11E4"/>
    <w:rsid w:val="29B81BEA"/>
    <w:rsid w:val="2CAD71A4"/>
    <w:rsid w:val="2DCB4544"/>
    <w:rsid w:val="2E9E263A"/>
    <w:rsid w:val="39153DAE"/>
    <w:rsid w:val="3FA8138D"/>
    <w:rsid w:val="4AC72AD7"/>
    <w:rsid w:val="4BEB0388"/>
    <w:rsid w:val="51831AD9"/>
    <w:rsid w:val="52CB5336"/>
    <w:rsid w:val="56EB24D4"/>
    <w:rsid w:val="59D80078"/>
    <w:rsid w:val="5C013209"/>
    <w:rsid w:val="5C311D40"/>
    <w:rsid w:val="629E4274"/>
    <w:rsid w:val="65D845E6"/>
    <w:rsid w:val="69295459"/>
    <w:rsid w:val="6D257ABD"/>
    <w:rsid w:val="6E652F74"/>
    <w:rsid w:val="717E613F"/>
    <w:rsid w:val="74F058DB"/>
    <w:rsid w:val="769431A0"/>
    <w:rsid w:val="7D3D7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3247</Words>
  <Characters>3851</Characters>
  <Lines>0</Lines>
  <Paragraphs>0</Paragraphs>
  <TotalTime>1</TotalTime>
  <ScaleCrop>false</ScaleCrop>
  <LinksUpToDate>false</LinksUpToDate>
  <CharactersWithSpaces>3887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2026-06-24T08:02:00Z</dcterms:created>
  <dc:creator>Administrator</dc:creator>
  <cp:lastModifiedBy>海之源</cp:lastModifiedBy>
  <dcterms:modified xsi:type="dcterms:W3CDTF">2026-07-10T08:52:01Z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2D648B1C1D7F4771A661EDAA049D975D_13</vt:lpwstr>
  </property>
  <property fmtid="{D5CDD505-2E9C-101B-9397-08002B2CF9AE}" pid="4" name="KSOTemplateDocerSaveRecord">
    <vt:lpwstr>eyJoZGlkIjoiN2M5NjMxMDg4YTU1MTc1MzUzNTdiYjQxMWM0NWM5ZWUiLCJ1c2VySWQiOiIxMDExMDYxNDQ1In0=</vt:lpwstr>
  </property>
</Properties>
</file>