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DA950">
      <w:pPr>
        <w:widowControl/>
        <w:spacing w:line="288" w:lineRule="auto"/>
        <w:jc w:val="center"/>
        <w:rPr>
          <w:rFonts w:hint="eastAsia" w:ascii="宋体" w:hAnsi="宋体" w:cs="宋体"/>
          <w:b/>
          <w:bCs/>
          <w:sz w:val="40"/>
          <w:szCs w:val="40"/>
        </w:rPr>
      </w:pPr>
      <w:r>
        <w:rPr>
          <w:rFonts w:hint="eastAsia" w:ascii="宋体" w:hAnsi="宋体" w:cs="宋体"/>
          <w:b/>
          <w:bCs/>
          <w:sz w:val="40"/>
          <w:szCs w:val="40"/>
        </w:rPr>
        <w:t>南宁师范大学继续教育学院多功能培训教室LED显示屏采购项目需求表</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1056"/>
        <w:gridCol w:w="1056"/>
        <w:gridCol w:w="9291"/>
        <w:gridCol w:w="741"/>
        <w:gridCol w:w="635"/>
        <w:gridCol w:w="1020"/>
        <w:gridCol w:w="1136"/>
      </w:tblGrid>
      <w:tr w14:paraId="237A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18" w:type="pct"/>
            <w:vAlign w:val="center"/>
          </w:tcPr>
          <w:p w14:paraId="18B1C556">
            <w:pPr>
              <w:spacing w:line="288" w:lineRule="auto"/>
              <w:jc w:val="center"/>
              <w:rPr>
                <w:rFonts w:hint="eastAsia" w:ascii="宋体" w:hAnsi="宋体" w:cs="宋体"/>
                <w:b/>
                <w:bCs/>
                <w:sz w:val="20"/>
                <w:szCs w:val="20"/>
              </w:rPr>
            </w:pPr>
            <w:r>
              <w:rPr>
                <w:rFonts w:hint="eastAsia" w:ascii="宋体" w:hAnsi="宋体" w:cs="宋体"/>
                <w:b/>
                <w:bCs/>
                <w:sz w:val="20"/>
                <w:szCs w:val="20"/>
              </w:rPr>
              <w:t>序号</w:t>
            </w:r>
          </w:p>
        </w:tc>
        <w:tc>
          <w:tcPr>
            <w:tcW w:w="324" w:type="pct"/>
            <w:vAlign w:val="center"/>
          </w:tcPr>
          <w:p w14:paraId="5E8967E4">
            <w:pPr>
              <w:spacing w:line="288" w:lineRule="auto"/>
              <w:jc w:val="center"/>
              <w:rPr>
                <w:rFonts w:hint="eastAsia" w:ascii="宋体" w:hAnsi="宋体" w:cs="宋体"/>
                <w:b/>
                <w:bCs/>
                <w:sz w:val="20"/>
                <w:szCs w:val="20"/>
              </w:rPr>
            </w:pPr>
            <w:r>
              <w:rPr>
                <w:rFonts w:hint="eastAsia" w:ascii="宋体" w:hAnsi="宋体" w:cs="宋体"/>
                <w:b/>
                <w:bCs/>
                <w:sz w:val="20"/>
                <w:szCs w:val="20"/>
              </w:rPr>
              <w:t>名称</w:t>
            </w:r>
          </w:p>
        </w:tc>
        <w:tc>
          <w:tcPr>
            <w:tcW w:w="341" w:type="pct"/>
            <w:vAlign w:val="center"/>
          </w:tcPr>
          <w:p w14:paraId="72DCD02D">
            <w:pPr>
              <w:spacing w:line="288" w:lineRule="auto"/>
              <w:jc w:val="center"/>
              <w:rPr>
                <w:rFonts w:hint="eastAsia" w:ascii="宋体" w:hAnsi="宋体" w:cs="宋体"/>
                <w:b/>
                <w:bCs/>
                <w:sz w:val="20"/>
                <w:szCs w:val="20"/>
              </w:rPr>
            </w:pPr>
            <w:r>
              <w:rPr>
                <w:rFonts w:hint="eastAsia" w:ascii="宋体" w:hAnsi="宋体" w:cs="宋体"/>
                <w:b/>
                <w:bCs/>
                <w:sz w:val="20"/>
                <w:szCs w:val="20"/>
              </w:rPr>
              <w:t>参考品牌</w:t>
            </w:r>
          </w:p>
        </w:tc>
        <w:tc>
          <w:tcPr>
            <w:tcW w:w="2979" w:type="pct"/>
            <w:vAlign w:val="center"/>
          </w:tcPr>
          <w:p w14:paraId="1AF2A0D5">
            <w:pPr>
              <w:spacing w:line="288" w:lineRule="auto"/>
              <w:jc w:val="center"/>
              <w:rPr>
                <w:rFonts w:hint="eastAsia" w:ascii="宋体" w:hAnsi="宋体" w:cs="宋体"/>
                <w:b/>
                <w:bCs/>
                <w:sz w:val="20"/>
                <w:szCs w:val="20"/>
              </w:rPr>
            </w:pPr>
            <w:r>
              <w:rPr>
                <w:rFonts w:hint="eastAsia" w:ascii="宋体" w:hAnsi="宋体" w:cs="宋体"/>
                <w:b/>
                <w:bCs/>
                <w:sz w:val="20"/>
                <w:szCs w:val="20"/>
              </w:rPr>
              <w:t>规格参数</w:t>
            </w:r>
          </w:p>
        </w:tc>
        <w:tc>
          <w:tcPr>
            <w:tcW w:w="237" w:type="pct"/>
            <w:vAlign w:val="center"/>
          </w:tcPr>
          <w:p w14:paraId="47E28092">
            <w:pPr>
              <w:spacing w:line="288" w:lineRule="auto"/>
              <w:rPr>
                <w:rFonts w:hint="eastAsia" w:ascii="宋体" w:hAnsi="宋体" w:cs="宋体"/>
                <w:b/>
                <w:bCs/>
                <w:sz w:val="20"/>
                <w:szCs w:val="20"/>
              </w:rPr>
            </w:pPr>
            <w:r>
              <w:rPr>
                <w:rFonts w:hint="eastAsia" w:ascii="宋体" w:hAnsi="宋体" w:cs="宋体"/>
                <w:b/>
                <w:bCs/>
                <w:sz w:val="20"/>
                <w:szCs w:val="20"/>
              </w:rPr>
              <w:t>数量</w:t>
            </w:r>
          </w:p>
        </w:tc>
        <w:tc>
          <w:tcPr>
            <w:tcW w:w="206" w:type="pct"/>
            <w:vAlign w:val="center"/>
          </w:tcPr>
          <w:p w14:paraId="27AA3CB8">
            <w:pPr>
              <w:spacing w:line="288" w:lineRule="auto"/>
              <w:rPr>
                <w:rFonts w:hint="eastAsia" w:ascii="宋体" w:hAnsi="宋体" w:cs="宋体"/>
                <w:b/>
                <w:bCs/>
                <w:sz w:val="20"/>
                <w:szCs w:val="20"/>
              </w:rPr>
            </w:pPr>
            <w:r>
              <w:rPr>
                <w:rFonts w:hint="eastAsia" w:ascii="宋体" w:hAnsi="宋体" w:cs="宋体"/>
                <w:b/>
                <w:bCs/>
                <w:sz w:val="20"/>
                <w:szCs w:val="20"/>
              </w:rPr>
              <w:t>单位</w:t>
            </w:r>
          </w:p>
        </w:tc>
        <w:tc>
          <w:tcPr>
            <w:tcW w:w="329" w:type="pct"/>
            <w:vAlign w:val="center"/>
          </w:tcPr>
          <w:p w14:paraId="417169EC">
            <w:pPr>
              <w:spacing w:line="288" w:lineRule="auto"/>
              <w:rPr>
                <w:rFonts w:hint="eastAsia" w:ascii="宋体" w:hAnsi="宋体" w:cs="宋体"/>
                <w:b/>
                <w:bCs/>
                <w:sz w:val="20"/>
                <w:szCs w:val="20"/>
              </w:rPr>
            </w:pPr>
            <w:r>
              <w:rPr>
                <w:rFonts w:hint="eastAsia" w:ascii="宋体" w:hAnsi="宋体" w:cs="宋体"/>
                <w:b/>
                <w:bCs/>
                <w:sz w:val="20"/>
                <w:szCs w:val="20"/>
              </w:rPr>
              <w:t>单价（元）</w:t>
            </w:r>
          </w:p>
        </w:tc>
        <w:tc>
          <w:tcPr>
            <w:tcW w:w="366" w:type="pct"/>
            <w:vAlign w:val="center"/>
          </w:tcPr>
          <w:p w14:paraId="5010D55C">
            <w:pPr>
              <w:spacing w:line="288" w:lineRule="auto"/>
              <w:rPr>
                <w:rFonts w:hint="eastAsia" w:ascii="宋体" w:hAnsi="宋体" w:cs="宋体"/>
                <w:b/>
                <w:bCs/>
                <w:sz w:val="20"/>
                <w:szCs w:val="20"/>
              </w:rPr>
            </w:pPr>
            <w:r>
              <w:rPr>
                <w:rFonts w:hint="eastAsia" w:ascii="宋体" w:hAnsi="宋体" w:cs="宋体"/>
                <w:b/>
                <w:bCs/>
                <w:sz w:val="20"/>
                <w:szCs w:val="20"/>
              </w:rPr>
              <w:t>合价（元）</w:t>
            </w:r>
          </w:p>
        </w:tc>
      </w:tr>
      <w:tr w14:paraId="32B7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18" w:type="pct"/>
            <w:vAlign w:val="center"/>
          </w:tcPr>
          <w:p w14:paraId="332DF16E">
            <w:pPr>
              <w:spacing w:line="288" w:lineRule="auto"/>
              <w:jc w:val="center"/>
              <w:rPr>
                <w:rFonts w:hint="eastAsia" w:cs="宋体" w:asciiTheme="minorEastAsia" w:hAnsiTheme="minorEastAsia" w:eastAsiaTheme="minorEastAsia"/>
                <w:szCs w:val="21"/>
              </w:rPr>
            </w:pPr>
            <w:bookmarkStart w:id="0" w:name="_Hlk234266920"/>
            <w:r>
              <w:rPr>
                <w:rFonts w:hint="eastAsia" w:cs="宋体" w:asciiTheme="minorEastAsia" w:hAnsiTheme="minorEastAsia" w:eastAsiaTheme="minorEastAsia"/>
                <w:szCs w:val="21"/>
              </w:rPr>
              <w:t>1</w:t>
            </w:r>
          </w:p>
        </w:tc>
        <w:tc>
          <w:tcPr>
            <w:tcW w:w="324" w:type="pct"/>
            <w:vAlign w:val="center"/>
          </w:tcPr>
          <w:p w14:paraId="363CBE27">
            <w:pPr>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室内P1.86全彩LED屏3840高刷         （长2.88m×高1.6m×2个）</w:t>
            </w:r>
          </w:p>
        </w:tc>
        <w:tc>
          <w:tcPr>
            <w:tcW w:w="341" w:type="pct"/>
            <w:vAlign w:val="center"/>
          </w:tcPr>
          <w:p w14:paraId="03AFEA0C">
            <w:pPr>
              <w:spacing w:line="288" w:lineRule="auto"/>
              <w:rPr>
                <w:rFonts w:hint="eastAsia" w:cs="宋体" w:asciiTheme="minorEastAsia" w:hAnsiTheme="minorEastAsia" w:eastAsiaTheme="minorEastAsia"/>
                <w:szCs w:val="21"/>
              </w:rPr>
            </w:pPr>
          </w:p>
          <w:p w14:paraId="12BCAEA3">
            <w:pPr>
              <w:spacing w:line="288" w:lineRule="auto"/>
              <w:rPr>
                <w:rFonts w:hint="eastAsia" w:cs="宋体" w:asciiTheme="minorEastAsia" w:hAnsiTheme="minorEastAsia" w:eastAsiaTheme="minorEastAsia"/>
                <w:szCs w:val="21"/>
              </w:rPr>
            </w:pPr>
          </w:p>
          <w:p w14:paraId="230E6B89">
            <w:pPr>
              <w:spacing w:line="288" w:lineRule="auto"/>
              <w:rPr>
                <w:rFonts w:hint="eastAsia" w:cs="宋体" w:asciiTheme="minorEastAsia" w:hAnsiTheme="minorEastAsia" w:eastAsiaTheme="minorEastAsia"/>
                <w:szCs w:val="21"/>
              </w:rPr>
            </w:pPr>
          </w:p>
          <w:p w14:paraId="0DCEC744">
            <w:pPr>
              <w:spacing w:line="288" w:lineRule="auto"/>
              <w:rPr>
                <w:rFonts w:hint="eastAsia" w:cs="宋体" w:asciiTheme="minorEastAsia" w:hAnsiTheme="minorEastAsia" w:eastAsiaTheme="minorEastAsia"/>
                <w:szCs w:val="21"/>
              </w:rPr>
            </w:pPr>
          </w:p>
          <w:p w14:paraId="786B5279">
            <w:pPr>
              <w:spacing w:line="288" w:lineRule="auto"/>
              <w:rPr>
                <w:rFonts w:hint="eastAsia" w:cs="宋体" w:asciiTheme="minorEastAsia" w:hAnsiTheme="minorEastAsia" w:eastAsiaTheme="minorEastAsia"/>
                <w:szCs w:val="21"/>
              </w:rPr>
            </w:pPr>
          </w:p>
          <w:p w14:paraId="58E34E73">
            <w:pPr>
              <w:spacing w:line="288" w:lineRule="auto"/>
              <w:rPr>
                <w:rFonts w:hint="eastAsia" w:cs="宋体" w:asciiTheme="minorEastAsia" w:hAnsiTheme="minorEastAsia" w:eastAsiaTheme="minorEastAsia"/>
                <w:szCs w:val="21"/>
              </w:rPr>
            </w:pPr>
          </w:p>
          <w:p w14:paraId="2C5A07DE">
            <w:pPr>
              <w:spacing w:line="288" w:lineRule="auto"/>
              <w:rPr>
                <w:rFonts w:hint="eastAsia" w:cs="宋体" w:asciiTheme="minorEastAsia" w:hAnsiTheme="minorEastAsia" w:eastAsiaTheme="minorEastAsia"/>
                <w:szCs w:val="21"/>
              </w:rPr>
            </w:pPr>
          </w:p>
          <w:p w14:paraId="6851DC0B">
            <w:pPr>
              <w:spacing w:line="288" w:lineRule="auto"/>
              <w:rPr>
                <w:rFonts w:hint="eastAsia" w:cs="宋体" w:asciiTheme="minorEastAsia" w:hAnsiTheme="minorEastAsia" w:eastAsiaTheme="minorEastAsia"/>
                <w:szCs w:val="21"/>
              </w:rPr>
            </w:pPr>
          </w:p>
          <w:p w14:paraId="1BBDF04E">
            <w:pPr>
              <w:spacing w:line="460" w:lineRule="exact"/>
              <w:jc w:val="left"/>
              <w:rPr>
                <w:rFonts w:hint="eastAsia" w:cs="宋体" w:asciiTheme="minorEastAsia" w:hAnsiTheme="minorEastAsia" w:eastAsiaTheme="minorEastAsia"/>
                <w:kern w:val="0"/>
                <w:szCs w:val="21"/>
              </w:rPr>
            </w:pPr>
          </w:p>
          <w:p w14:paraId="7003496C">
            <w:pPr>
              <w:spacing w:line="288"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高科、洲明、强力巨彩</w:t>
            </w:r>
          </w:p>
          <w:p w14:paraId="400B5901">
            <w:pPr>
              <w:spacing w:line="288" w:lineRule="auto"/>
              <w:rPr>
                <w:rFonts w:hint="eastAsia" w:cs="宋体" w:asciiTheme="minorEastAsia" w:hAnsiTheme="minorEastAsia" w:eastAsiaTheme="minorEastAsia"/>
                <w:szCs w:val="21"/>
              </w:rPr>
            </w:pPr>
          </w:p>
          <w:p w14:paraId="23586591">
            <w:pPr>
              <w:spacing w:line="288" w:lineRule="auto"/>
              <w:rPr>
                <w:rFonts w:hint="eastAsia" w:cs="宋体" w:asciiTheme="minorEastAsia" w:hAnsiTheme="minorEastAsia" w:eastAsiaTheme="minorEastAsia"/>
                <w:szCs w:val="21"/>
              </w:rPr>
            </w:pPr>
          </w:p>
          <w:p w14:paraId="54A18F0C">
            <w:pPr>
              <w:spacing w:line="288" w:lineRule="auto"/>
              <w:rPr>
                <w:rFonts w:hint="eastAsia" w:cs="宋体" w:asciiTheme="minorEastAsia" w:hAnsiTheme="minorEastAsia" w:eastAsiaTheme="minorEastAsia"/>
                <w:szCs w:val="21"/>
              </w:rPr>
            </w:pPr>
          </w:p>
          <w:p w14:paraId="2BBBD68F">
            <w:pPr>
              <w:spacing w:line="288" w:lineRule="auto"/>
              <w:rPr>
                <w:rFonts w:hint="eastAsia" w:cs="宋体" w:asciiTheme="minorEastAsia" w:hAnsiTheme="minorEastAsia" w:eastAsiaTheme="minorEastAsia"/>
                <w:szCs w:val="21"/>
              </w:rPr>
            </w:pPr>
          </w:p>
          <w:p w14:paraId="490BE883">
            <w:pPr>
              <w:spacing w:line="288" w:lineRule="auto"/>
              <w:rPr>
                <w:rFonts w:hint="eastAsia" w:cs="宋体" w:asciiTheme="minorEastAsia" w:hAnsiTheme="minorEastAsia" w:eastAsiaTheme="minorEastAsia"/>
                <w:szCs w:val="21"/>
              </w:rPr>
            </w:pPr>
          </w:p>
          <w:p w14:paraId="112FA824">
            <w:pPr>
              <w:spacing w:line="288" w:lineRule="auto"/>
              <w:rPr>
                <w:rFonts w:hint="eastAsia" w:cs="宋体" w:asciiTheme="minorEastAsia" w:hAnsiTheme="minorEastAsia" w:eastAsiaTheme="minorEastAsia"/>
                <w:szCs w:val="21"/>
              </w:rPr>
            </w:pPr>
          </w:p>
          <w:p w14:paraId="144B462F">
            <w:pPr>
              <w:spacing w:line="288" w:lineRule="auto"/>
              <w:rPr>
                <w:rFonts w:hint="eastAsia" w:cs="宋体" w:asciiTheme="minorEastAsia" w:hAnsiTheme="minorEastAsia" w:eastAsiaTheme="minorEastAsia"/>
                <w:szCs w:val="21"/>
              </w:rPr>
            </w:pPr>
          </w:p>
          <w:p w14:paraId="4FCA392D">
            <w:pPr>
              <w:spacing w:line="288" w:lineRule="auto"/>
              <w:rPr>
                <w:rFonts w:hint="eastAsia" w:cs="宋体" w:asciiTheme="minorEastAsia" w:hAnsiTheme="minorEastAsia" w:eastAsiaTheme="minorEastAsia"/>
                <w:szCs w:val="21"/>
              </w:rPr>
            </w:pPr>
          </w:p>
          <w:p w14:paraId="039BF708">
            <w:pPr>
              <w:spacing w:line="288" w:lineRule="auto"/>
              <w:rPr>
                <w:rFonts w:hint="eastAsia" w:cs="宋体" w:asciiTheme="minorEastAsia" w:hAnsiTheme="minorEastAsia" w:eastAsiaTheme="minorEastAsia"/>
                <w:szCs w:val="21"/>
              </w:rPr>
            </w:pPr>
          </w:p>
          <w:p w14:paraId="5E68A6B7">
            <w:pPr>
              <w:spacing w:line="288" w:lineRule="auto"/>
              <w:rPr>
                <w:rFonts w:hint="eastAsia" w:cs="宋体" w:asciiTheme="minorEastAsia" w:hAnsiTheme="minorEastAsia" w:eastAsiaTheme="minorEastAsia"/>
                <w:szCs w:val="21"/>
              </w:rPr>
            </w:pPr>
          </w:p>
        </w:tc>
        <w:tc>
          <w:tcPr>
            <w:tcW w:w="2979" w:type="pct"/>
          </w:tcPr>
          <w:p w14:paraId="1993CCBB">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1.像素点间距：≤1.86mm；模组尺寸：320*160mm；模组分辨率: 172*86；像素密度：288906点/㎡；像素构成：SMD1515（1R1G1B）表贴三合一；</w:t>
            </w:r>
          </w:p>
          <w:p w14:paraId="5621D449">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2. 水平视角H≥170°，垂直视角V≥170°；符合SJ/T11141-2017 5.10.4规定，基色主波长误差为C 级 ΔλD≤5，</w:t>
            </w:r>
            <w:bookmarkStart w:id="3" w:name="_GoBack"/>
            <w:bookmarkEnd w:id="3"/>
          </w:p>
          <w:p w14:paraId="6AD9D0C1">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3.最大功耗：≤492W/㎡；平均功耗≤246W/㎡，睡眠模式功率密度≤150W/㎡；支持动态节能，节能省电模式下可节省60%功耗，能效≥3cd/W； </w:t>
            </w:r>
          </w:p>
          <w:p w14:paraId="412A6CF5">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4. 亮度均匀性≥99%，色度均匀性：±0.001Cx,Cy之内，白场色坐标符合SJ/T 11141-2017 5.10.5规定，亮度鉴别等级：C 级以上，屏体全白状态下最大对比度：≥8000：1； </w:t>
            </w:r>
          </w:p>
          <w:p w14:paraId="13A2BB9D">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★5.白平衡亮度：≥800cd/㎡。  </w:t>
            </w:r>
          </w:p>
          <w:p w14:paraId="650429E2">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6.色温：3000K-20000K可调；</w:t>
            </w:r>
          </w:p>
          <w:p w14:paraId="6BC7B79D">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7.换帧频率：60Hz；刷新频率：≥3840Hz；灰度等级65536级，信号处理深度16bit；</w:t>
            </w:r>
          </w:p>
          <w:p w14:paraId="67DBED2E">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模组平整度≤0.1mm；箱体平整度≤0.3mm；像素中心距偏差&lt;0.5%；</w:t>
            </w:r>
          </w:p>
          <w:p w14:paraId="7B26F42B">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8.整机防护等级：IP6X; </w:t>
            </w:r>
          </w:p>
          <w:p w14:paraId="20721C7F">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9.可连续工作：支持7*24H连续工作</w:t>
            </w:r>
          </w:p>
          <w:p w14:paraId="54BBE5D0">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10.PFC电源：电源具备PFC功能，功率因素≥0.95，实测值0.97</w:t>
            </w:r>
          </w:p>
          <w:p w14:paraId="476C46D0">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11.伽马调节：具备20条以上可调节的γ校正曲线；</w:t>
            </w:r>
          </w:p>
          <w:p w14:paraId="1FE562C5">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12.符合恒定湿热试验：在样品状态：通电工作，试验温度：85℃，相对湿度；85%，试验时间：168h等情况下，试验前后样品无异常;</w:t>
            </w:r>
          </w:p>
          <w:p w14:paraId="3E0AE4CD">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13.工作环境：在温度： -20℃-40℃，湿度：10% - 60%RH情况下，试验前后样品无异常;</w:t>
            </w:r>
          </w:p>
          <w:p w14:paraId="42F86005">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14.所投LED显示屏需具有亮度调节功能，可实现 0%-100%亮度可调，屏幕亮度具有随环境照度的变化自动调整和任意设置亮度的功能</w:t>
            </w:r>
          </w:p>
          <w:p w14:paraId="4D886799">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★15.LED显示屏需通过灯珠试验：灯珠耐焊耐热试验：Tmax=260℃，回流焊 2 次，灯珠引脚无氧化， 焊接正常，灯珠胶体正常，点亮正常；灯珠常温寿命试验：Tc=25℃ Ifr=10mA IFg=10mA Ifb=10mA通电 1000H，灯珠点亮无异常；</w:t>
            </w:r>
          </w:p>
          <w:p w14:paraId="04FB32E0">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16.LED显示屏具有自检技术：可实现LED单点失控点检测,失控点数据回传功能;通讯检测,温度检测,电源检测,温度监控,电压监测等功能,当电源电压高于限制电压时启动报警装置;支持屏体多点测温,支持故障报警,支持一键自检,可实现远程监督控制可实现远程监督控制</w:t>
            </w:r>
          </w:p>
          <w:p w14:paraId="33DB6A22">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★17.灯珠冷热冲击试验：-50℃～130℃各 15min 200 次，光电特性及表面构造正常，点亮正常；灯珠高温贮存试验：Ta=100℃ 贮存 500H，灯珠点亮无异常；</w:t>
            </w:r>
          </w:p>
          <w:p w14:paraId="03835B05">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★18.灯珠抗静电（ESD）测试：HBM 模式：ESD＞2000V，灯珠点亮无异常; 灯珠漏电流试验：反向电压 Vr=10V漏电流 0.2uA，符合要求；</w:t>
            </w:r>
          </w:p>
          <w:p w14:paraId="614778ED">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★19.灯珠红墨水试验：回流焊 1 次，纯红墨水常温浸泡 24H，无渗透</w:t>
            </w:r>
          </w:p>
          <w:p w14:paraId="0DF6F916">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★20.所投LED显示屏需通过接地电阻测试：保护接地导体和保护连接导体应当有足够，的承载电流的能力，接地导体及其端子不得有过大的电阻。在样机保护接地端子和可触及金属外壳之间施加 32A 电流，持续 2min，测得的阻值不应大于 0.1Ω</w:t>
            </w:r>
          </w:p>
          <w:p w14:paraId="56BE846D">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★21.所投LED显示屏需通过抗电强度试验：试验电压施加在带电部件和易触及部件之间，非金属部件用金属箔覆盖。抗电强度实验是在设备处于充分发热状态下进行。加到被试绝缘体上的实验电压应当从零逐渐升 高到规定的电压值，对接地金属部件施加 1500Vac，然后在该电压值上保持 60s。判定：在试验期间，不应出现击穿</w:t>
            </w:r>
          </w:p>
          <w:p w14:paraId="65EB35B8">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22.为保证用户使用安全，所投LED显示屏需具有安全防护功能：具有防尘、防腐蚀、防虫、防静电、防撞、抗震动、防电磁干扰、抗雷击等功能，具有电源过压、过流、断电保护、分布上电措施、具有实时监控温度、故障报警功能。</w:t>
            </w:r>
          </w:p>
          <w:p w14:paraId="0B78B1CF">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23.为实现更佳的显示效果，所投LED显示屏需具有图像处理：1、图像有降噪、增强、运动补偿、色坐标变换处理、钝化处理；2、无几何失真和非线性失真现象、消鬼影拖尾，无毛毛虫、鬼影跟随现象。</w:t>
            </w:r>
          </w:p>
          <w:p w14:paraId="3049FD22">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24.为保证屏体可长时间正常工作，所投LED显示屏需具有消隐功能：正常工作时支持消除毛毛虫（列消影）功能，LED 显示屏正常工作时具备消除鬼影和拖尾（行消影和列消影）功能。</w:t>
            </w:r>
          </w:p>
          <w:p w14:paraId="2180DE44">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★25.蓝光安全：蓝光对皮肤和眼睛紫外线危害、宽波段的光源对视网膜危害曝辐射值检测；符合GB/T20145-2006标准。</w:t>
            </w:r>
          </w:p>
          <w:p w14:paraId="67DB932B">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（以上带“★”部分需提供带有“CNAS”及“ilac MRA”检测报告复印件并加盖厂家公章）</w:t>
            </w:r>
          </w:p>
          <w:p w14:paraId="6DA9C8DC">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商务资质部分：</w:t>
            </w:r>
          </w:p>
          <w:p w14:paraId="258BA3DF">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★1.所投LED显示屏厂家具备LED自主封装能力，LED灯珠及显示屏为同一品牌；</w:t>
            </w:r>
          </w:p>
          <w:p w14:paraId="791A76E7">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★2.提供厂家所投产品的建筑业企业资质证书（机电工程施工总承包贰级、钢结构工程专业承包贰级）；</w:t>
            </w:r>
          </w:p>
          <w:p w14:paraId="07507468">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3.因所投LED显示屏厂家凭借优秀品质、产品多样化、创新技术和优质服务塑造出了知名品牌，在采购市场取得不俗业绩，深得政府用户的信赖与好评，被评为“政府优秀采购商”，提供证书复印件并加盖原厂公章；</w:t>
            </w:r>
          </w:p>
          <w:p w14:paraId="348E7041">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★4.所投厂商具备中国合格评定国家认可委员会授权CNAS实验室认可证书；</w:t>
            </w:r>
          </w:p>
          <w:p w14:paraId="57754979">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★5.提供所投产品厂家针对本项目出具的授权书、售后服务承诺函。</w:t>
            </w:r>
          </w:p>
          <w:p w14:paraId="3ED7E917">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★6.LED显示屏具有中国强制性认证CCC证书、CE、ROHS、FCC证书，提供证书复印件并加盖厂家公</w:t>
            </w:r>
          </w:p>
        </w:tc>
        <w:tc>
          <w:tcPr>
            <w:tcW w:w="237" w:type="pct"/>
            <w:vAlign w:val="center"/>
          </w:tcPr>
          <w:p w14:paraId="5E486287">
            <w:pPr>
              <w:widowControl/>
              <w:jc w:val="center"/>
              <w:textAlignment w:val="center"/>
              <w:rPr>
                <w:rFonts w:hint="eastAsia" w:cs="宋体" w:asciiTheme="minorEastAsia" w:hAnsiTheme="minorEastAsia" w:eastAsiaTheme="minorEastAsia"/>
                <w:szCs w:val="21"/>
              </w:rPr>
            </w:pPr>
            <w:r>
              <w:rPr>
                <w:rFonts w:cs="宋体" w:asciiTheme="minorEastAsia" w:hAnsiTheme="minorEastAsia" w:eastAsiaTheme="minorEastAsia"/>
                <w:szCs w:val="21"/>
              </w:rPr>
              <w:t>9.22</w:t>
            </w:r>
          </w:p>
        </w:tc>
        <w:tc>
          <w:tcPr>
            <w:tcW w:w="206" w:type="pct"/>
            <w:vAlign w:val="center"/>
          </w:tcPr>
          <w:p w14:paraId="4456A230">
            <w:pPr>
              <w:widowControl/>
              <w:jc w:val="center"/>
              <w:textAlignment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w:t>
            </w:r>
          </w:p>
        </w:tc>
        <w:tc>
          <w:tcPr>
            <w:tcW w:w="329" w:type="pct"/>
            <w:vAlign w:val="center"/>
          </w:tcPr>
          <w:p w14:paraId="74167A36">
            <w:pPr>
              <w:widowControl/>
              <w:jc w:val="center"/>
              <w:textAlignment w:val="center"/>
              <w:rPr>
                <w:rFonts w:hint="eastAsia" w:cs="黑体" w:asciiTheme="minorEastAsia" w:hAnsiTheme="minorEastAsia" w:eastAsiaTheme="minorEastAsia"/>
                <w:b/>
                <w:bCs/>
                <w:szCs w:val="21"/>
              </w:rPr>
            </w:pPr>
            <w:r>
              <w:rPr>
                <w:rFonts w:hint="eastAsia" w:asciiTheme="minorEastAsia" w:hAnsiTheme="minorEastAsia" w:eastAsiaTheme="minorEastAsia" w:cstheme="minorEastAsia"/>
                <w:szCs w:val="21"/>
              </w:rPr>
              <w:t>4200</w:t>
            </w:r>
          </w:p>
        </w:tc>
        <w:tc>
          <w:tcPr>
            <w:tcW w:w="366" w:type="pct"/>
            <w:vAlign w:val="center"/>
          </w:tcPr>
          <w:p w14:paraId="37E15E30">
            <w:pPr>
              <w:widowControl/>
              <w:jc w:val="center"/>
              <w:textAlignment w:val="center"/>
              <w:rPr>
                <w:rFonts w:hint="eastAsia" w:cs="黑体" w:asciiTheme="minorEastAsia" w:hAnsiTheme="minorEastAsia" w:eastAsiaTheme="minorEastAsia"/>
                <w:szCs w:val="21"/>
              </w:rPr>
            </w:pPr>
            <w:r>
              <w:rPr>
                <w:rFonts w:hint="eastAsia" w:asciiTheme="minorEastAsia" w:hAnsiTheme="minorEastAsia" w:eastAsiaTheme="minorEastAsia" w:cstheme="minorEastAsia"/>
                <w:szCs w:val="21"/>
              </w:rPr>
              <w:t>38724</w:t>
            </w:r>
          </w:p>
        </w:tc>
      </w:tr>
      <w:tr w14:paraId="3FCF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18" w:type="pct"/>
            <w:vAlign w:val="center"/>
          </w:tcPr>
          <w:p w14:paraId="117F9379">
            <w:pPr>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324" w:type="pct"/>
            <w:vAlign w:val="center"/>
          </w:tcPr>
          <w:p w14:paraId="6649548F">
            <w:pPr>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单色条屏（长6.384m×高0.37m）</w:t>
            </w:r>
          </w:p>
        </w:tc>
        <w:tc>
          <w:tcPr>
            <w:tcW w:w="341" w:type="pct"/>
            <w:vAlign w:val="center"/>
          </w:tcPr>
          <w:p w14:paraId="63AE8203">
            <w:pPr>
              <w:spacing w:line="288"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鸿品瑞、洲明、强力巨彩</w:t>
            </w:r>
          </w:p>
          <w:p w14:paraId="263DD65B">
            <w:pPr>
              <w:spacing w:line="288" w:lineRule="auto"/>
              <w:rPr>
                <w:rFonts w:hint="eastAsia" w:cs="宋体" w:asciiTheme="minorEastAsia" w:hAnsiTheme="minorEastAsia" w:eastAsiaTheme="minorEastAsia"/>
                <w:szCs w:val="21"/>
              </w:rPr>
            </w:pPr>
          </w:p>
        </w:tc>
        <w:tc>
          <w:tcPr>
            <w:tcW w:w="2979" w:type="pct"/>
          </w:tcPr>
          <w:p w14:paraId="4FC3F483">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P7.62单红表贴16扫3528灯</w:t>
            </w:r>
          </w:p>
          <w:p w14:paraId="2B881790">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1.显示区域尺寸：6.344*3.66，单张模组尺寸：244*122   总共78张模组+赠送3张模组备品=81张</w:t>
            </w:r>
          </w:p>
          <w:p w14:paraId="2D5523D2">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2.包含配套电源控制卡</w:t>
            </w:r>
          </w:p>
        </w:tc>
        <w:tc>
          <w:tcPr>
            <w:tcW w:w="237" w:type="pct"/>
            <w:vAlign w:val="center"/>
          </w:tcPr>
          <w:p w14:paraId="364C030F">
            <w:pPr>
              <w:widowControl/>
              <w:jc w:val="center"/>
              <w:textAlignment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206" w:type="pct"/>
            <w:vAlign w:val="center"/>
          </w:tcPr>
          <w:p w14:paraId="1D1E3323">
            <w:pPr>
              <w:widowControl/>
              <w:jc w:val="center"/>
              <w:textAlignment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套</w:t>
            </w:r>
          </w:p>
        </w:tc>
        <w:tc>
          <w:tcPr>
            <w:tcW w:w="329" w:type="pct"/>
            <w:vAlign w:val="center"/>
          </w:tcPr>
          <w:p w14:paraId="2A9C93A4">
            <w:pPr>
              <w:widowControl/>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3900</w:t>
            </w:r>
          </w:p>
        </w:tc>
        <w:tc>
          <w:tcPr>
            <w:tcW w:w="366" w:type="pct"/>
            <w:vAlign w:val="center"/>
          </w:tcPr>
          <w:p w14:paraId="53D8D0D2">
            <w:pPr>
              <w:widowControl/>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3900</w:t>
            </w:r>
          </w:p>
        </w:tc>
      </w:tr>
      <w:tr w14:paraId="3112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18" w:type="pct"/>
            <w:vAlign w:val="center"/>
          </w:tcPr>
          <w:p w14:paraId="3DEAF797">
            <w:pPr>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324" w:type="pct"/>
            <w:vAlign w:val="center"/>
          </w:tcPr>
          <w:p w14:paraId="7A293996">
            <w:pPr>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LED屏视频处理器</w:t>
            </w:r>
          </w:p>
        </w:tc>
        <w:tc>
          <w:tcPr>
            <w:tcW w:w="341" w:type="pct"/>
            <w:vAlign w:val="center"/>
          </w:tcPr>
          <w:p w14:paraId="1A93389D">
            <w:pPr>
              <w:spacing w:line="288"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诺瓦星云、灵星雨、卡莱特</w:t>
            </w:r>
          </w:p>
        </w:tc>
        <w:tc>
          <w:tcPr>
            <w:tcW w:w="2979" w:type="pct"/>
          </w:tcPr>
          <w:p w14:paraId="1CEFA1F3">
            <w:pPr>
              <w:widowControl/>
              <w:jc w:val="left"/>
              <w:rPr>
                <w:rFonts w:hint="eastAsia" w:asciiTheme="minorEastAsia" w:hAnsiTheme="minorEastAsia" w:eastAsiaTheme="minorEastAsia"/>
                <w:color w:val="000000"/>
                <w:kern w:val="0"/>
                <w:szCs w:val="21"/>
              </w:rPr>
            </w:pPr>
            <w:r>
              <w:rPr>
                <w:rFonts w:hint="eastAsia" w:asciiTheme="minorEastAsia" w:hAnsiTheme="minorEastAsia" w:eastAsiaTheme="minorEastAsia"/>
                <w:color w:val="000000"/>
                <w:szCs w:val="21"/>
              </w:rPr>
              <w:t>1.★1路DVI输入和3路HDMI1.4输入</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2.★12路千兆网口输出，支持单机或双机冗余备份，最大带载780万像素点，最宽可达8192点，或最高可达4096点</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3.单路最大输入分辨率1920×1200@60Hz，支持分辨率任意设置</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4.HDCP1.4协议的高带宽数字内容保护技术</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5.★设备支持3.5 寸液晶面板，可实时显示，型号，IP地址，窗口及信号源的分辨率以及状态信息、输出网口的状态、屏幕大小及帧频信息、网线连接状态、屏体亮度等。（提供带CNAS/CMA/ilac-MRA认证标识的第三方检验报告复印件）</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6.根据显示屏分辨率对输入图像进行任意缩放，包括裁剪后缩放、画中画缩放、点对点模式、全屏缩放、自定义缩放等，画面缩放后，大屏显示依然清晰。（提供带CNAS/CMA/ilac-MRA认证标识的第三方检验报告复印件）</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7.▲支持在没有外部视频源接入的情况下，自生成13种测试模式，包括纯色、渐变色、竖条横条、左右斜条，检查 LED显示屏的基本显示是否正常。（提供带CNAS/CMA/ilac-MRA认证标识的第三方检验报告复印件）</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8.视频源位深支持8bit输入，格式支持RGB444、YCbCr444、YCbCr422等格式，帧率可支持23.98/24/25/29.97/30/50/59.97/60/120/144Hz等。（提供带CNAS/CMA/ilac-MRA认证标识的第三方检验报告复印件）</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9.最大支持16种预置模式无缝切换，每个预置模式包含视频源的图层、缩放大小、裁剪、色调、饱和度、亮度补偿、对比度、色域、亮度、色温并且可以通过前面板的旋钮直接加载画面，更加简便。（提供带CNAS/CMA/ilac-MRA认证标识的第三方检验报告复印件）</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10.★最大支持三画面输出。（提供带CNAS/CMA/ilac-MRA认证标识的第三方检验报告复印件）</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11.系统支持千兆RJ45网口可进行任意组合的横向、竖向拼接，完美实现异型构造，网口间拼接至完整画面的时间≤2ms。（提供带CNAS/CMA/ilac-MRA认证标识的第三方检验报告复印件）</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12.通过多功能卡可对每个网口的亮度进行0~100%范围内的任意单独控制调节，还可应用于远程管理、自动控制、定时开断 LED 屏幕电源。（提供带CNAS/CMA/ilac-MRA认证标识的第三方检验报告复印件）</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13.▲支持亮度调节，在低亮度状态下仍能清晰呈现画面层次；针对小间距 LED 显示屏，当亮度处于10% 以下时，灰度损失程度微小到人眼难以觉察，可在低亮度环境中展现更广泛的灰阶范围。（提供带CNAS/CMA/ilac-MRA认证标识的第三方检验报告复印件）</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14.▲借助软件、控制器与接收卡的协同配合，能够快速校准并修复显示屏模块及箱体之间的缝隙，高效解决拼接处的间隙问题。（提供带CNAS/CMA/ilac-MRA认证标识的第三方检验报告复印件）</w:t>
            </w:r>
            <w:r>
              <w:rPr>
                <w:rFonts w:hint="eastAsia" w:asciiTheme="minorEastAsia" w:hAnsiTheme="minorEastAsia" w:eastAsiaTheme="minorEastAsia"/>
                <w:color w:val="000000"/>
                <w:szCs w:val="21"/>
              </w:rPr>
              <w:br w:type="textWrapping"/>
            </w:r>
            <w:r>
              <w:rPr>
                <w:rFonts w:hint="eastAsia" w:asciiTheme="minorEastAsia" w:hAnsiTheme="minorEastAsia" w:eastAsiaTheme="minorEastAsia"/>
                <w:color w:val="000000"/>
                <w:szCs w:val="21"/>
              </w:rPr>
              <w:t>15.★设备直接通过USB2.0级联，级联数据下发，发送速率最高可达60Mb/s，最大支持64台同时调节亮度、色温、设备之间同步性，符合大型高标准活动现场低延时要求。（提供带CNAS/CMA/ilac-MRA认证标识的第三方检验报告复印件）</w:t>
            </w:r>
          </w:p>
        </w:tc>
        <w:tc>
          <w:tcPr>
            <w:tcW w:w="237" w:type="pct"/>
            <w:vAlign w:val="center"/>
          </w:tcPr>
          <w:p w14:paraId="3024A29F">
            <w:pPr>
              <w:widowControl/>
              <w:jc w:val="center"/>
              <w:textAlignment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206" w:type="pct"/>
            <w:vAlign w:val="center"/>
          </w:tcPr>
          <w:p w14:paraId="087F8236">
            <w:pPr>
              <w:widowControl/>
              <w:jc w:val="center"/>
              <w:textAlignment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台</w:t>
            </w:r>
          </w:p>
        </w:tc>
        <w:tc>
          <w:tcPr>
            <w:tcW w:w="329" w:type="pct"/>
            <w:vAlign w:val="center"/>
          </w:tcPr>
          <w:p w14:paraId="1EB2F9EE">
            <w:pPr>
              <w:widowControl/>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4680</w:t>
            </w:r>
          </w:p>
        </w:tc>
        <w:tc>
          <w:tcPr>
            <w:tcW w:w="366" w:type="pct"/>
            <w:vAlign w:val="center"/>
          </w:tcPr>
          <w:p w14:paraId="532AEEA9">
            <w:pPr>
              <w:widowControl/>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4680</w:t>
            </w:r>
          </w:p>
        </w:tc>
      </w:tr>
      <w:tr w14:paraId="355D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18" w:type="pct"/>
            <w:vAlign w:val="center"/>
          </w:tcPr>
          <w:p w14:paraId="5CA08C06">
            <w:pPr>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324" w:type="pct"/>
            <w:vAlign w:val="center"/>
          </w:tcPr>
          <w:p w14:paraId="1628ADB4">
            <w:pPr>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接收卡</w:t>
            </w:r>
          </w:p>
        </w:tc>
        <w:tc>
          <w:tcPr>
            <w:tcW w:w="341" w:type="pct"/>
            <w:vAlign w:val="center"/>
          </w:tcPr>
          <w:p w14:paraId="319C9EF8">
            <w:pPr>
              <w:spacing w:line="288" w:lineRule="auto"/>
              <w:rPr>
                <w:rFonts w:hint="eastAsia" w:cs="宋体" w:asciiTheme="minorEastAsia" w:hAnsiTheme="minorEastAsia" w:eastAsiaTheme="minorEastAsia"/>
                <w:szCs w:val="21"/>
              </w:rPr>
            </w:pPr>
            <w:bookmarkStart w:id="1" w:name="OLE_LINK4"/>
            <w:bookmarkStart w:id="2" w:name="OLE_LINK3"/>
            <w:r>
              <w:rPr>
                <w:rFonts w:hint="eastAsia" w:cs="宋体" w:asciiTheme="minorEastAsia" w:hAnsiTheme="minorEastAsia" w:eastAsiaTheme="minorEastAsia"/>
                <w:szCs w:val="21"/>
              </w:rPr>
              <w:t>诺瓦星云、灵星雨、卡莱特</w:t>
            </w:r>
            <w:bookmarkEnd w:id="1"/>
            <w:bookmarkEnd w:id="2"/>
          </w:p>
        </w:tc>
        <w:tc>
          <w:tcPr>
            <w:tcW w:w="2979" w:type="pct"/>
          </w:tcPr>
          <w:p w14:paraId="0754151A">
            <w:pPr>
              <w:numPr>
                <w:ilvl w:val="0"/>
                <w:numId w:val="1"/>
              </w:numPr>
              <w:spacing w:line="360" w:lineRule="auto"/>
              <w:rPr>
                <w:rFonts w:hint="eastAsia" w:cs="Arial" w:asciiTheme="minorEastAsia" w:hAnsiTheme="minorEastAsia" w:eastAsiaTheme="minorEastAsia"/>
                <w:szCs w:val="21"/>
              </w:rPr>
            </w:pPr>
            <w:r>
              <w:rPr>
                <w:rFonts w:hint="eastAsia" w:cs="Arial" w:asciiTheme="minorEastAsia" w:hAnsiTheme="minorEastAsia" w:eastAsiaTheme="minorEastAsia"/>
                <w:szCs w:val="21"/>
              </w:rPr>
              <w:t>单卡带载512×512，具有12个HUB75接口。</w:t>
            </w:r>
          </w:p>
          <w:p w14:paraId="3FBA2BD6">
            <w:pPr>
              <w:spacing w:line="360" w:lineRule="auto"/>
              <w:rPr>
                <w:rFonts w:hint="eastAsia" w:cs="Arial" w:asciiTheme="minorEastAsia" w:hAnsiTheme="minorEastAsia" w:eastAsiaTheme="minorEastAsia"/>
                <w:szCs w:val="21"/>
              </w:rPr>
            </w:pPr>
            <w:r>
              <w:rPr>
                <w:rFonts w:hint="eastAsia" w:cs="Arial" w:asciiTheme="minorEastAsia" w:hAnsiTheme="minorEastAsia" w:eastAsiaTheme="minorEastAsia"/>
                <w:szCs w:val="21"/>
              </w:rPr>
              <w:t>2、单卡24组RGB数据组输出模式，且通过拓展模式可达到128组串行数据组输出。（提供带CNAS/CMA/ilac-MRA认证标识的第三方检验报告复印件）</w:t>
            </w:r>
          </w:p>
          <w:p w14:paraId="64307CB8">
            <w:pPr>
              <w:spacing w:line="360" w:lineRule="auto"/>
              <w:rPr>
                <w:rFonts w:hint="eastAsia" w:cs="Arial" w:asciiTheme="minorEastAsia" w:hAnsiTheme="minorEastAsia" w:eastAsiaTheme="minorEastAsia"/>
                <w:szCs w:val="21"/>
              </w:rPr>
            </w:pPr>
            <w:r>
              <w:rPr>
                <w:rFonts w:hint="eastAsia" w:cs="Arial" w:asciiTheme="minorEastAsia" w:hAnsiTheme="minorEastAsia" w:eastAsiaTheme="minorEastAsia"/>
                <w:szCs w:val="21"/>
              </w:rPr>
              <w:t>3、接收卡搭配发送设备，可通过调试软件对色温进行2000K-10000K范围调节，可适配场景、护视力、优化显示拍摄效果，通过改变光色温满足多样需求。（提供带CNAS/CMA/ilac-MRA认证标识的第三方检验报告复印件）</w:t>
            </w:r>
          </w:p>
          <w:p w14:paraId="332D7FBA">
            <w:pPr>
              <w:spacing w:line="360" w:lineRule="auto"/>
              <w:rPr>
                <w:rFonts w:hint="eastAsia" w:cs="Arial" w:asciiTheme="minorEastAsia" w:hAnsiTheme="minorEastAsia" w:eastAsiaTheme="minorEastAsia"/>
                <w:szCs w:val="21"/>
              </w:rPr>
            </w:pPr>
            <w:r>
              <w:rPr>
                <w:rFonts w:hint="eastAsia" w:cs="Arial" w:asciiTheme="minorEastAsia" w:hAnsiTheme="minorEastAsia" w:eastAsiaTheme="minorEastAsia"/>
                <w:szCs w:val="21"/>
              </w:rPr>
              <w:t>4、</w:t>
            </w:r>
            <w:r>
              <w:rPr>
                <w:rFonts w:hint="eastAsia" w:cs="Arial" w:asciiTheme="minorEastAsia" w:hAnsiTheme="minorEastAsia" w:eastAsiaTheme="minorEastAsia"/>
                <w:szCs w:val="21"/>
                <w:lang w:bidi="en-US"/>
              </w:rPr>
              <w:t>通过调试软件可快速标示出对应主控、网口、网口下接收卡实际硬件连接序号，方便设置屏体的连接关系。</w:t>
            </w:r>
            <w:r>
              <w:rPr>
                <w:rFonts w:hint="eastAsia" w:cs="Arial" w:asciiTheme="minorEastAsia" w:hAnsiTheme="minorEastAsia" w:eastAsiaTheme="minorEastAsia"/>
                <w:szCs w:val="21"/>
              </w:rPr>
              <w:t>（提供带CNAS/CMA/ilac-MRA认证标识的第三方检验报告复印件）</w:t>
            </w:r>
          </w:p>
          <w:p w14:paraId="7389D716">
            <w:pPr>
              <w:spacing w:line="360" w:lineRule="auto"/>
              <w:rPr>
                <w:rFonts w:hint="eastAsia" w:cs="Arial" w:asciiTheme="minorEastAsia" w:hAnsiTheme="minorEastAsia" w:eastAsiaTheme="minorEastAsia"/>
                <w:szCs w:val="21"/>
                <w:lang w:bidi="en-US"/>
              </w:rPr>
            </w:pPr>
            <w:r>
              <w:rPr>
                <w:rFonts w:hint="eastAsia" w:cs="Arial" w:asciiTheme="minorEastAsia" w:hAnsiTheme="minorEastAsia" w:eastAsiaTheme="minorEastAsia"/>
                <w:szCs w:val="21"/>
                <w:lang w:bidi="en-US"/>
              </w:rPr>
              <w:t>5、接收卡支持通过调试软件进行设置箱体画面，以90 °/180 °/270 ° 角度进行旋转，配合部分主控可实现箱体画面任意角度旋转显示。</w:t>
            </w:r>
            <w:r>
              <w:rPr>
                <w:rFonts w:hint="eastAsia" w:cs="Arial" w:asciiTheme="minorEastAsia" w:hAnsiTheme="minorEastAsia" w:eastAsiaTheme="minorEastAsia"/>
                <w:szCs w:val="21"/>
              </w:rPr>
              <w:t>（提供带CNAS/CMA/ilac-MRA认证标识的第三方检验报告复印件）</w:t>
            </w:r>
          </w:p>
          <w:p w14:paraId="0A0D6301">
            <w:pPr>
              <w:spacing w:line="360" w:lineRule="auto"/>
              <w:rPr>
                <w:rFonts w:hint="eastAsia" w:cs="Arial" w:asciiTheme="minorEastAsia" w:hAnsiTheme="minorEastAsia" w:eastAsiaTheme="minorEastAsia"/>
                <w:szCs w:val="21"/>
              </w:rPr>
            </w:pPr>
            <w:r>
              <w:rPr>
                <w:rFonts w:hint="eastAsia" w:cs="Arial" w:asciiTheme="minorEastAsia" w:hAnsiTheme="minorEastAsia" w:eastAsiaTheme="minorEastAsia"/>
                <w:szCs w:val="21"/>
                <w:lang w:bidi="en-US"/>
              </w:rPr>
              <w:t>6、接收卡支持对模组数据进行任意行、列、点数据进行抽取修改操作，可同时添加多个行、列、点位置，自定义抽取数据大小。用于满足组模数据组不对称、模组空点等实际场景。</w:t>
            </w:r>
            <w:r>
              <w:rPr>
                <w:rFonts w:hint="eastAsia" w:cs="Arial" w:asciiTheme="minorEastAsia" w:hAnsiTheme="minorEastAsia" w:eastAsiaTheme="minorEastAsia"/>
                <w:szCs w:val="21"/>
              </w:rPr>
              <w:t>（提供带CNAS/CMA/ilac-MRA认证标识的第三方检验报告复印件）</w:t>
            </w:r>
          </w:p>
          <w:p w14:paraId="3E9BC227">
            <w:pPr>
              <w:spacing w:line="360" w:lineRule="auto"/>
              <w:rPr>
                <w:rFonts w:hint="eastAsia" w:cs="Arial" w:asciiTheme="minorEastAsia" w:hAnsiTheme="minorEastAsia" w:eastAsiaTheme="minorEastAsia"/>
                <w:szCs w:val="21"/>
                <w:lang w:bidi="en-US"/>
              </w:rPr>
            </w:pPr>
            <w:r>
              <w:rPr>
                <w:rFonts w:hint="eastAsia" w:cs="Arial" w:asciiTheme="minorEastAsia" w:hAnsiTheme="minorEastAsia" w:eastAsiaTheme="minorEastAsia"/>
                <w:szCs w:val="21"/>
                <w:lang w:bidi="en-US"/>
              </w:rPr>
              <w:t>7、通过主备冗余机制增加接收卡串联的可靠性。主备串联线路中，当其中一条线路出现故障时，另一条线路会即时工作，保证显示屏正常工作,为证明网线冗余热备份功能的专业性。</w:t>
            </w:r>
            <w:r>
              <w:rPr>
                <w:rFonts w:hint="eastAsia" w:cs="Arial" w:asciiTheme="minorEastAsia" w:hAnsiTheme="minorEastAsia" w:eastAsiaTheme="minorEastAsia"/>
                <w:szCs w:val="21"/>
              </w:rPr>
              <w:t>（提供带CNAS/CMA/ilac-MRA认证标识的第三方检验报告复印件）</w:t>
            </w:r>
          </w:p>
          <w:p w14:paraId="7874331F">
            <w:pPr>
              <w:spacing w:line="360" w:lineRule="auto"/>
              <w:rPr>
                <w:rFonts w:hint="eastAsia" w:cs="Arial" w:asciiTheme="minorEastAsia" w:hAnsiTheme="minorEastAsia" w:eastAsiaTheme="minorEastAsia"/>
                <w:szCs w:val="21"/>
                <w:lang w:bidi="en-US"/>
              </w:rPr>
            </w:pPr>
            <w:r>
              <w:rPr>
                <w:rFonts w:hint="eastAsia" w:cs="Arial" w:asciiTheme="minorEastAsia" w:hAnsiTheme="minorEastAsia" w:eastAsiaTheme="minorEastAsia"/>
                <w:szCs w:val="21"/>
                <w:lang w:bidi="en-US"/>
              </w:rPr>
              <w:t>8、可以轻松点亮三角形、梯形、圆形、扇形及各种不规则形状的LED模组和箱体，应用于不同造型的LED显示屏。</w:t>
            </w:r>
            <w:r>
              <w:rPr>
                <w:rFonts w:hint="eastAsia" w:cs="Arial" w:asciiTheme="minorEastAsia" w:hAnsiTheme="minorEastAsia" w:eastAsiaTheme="minorEastAsia"/>
                <w:szCs w:val="21"/>
              </w:rPr>
              <w:t>（提供带CNAS/CMA/ilac-MRA认证标识的第三方检验报告复印件）</w:t>
            </w:r>
          </w:p>
          <w:p w14:paraId="1CDA2E1D">
            <w:pPr>
              <w:spacing w:line="360" w:lineRule="auto"/>
              <w:rPr>
                <w:rFonts w:hint="eastAsia" w:asciiTheme="minorEastAsia" w:hAnsiTheme="minorEastAsia" w:eastAsiaTheme="minorEastAsia"/>
                <w:szCs w:val="21"/>
              </w:rPr>
            </w:pPr>
            <w:r>
              <w:rPr>
                <w:rFonts w:hint="eastAsia" w:cs="Arial" w:asciiTheme="minorEastAsia" w:hAnsiTheme="minorEastAsia" w:eastAsiaTheme="minorEastAsia"/>
                <w:szCs w:val="21"/>
                <w:lang w:bidi="en-US"/>
              </w:rPr>
              <w:t>9、</w:t>
            </w:r>
            <w:r>
              <w:rPr>
                <w:rFonts w:hint="eastAsia" w:asciiTheme="minorEastAsia" w:hAnsiTheme="minorEastAsia" w:eastAsiaTheme="minorEastAsia"/>
                <w:szCs w:val="21"/>
              </w:rPr>
              <w:t>接收卡支持8bit/14bit精度的色度，亮度一体化逐点校正，能有效消除灯点色差，保证整屏的颜色亮度的均匀性和一致性，提升整体显示效果。</w:t>
            </w:r>
            <w:r>
              <w:rPr>
                <w:rFonts w:hint="eastAsia" w:cs="Arial" w:asciiTheme="minorEastAsia" w:hAnsiTheme="minorEastAsia" w:eastAsiaTheme="minorEastAsia"/>
                <w:szCs w:val="21"/>
              </w:rPr>
              <w:t>（提供带CNAS/CMA/ilac-MRA认证标识的第三方检验报告复印件）</w:t>
            </w:r>
          </w:p>
          <w:p w14:paraId="7927E021">
            <w:pPr>
              <w:spacing w:line="360" w:lineRule="auto"/>
              <w:rPr>
                <w:rFonts w:hint="eastAsia" w:asciiTheme="minorEastAsia" w:hAnsiTheme="minorEastAsia" w:eastAsiaTheme="minorEastAsia"/>
                <w:szCs w:val="21"/>
              </w:rPr>
            </w:pPr>
            <w:r>
              <w:rPr>
                <w:rFonts w:hint="eastAsia" w:cs="Arial" w:asciiTheme="minorEastAsia" w:hAnsiTheme="minorEastAsia" w:eastAsiaTheme="minorEastAsia"/>
                <w:szCs w:val="21"/>
              </w:rPr>
              <w:t>10、</w:t>
            </w:r>
            <w:r>
              <w:rPr>
                <w:rFonts w:hint="eastAsia" w:asciiTheme="minorEastAsia" w:hAnsiTheme="minorEastAsia" w:eastAsiaTheme="minorEastAsia"/>
                <w:szCs w:val="21"/>
              </w:rPr>
              <w:t>接收卡搭配发送设备，开启3D画面，可实现显虚拟现实逼真的画面。</w:t>
            </w:r>
          </w:p>
          <w:p w14:paraId="608B5BFF">
            <w:pPr>
              <w:spacing w:line="360" w:lineRule="auto"/>
              <w:rPr>
                <w:rFonts w:hint="eastAsia" w:asciiTheme="minorEastAsia" w:hAnsiTheme="minorEastAsia" w:eastAsiaTheme="minorEastAsia"/>
                <w:szCs w:val="21"/>
              </w:rPr>
            </w:pPr>
            <w:r>
              <w:rPr>
                <w:rFonts w:hint="eastAsia" w:cs="Arial" w:asciiTheme="minorEastAsia" w:hAnsiTheme="minorEastAsia" w:eastAsiaTheme="minorEastAsia"/>
                <w:szCs w:val="21"/>
              </w:rPr>
              <w:t>（提供带CNAS/CMA/ilac-MRA认证标识的第三方检验报告复印件）</w:t>
            </w:r>
          </w:p>
        </w:tc>
        <w:tc>
          <w:tcPr>
            <w:tcW w:w="237" w:type="pct"/>
            <w:vAlign w:val="center"/>
          </w:tcPr>
          <w:p w14:paraId="5D551F8D">
            <w:pPr>
              <w:widowControl/>
              <w:jc w:val="center"/>
              <w:textAlignment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20</w:t>
            </w:r>
          </w:p>
        </w:tc>
        <w:tc>
          <w:tcPr>
            <w:tcW w:w="206" w:type="pct"/>
            <w:vAlign w:val="center"/>
          </w:tcPr>
          <w:p w14:paraId="25A83CDD">
            <w:pPr>
              <w:widowControl/>
              <w:jc w:val="center"/>
              <w:textAlignment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张</w:t>
            </w:r>
          </w:p>
        </w:tc>
        <w:tc>
          <w:tcPr>
            <w:tcW w:w="329" w:type="pct"/>
            <w:vAlign w:val="center"/>
          </w:tcPr>
          <w:p w14:paraId="4233BF8E">
            <w:pPr>
              <w:widowControl/>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143</w:t>
            </w:r>
          </w:p>
        </w:tc>
        <w:tc>
          <w:tcPr>
            <w:tcW w:w="366" w:type="pct"/>
            <w:vAlign w:val="center"/>
          </w:tcPr>
          <w:p w14:paraId="5648792F">
            <w:pPr>
              <w:widowControl/>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2860</w:t>
            </w:r>
          </w:p>
        </w:tc>
      </w:tr>
      <w:tr w14:paraId="1EA2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18" w:type="pct"/>
            <w:vAlign w:val="center"/>
          </w:tcPr>
          <w:p w14:paraId="5E63A202">
            <w:pPr>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5</w:t>
            </w:r>
          </w:p>
        </w:tc>
        <w:tc>
          <w:tcPr>
            <w:tcW w:w="324" w:type="pct"/>
            <w:vAlign w:val="center"/>
          </w:tcPr>
          <w:p w14:paraId="2F4AFDF2">
            <w:pPr>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LED屏安装结构</w:t>
            </w:r>
          </w:p>
        </w:tc>
        <w:tc>
          <w:tcPr>
            <w:tcW w:w="341" w:type="pct"/>
            <w:vAlign w:val="center"/>
          </w:tcPr>
          <w:p w14:paraId="6AFCF0DF">
            <w:pPr>
              <w:spacing w:line="288"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定制</w:t>
            </w:r>
          </w:p>
        </w:tc>
        <w:tc>
          <w:tcPr>
            <w:tcW w:w="2979" w:type="pct"/>
          </w:tcPr>
          <w:p w14:paraId="04B1918D">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结构采用100*50镀锌扁管，安装面采用40*20镀锌扁管，材料全为镀辛材质，长期使用不生锈。采用数控机床加工制作，精度高，平整度好。榫卯工艺结构，组装便捷，美观，稳定，收边装饰采用黑色不锈钢材质；(包含包边装饰，方管等耗材)墙体需能承重。2条1.5米的镀锌方管。</w:t>
            </w:r>
          </w:p>
        </w:tc>
        <w:tc>
          <w:tcPr>
            <w:tcW w:w="237" w:type="pct"/>
            <w:vAlign w:val="center"/>
          </w:tcPr>
          <w:p w14:paraId="2B298F56">
            <w:pPr>
              <w:widowControl/>
              <w:jc w:val="center"/>
              <w:textAlignment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10.13</w:t>
            </w:r>
          </w:p>
        </w:tc>
        <w:tc>
          <w:tcPr>
            <w:tcW w:w="206" w:type="pct"/>
            <w:vAlign w:val="center"/>
          </w:tcPr>
          <w:p w14:paraId="746CAA29">
            <w:pPr>
              <w:widowControl/>
              <w:jc w:val="center"/>
              <w:textAlignment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w:t>
            </w:r>
          </w:p>
        </w:tc>
        <w:tc>
          <w:tcPr>
            <w:tcW w:w="329" w:type="pct"/>
            <w:vAlign w:val="center"/>
          </w:tcPr>
          <w:p w14:paraId="07C8D185">
            <w:pPr>
              <w:widowControl/>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260</w:t>
            </w:r>
          </w:p>
        </w:tc>
        <w:tc>
          <w:tcPr>
            <w:tcW w:w="366" w:type="pct"/>
            <w:vAlign w:val="center"/>
          </w:tcPr>
          <w:p w14:paraId="3E1AA113">
            <w:pPr>
              <w:widowControl/>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2633.8</w:t>
            </w:r>
          </w:p>
        </w:tc>
      </w:tr>
      <w:tr w14:paraId="5C3C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18" w:type="pct"/>
            <w:vAlign w:val="center"/>
          </w:tcPr>
          <w:p w14:paraId="43C745E0">
            <w:pPr>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324" w:type="pct"/>
            <w:vAlign w:val="center"/>
          </w:tcPr>
          <w:p w14:paraId="4ED06DFA">
            <w:pPr>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LED屏备品备件</w:t>
            </w:r>
          </w:p>
        </w:tc>
        <w:tc>
          <w:tcPr>
            <w:tcW w:w="341" w:type="pct"/>
            <w:vAlign w:val="center"/>
          </w:tcPr>
          <w:p w14:paraId="2D17F43A">
            <w:pPr>
              <w:spacing w:line="288"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定制</w:t>
            </w:r>
          </w:p>
        </w:tc>
        <w:tc>
          <w:tcPr>
            <w:tcW w:w="2979" w:type="pct"/>
          </w:tcPr>
          <w:p w14:paraId="0B0117D6">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模组2张，接收卡1张，电源1台</w:t>
            </w:r>
          </w:p>
        </w:tc>
        <w:tc>
          <w:tcPr>
            <w:tcW w:w="237" w:type="pct"/>
            <w:vAlign w:val="center"/>
          </w:tcPr>
          <w:p w14:paraId="43FC1A26">
            <w:pPr>
              <w:widowControl/>
              <w:jc w:val="center"/>
              <w:textAlignment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206" w:type="pct"/>
            <w:vAlign w:val="center"/>
          </w:tcPr>
          <w:p w14:paraId="3984007E">
            <w:pPr>
              <w:widowControl/>
              <w:jc w:val="center"/>
              <w:textAlignment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项</w:t>
            </w:r>
          </w:p>
        </w:tc>
        <w:tc>
          <w:tcPr>
            <w:tcW w:w="329" w:type="pct"/>
            <w:vAlign w:val="center"/>
          </w:tcPr>
          <w:p w14:paraId="1813AFB4">
            <w:pPr>
              <w:widowControl/>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625</w:t>
            </w:r>
          </w:p>
        </w:tc>
        <w:tc>
          <w:tcPr>
            <w:tcW w:w="366" w:type="pct"/>
            <w:vAlign w:val="center"/>
          </w:tcPr>
          <w:p w14:paraId="46483C45">
            <w:pPr>
              <w:widowControl/>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625</w:t>
            </w:r>
          </w:p>
        </w:tc>
      </w:tr>
      <w:tr w14:paraId="5A1A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18" w:type="pct"/>
            <w:vAlign w:val="center"/>
          </w:tcPr>
          <w:p w14:paraId="1BBD6104">
            <w:pPr>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7</w:t>
            </w:r>
          </w:p>
        </w:tc>
        <w:tc>
          <w:tcPr>
            <w:tcW w:w="324" w:type="pct"/>
            <w:vAlign w:val="center"/>
          </w:tcPr>
          <w:p w14:paraId="4B3FA2E1">
            <w:pPr>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台式电脑</w:t>
            </w:r>
          </w:p>
        </w:tc>
        <w:tc>
          <w:tcPr>
            <w:tcW w:w="341" w:type="pct"/>
            <w:vAlign w:val="center"/>
          </w:tcPr>
          <w:p w14:paraId="63587611">
            <w:pPr>
              <w:spacing w:line="288"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联想、戴尔、惠普</w:t>
            </w:r>
          </w:p>
        </w:tc>
        <w:tc>
          <w:tcPr>
            <w:tcW w:w="2979" w:type="pct"/>
          </w:tcPr>
          <w:p w14:paraId="53B64C55">
            <w:pPr>
              <w:spacing w:line="460" w:lineRule="exact"/>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4G独立显卡处理器: i5九代及以上。内存:8GB及以上。硬盘空间: 256G以上。操作系统: Win1064位及以上</w:t>
            </w:r>
          </w:p>
        </w:tc>
        <w:tc>
          <w:tcPr>
            <w:tcW w:w="237" w:type="pct"/>
            <w:vAlign w:val="center"/>
          </w:tcPr>
          <w:p w14:paraId="139B30C6">
            <w:pPr>
              <w:widowControl/>
              <w:jc w:val="center"/>
              <w:textAlignment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206" w:type="pct"/>
            <w:vAlign w:val="center"/>
          </w:tcPr>
          <w:p w14:paraId="43AAD1E1">
            <w:pPr>
              <w:widowControl/>
              <w:jc w:val="center"/>
              <w:textAlignment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台</w:t>
            </w:r>
          </w:p>
        </w:tc>
        <w:tc>
          <w:tcPr>
            <w:tcW w:w="329" w:type="pct"/>
            <w:vAlign w:val="center"/>
          </w:tcPr>
          <w:p w14:paraId="0B427630">
            <w:pPr>
              <w:widowControl/>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5800</w:t>
            </w:r>
          </w:p>
        </w:tc>
        <w:tc>
          <w:tcPr>
            <w:tcW w:w="366" w:type="pct"/>
            <w:vAlign w:val="center"/>
          </w:tcPr>
          <w:p w14:paraId="0FBCD3ED">
            <w:pPr>
              <w:widowControl/>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5800</w:t>
            </w:r>
          </w:p>
        </w:tc>
      </w:tr>
      <w:tr w14:paraId="4F3D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18" w:type="pct"/>
            <w:vAlign w:val="center"/>
          </w:tcPr>
          <w:p w14:paraId="421DF453">
            <w:pPr>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11</w:t>
            </w:r>
          </w:p>
        </w:tc>
        <w:tc>
          <w:tcPr>
            <w:tcW w:w="324" w:type="pct"/>
            <w:vAlign w:val="center"/>
          </w:tcPr>
          <w:p w14:paraId="1232E4B4">
            <w:pPr>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设备机柜</w:t>
            </w:r>
          </w:p>
        </w:tc>
        <w:tc>
          <w:tcPr>
            <w:tcW w:w="341" w:type="pct"/>
            <w:vAlign w:val="center"/>
          </w:tcPr>
          <w:p w14:paraId="457C8AFB">
            <w:pPr>
              <w:spacing w:line="288"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酷泰、一舟、金盾</w:t>
            </w:r>
          </w:p>
        </w:tc>
        <w:tc>
          <w:tcPr>
            <w:tcW w:w="2979" w:type="pct"/>
          </w:tcPr>
          <w:p w14:paraId="55ECA4DC">
            <w:pPr>
              <w:spacing w:line="460" w:lineRule="exact"/>
              <w:jc w:val="left"/>
              <w:rPr>
                <w:rFonts w:hint="eastAsia" w:cs="宋体" w:asciiTheme="minorEastAsia" w:hAnsiTheme="minorEastAsia" w:eastAsiaTheme="minorEastAsia"/>
                <w:bCs/>
                <w:kern w:val="0"/>
                <w:szCs w:val="21"/>
              </w:rPr>
            </w:pPr>
            <w:r>
              <w:rPr>
                <w:rFonts w:hint="eastAsia" w:cs="宋体" w:asciiTheme="minorEastAsia" w:hAnsiTheme="minorEastAsia" w:eastAsiaTheme="minorEastAsia"/>
                <w:bCs/>
                <w:kern w:val="0"/>
                <w:szCs w:val="21"/>
              </w:rPr>
              <w:t>实厚0.9-1MM高度1米优质冷轧钢板制作，拆装式结构，整体黑色，5.0MM厚度钢化玻璃前门、高级旋把大锁前门，高密度网孔后门配小圆锁，4条立柱丝印U型刻度，前门蓝色边条压边，彰显高贵典雅，标配风扇、六位PDU电源、层板各一个。</w:t>
            </w:r>
          </w:p>
        </w:tc>
        <w:tc>
          <w:tcPr>
            <w:tcW w:w="237" w:type="pct"/>
            <w:vAlign w:val="center"/>
          </w:tcPr>
          <w:p w14:paraId="727D786A">
            <w:pPr>
              <w:widowControl/>
              <w:jc w:val="center"/>
              <w:textAlignment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206" w:type="pct"/>
            <w:vAlign w:val="center"/>
          </w:tcPr>
          <w:p w14:paraId="52817B4F">
            <w:pPr>
              <w:widowControl/>
              <w:jc w:val="center"/>
              <w:textAlignment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329" w:type="pct"/>
            <w:vAlign w:val="center"/>
          </w:tcPr>
          <w:p w14:paraId="4C6468D4">
            <w:pPr>
              <w:widowControl/>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900</w:t>
            </w:r>
          </w:p>
        </w:tc>
        <w:tc>
          <w:tcPr>
            <w:tcW w:w="366" w:type="pct"/>
            <w:vAlign w:val="center"/>
          </w:tcPr>
          <w:p w14:paraId="431672C5">
            <w:pPr>
              <w:widowControl/>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900</w:t>
            </w:r>
          </w:p>
        </w:tc>
      </w:tr>
      <w:bookmarkEnd w:id="0"/>
      <w:tr w14:paraId="3CD9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4634" w:type="pct"/>
            <w:gridSpan w:val="7"/>
            <w:vAlign w:val="center"/>
          </w:tcPr>
          <w:p w14:paraId="4F873D1F">
            <w:pPr>
              <w:widowControl/>
              <w:spacing w:line="288"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b/>
                <w:bCs/>
                <w:kern w:val="0"/>
                <w:szCs w:val="21"/>
              </w:rPr>
              <w:t>合计</w:t>
            </w:r>
          </w:p>
        </w:tc>
        <w:tc>
          <w:tcPr>
            <w:tcW w:w="366" w:type="pct"/>
            <w:vAlign w:val="center"/>
          </w:tcPr>
          <w:p w14:paraId="1BBA2033">
            <w:pPr>
              <w:widowControl/>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60122.8</w:t>
            </w:r>
          </w:p>
        </w:tc>
      </w:tr>
    </w:tbl>
    <w:p w14:paraId="07E7AC77">
      <w:pPr>
        <w:widowControl/>
        <w:spacing w:line="288" w:lineRule="auto"/>
        <w:jc w:val="left"/>
        <w:rPr>
          <w:rFonts w:hint="eastAsia" w:cs="宋体" w:asciiTheme="minorEastAsia" w:hAnsiTheme="minorEastAsia" w:eastAsiaTheme="minorEastAsia"/>
          <w:szCs w:val="21"/>
        </w:rPr>
      </w:pPr>
    </w:p>
    <w:p w14:paraId="6C2E01AA">
      <w:pPr>
        <w:widowControl/>
        <w:spacing w:line="288" w:lineRule="auto"/>
        <w:jc w:val="left"/>
        <w:rPr>
          <w:rFonts w:hint="eastAsia" w:cs="宋体" w:asciiTheme="minorEastAsia" w:hAnsiTheme="minorEastAsia" w:eastAsiaTheme="minorEastAsia"/>
          <w:szCs w:val="21"/>
        </w:rPr>
      </w:pPr>
    </w:p>
    <w:p w14:paraId="6812C8BC">
      <w:pPr>
        <w:widowControl/>
        <w:spacing w:line="288" w:lineRule="auto"/>
        <w:jc w:val="left"/>
        <w:rPr>
          <w:rFonts w:hint="eastAsia" w:ascii="宋体" w:hAnsi="宋体" w:cs="宋体"/>
          <w:szCs w:val="21"/>
        </w:rPr>
      </w:pPr>
    </w:p>
    <w:p w14:paraId="60452218">
      <w:pPr>
        <w:widowControl/>
        <w:spacing w:line="288" w:lineRule="auto"/>
        <w:jc w:val="left"/>
        <w:rPr>
          <w:rFonts w:hint="eastAsia" w:ascii="宋体" w:hAnsi="宋体" w:cs="宋体"/>
          <w:szCs w:val="21"/>
        </w:rPr>
      </w:pPr>
    </w:p>
    <w:p w14:paraId="04EAC8DC">
      <w:pPr>
        <w:widowControl/>
        <w:spacing w:line="288" w:lineRule="auto"/>
        <w:jc w:val="left"/>
        <w:rPr>
          <w:rFonts w:hint="eastAsia" w:ascii="宋体" w:hAnsi="宋体" w:cs="宋体"/>
          <w:szCs w:val="21"/>
        </w:rPr>
      </w:pPr>
    </w:p>
    <w:p w14:paraId="0148C7F3">
      <w:pPr>
        <w:widowControl/>
        <w:spacing w:line="288" w:lineRule="auto"/>
        <w:jc w:val="left"/>
        <w:rPr>
          <w:rFonts w:hint="eastAsia" w:ascii="宋体" w:hAnsi="宋体" w:cs="宋体"/>
          <w:szCs w:val="21"/>
        </w:rPr>
      </w:pPr>
    </w:p>
    <w:p w14:paraId="6994DBBB">
      <w:pPr>
        <w:widowControl/>
        <w:spacing w:line="288" w:lineRule="auto"/>
        <w:jc w:val="left"/>
        <w:rPr>
          <w:rFonts w:hint="eastAsia" w:ascii="宋体" w:hAnsi="宋体" w:cs="宋体"/>
          <w:szCs w:val="21"/>
        </w:rPr>
      </w:pPr>
    </w:p>
    <w:p w14:paraId="1020BF4B">
      <w:pPr>
        <w:widowControl/>
        <w:spacing w:line="288" w:lineRule="auto"/>
        <w:jc w:val="left"/>
        <w:rPr>
          <w:rFonts w:hint="eastAsia" w:ascii="宋体" w:hAnsi="宋体" w:cs="宋体"/>
          <w:szCs w:val="21"/>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4624"/>
      </w:tblGrid>
      <w:tr w14:paraId="1548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4" w:type="dxa"/>
            <w:gridSpan w:val="2"/>
          </w:tcPr>
          <w:p w14:paraId="6724E585">
            <w:pPr>
              <w:rPr>
                <w:rFonts w:hint="eastAsia" w:ascii="宋体" w:hAnsi="宋体" w:cs="宋体"/>
              </w:rPr>
            </w:pPr>
            <w:r>
              <w:rPr>
                <w:rFonts w:hint="eastAsia" w:ascii="宋体" w:hAnsi="宋体" w:cs="Calibri"/>
                <w:b/>
                <w:bCs/>
                <w:kern w:val="0"/>
                <w:sz w:val="20"/>
                <w:szCs w:val="20"/>
              </w:rPr>
              <w:t>▲</w:t>
            </w:r>
            <w:r>
              <w:rPr>
                <w:rFonts w:hint="eastAsia" w:ascii="宋体" w:hAnsi="宋体" w:cs="宋体"/>
                <w:b/>
                <w:bCs/>
                <w:kern w:val="0"/>
                <w:szCs w:val="21"/>
              </w:rPr>
              <w:t>二、商务服务要求表</w:t>
            </w:r>
          </w:p>
        </w:tc>
      </w:tr>
      <w:tr w14:paraId="668C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7B70F0AD">
            <w:pPr>
              <w:widowControl/>
              <w:snapToGrid w:val="0"/>
              <w:spacing w:line="400" w:lineRule="exact"/>
              <w:jc w:val="center"/>
              <w:textAlignment w:val="center"/>
              <w:rPr>
                <w:rFonts w:hint="eastAsia" w:ascii="宋体" w:hAnsi="宋体" w:cs="宋体"/>
                <w:szCs w:val="21"/>
              </w:rPr>
            </w:pPr>
            <w:r>
              <w:rPr>
                <w:rStyle w:val="16"/>
                <w:rFonts w:hint="default"/>
                <w:color w:val="auto"/>
                <w:sz w:val="21"/>
                <w:szCs w:val="21"/>
              </w:rPr>
              <w:t>交货时间及地点</w:t>
            </w:r>
          </w:p>
        </w:tc>
        <w:tc>
          <w:tcPr>
            <w:tcW w:w="14624" w:type="dxa"/>
            <w:vAlign w:val="center"/>
          </w:tcPr>
          <w:p w14:paraId="55E9414F">
            <w:pPr>
              <w:widowControl/>
              <w:snapToGrid w:val="0"/>
              <w:spacing w:line="400" w:lineRule="exact"/>
              <w:jc w:val="left"/>
              <w:textAlignment w:val="center"/>
              <w:rPr>
                <w:rFonts w:hint="eastAsia" w:asciiTheme="minorEastAsia" w:hAnsiTheme="minorEastAsia" w:cstheme="minorEastAsia"/>
                <w:kern w:val="0"/>
                <w:szCs w:val="21"/>
              </w:rPr>
            </w:pPr>
            <w:r>
              <w:rPr>
                <w:rFonts w:hint="eastAsia" w:asciiTheme="minorEastAsia" w:hAnsiTheme="minorEastAsia" w:cstheme="minorEastAsia"/>
                <w:kern w:val="0"/>
                <w:szCs w:val="21"/>
              </w:rPr>
              <w:t xml:space="preserve">1、合同签订日期：中标通知书发出后7日内。 </w:t>
            </w:r>
          </w:p>
          <w:p w14:paraId="59F8EBB0">
            <w:pPr>
              <w:widowControl/>
              <w:snapToGrid w:val="0"/>
              <w:spacing w:line="400" w:lineRule="exact"/>
              <w:jc w:val="left"/>
              <w:textAlignment w:val="center"/>
              <w:rPr>
                <w:rFonts w:hint="eastAsia" w:asciiTheme="minorEastAsia" w:hAnsiTheme="minorEastAsia" w:cstheme="minorEastAsia"/>
                <w:kern w:val="0"/>
                <w:szCs w:val="21"/>
              </w:rPr>
            </w:pPr>
            <w:r>
              <w:rPr>
                <w:rFonts w:hint="eastAsia" w:asciiTheme="minorEastAsia" w:hAnsiTheme="minorEastAsia" w:cstheme="minorEastAsia"/>
                <w:kern w:val="0"/>
                <w:szCs w:val="21"/>
              </w:rPr>
              <w:t>2、交货（实施）时间：合同签订之日起10个日历日内交货并安装调试完毕。</w:t>
            </w:r>
          </w:p>
          <w:p w14:paraId="3BE34CE9">
            <w:pPr>
              <w:widowControl/>
              <w:snapToGrid w:val="0"/>
              <w:spacing w:line="400" w:lineRule="exact"/>
              <w:jc w:val="left"/>
              <w:textAlignment w:val="center"/>
              <w:rPr>
                <w:rFonts w:hint="eastAsia" w:ascii="宋体" w:hAnsi="宋体" w:cs="宋体"/>
                <w:szCs w:val="21"/>
              </w:rPr>
            </w:pPr>
            <w:r>
              <w:rPr>
                <w:rStyle w:val="16"/>
                <w:rFonts w:hint="default" w:asciiTheme="minorEastAsia" w:hAnsiTheme="minorEastAsia" w:eastAsiaTheme="minorEastAsia" w:cstheme="minorEastAsia"/>
                <w:color w:val="auto"/>
                <w:sz w:val="21"/>
                <w:szCs w:val="21"/>
              </w:rPr>
              <w:t>3、交货地点：</w:t>
            </w:r>
            <w:r>
              <w:rPr>
                <w:rFonts w:hint="eastAsia" w:asciiTheme="minorEastAsia" w:hAnsiTheme="minorEastAsia" w:cstheme="minorEastAsia"/>
                <w:szCs w:val="21"/>
              </w:rPr>
              <w:t>广西南宁市采购人指定地点（南宁师范大学）</w:t>
            </w:r>
            <w:r>
              <w:rPr>
                <w:rStyle w:val="16"/>
                <w:rFonts w:hint="default" w:asciiTheme="minorEastAsia" w:hAnsiTheme="minorEastAsia" w:eastAsiaTheme="minorEastAsia" w:cstheme="minorEastAsia"/>
                <w:color w:val="auto"/>
                <w:sz w:val="21"/>
                <w:szCs w:val="21"/>
              </w:rPr>
              <w:t>。</w:t>
            </w:r>
          </w:p>
        </w:tc>
      </w:tr>
      <w:tr w14:paraId="5B2C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3ABD7DCC">
            <w:pPr>
              <w:widowControl/>
              <w:snapToGrid w:val="0"/>
              <w:spacing w:line="400" w:lineRule="exact"/>
              <w:jc w:val="center"/>
              <w:textAlignment w:val="center"/>
              <w:rPr>
                <w:rFonts w:hint="eastAsia" w:ascii="宋体" w:hAnsi="宋体" w:cs="宋体"/>
                <w:szCs w:val="21"/>
              </w:rPr>
            </w:pPr>
            <w:r>
              <w:rPr>
                <w:rStyle w:val="16"/>
                <w:rFonts w:hint="default"/>
                <w:color w:val="auto"/>
                <w:sz w:val="21"/>
                <w:szCs w:val="21"/>
              </w:rPr>
              <w:t>质保期</w:t>
            </w:r>
          </w:p>
        </w:tc>
        <w:tc>
          <w:tcPr>
            <w:tcW w:w="14624" w:type="dxa"/>
            <w:vAlign w:val="center"/>
          </w:tcPr>
          <w:p w14:paraId="23EDCCBE">
            <w:pPr>
              <w:widowControl/>
              <w:jc w:val="left"/>
              <w:textAlignment w:val="center"/>
              <w:rPr>
                <w:rFonts w:hint="eastAsia" w:ascii="宋体" w:hAnsi="宋体" w:cs="宋体"/>
                <w:szCs w:val="21"/>
              </w:rPr>
            </w:pPr>
            <w:r>
              <w:rPr>
                <w:rStyle w:val="16"/>
                <w:rFonts w:hint="default" w:asciiTheme="minorEastAsia" w:hAnsiTheme="minorEastAsia" w:eastAsiaTheme="minorEastAsia" w:cstheme="minorEastAsia"/>
                <w:color w:val="auto"/>
                <w:sz w:val="21"/>
                <w:szCs w:val="21"/>
              </w:rPr>
              <w:t>按国家有关规定或厂家承诺实行“三包”，</w:t>
            </w:r>
            <w:r>
              <w:rPr>
                <w:rFonts w:hint="eastAsia" w:asciiTheme="minorEastAsia" w:hAnsiTheme="minorEastAsia" w:cstheme="minorEastAsia"/>
                <w:kern w:val="0"/>
                <w:szCs w:val="21"/>
              </w:rPr>
              <w:t>质保期从验收合格之日起整机不少于</w:t>
            </w:r>
            <w:r>
              <w:rPr>
                <w:rFonts w:hint="eastAsia" w:asciiTheme="minorEastAsia" w:hAnsiTheme="minorEastAsia" w:cstheme="minorEastAsia"/>
                <w:kern w:val="0"/>
                <w:szCs w:val="21"/>
                <w:u w:val="single"/>
              </w:rPr>
              <w:t>1</w:t>
            </w:r>
            <w:r>
              <w:rPr>
                <w:rFonts w:hint="eastAsia" w:asciiTheme="minorEastAsia" w:hAnsiTheme="minorEastAsia" w:cstheme="minorEastAsia"/>
                <w:kern w:val="0"/>
                <w:szCs w:val="21"/>
              </w:rPr>
              <w:t>年（技术参数中有特别指明质保期的按参数要求，厂家质保期高于采购要求的按厂家质保）</w:t>
            </w:r>
            <w:r>
              <w:rPr>
                <w:rStyle w:val="16"/>
                <w:rFonts w:hint="default" w:asciiTheme="minorEastAsia" w:hAnsiTheme="minorEastAsia" w:eastAsiaTheme="minorEastAsia" w:cstheme="minorEastAsia"/>
                <w:color w:val="auto"/>
                <w:sz w:val="21"/>
                <w:szCs w:val="21"/>
              </w:rPr>
              <w:t>，质保期内全免费上门维修、免费更换零部件，质保期过后提供终身技术支持和维护。</w:t>
            </w:r>
          </w:p>
        </w:tc>
      </w:tr>
      <w:tr w14:paraId="4E1F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4891CE8A">
            <w:pPr>
              <w:widowControl/>
              <w:snapToGrid w:val="0"/>
              <w:spacing w:line="400" w:lineRule="exact"/>
              <w:jc w:val="center"/>
              <w:textAlignment w:val="center"/>
              <w:rPr>
                <w:rFonts w:hint="eastAsia" w:ascii="宋体" w:hAnsi="宋体" w:cs="宋体"/>
                <w:szCs w:val="21"/>
              </w:rPr>
            </w:pPr>
            <w:r>
              <w:rPr>
                <w:rFonts w:hint="eastAsia" w:ascii="宋体" w:hAnsi="宋体" w:cs="宋体"/>
                <w:kern w:val="0"/>
                <w:szCs w:val="21"/>
              </w:rPr>
              <w:t>产品质量与售后服务要求</w:t>
            </w:r>
          </w:p>
        </w:tc>
        <w:tc>
          <w:tcPr>
            <w:tcW w:w="14624" w:type="dxa"/>
            <w:vAlign w:val="center"/>
          </w:tcPr>
          <w:p w14:paraId="4011C85E">
            <w:pPr>
              <w:widowControl/>
              <w:snapToGrid w:val="0"/>
              <w:spacing w:line="400" w:lineRule="exact"/>
              <w:jc w:val="left"/>
              <w:textAlignment w:val="center"/>
              <w:rPr>
                <w:rFonts w:hint="eastAsia" w:ascii="宋体" w:hAnsi="宋体" w:cs="宋体"/>
                <w:szCs w:val="21"/>
              </w:rPr>
            </w:pPr>
            <w:r>
              <w:rPr>
                <w:rFonts w:hint="eastAsia" w:asciiTheme="minorEastAsia" w:hAnsiTheme="minorEastAsia" w:eastAsiaTheme="minorEastAsia" w:cstheme="minorEastAsia"/>
                <w:szCs w:val="21"/>
              </w:rPr>
              <w:t>1、</w:t>
            </w:r>
            <w:r>
              <w:rPr>
                <w:rFonts w:hint="eastAsia" w:ascii="宋体" w:hAnsi="宋体" w:cs="宋体"/>
                <w:szCs w:val="21"/>
              </w:rPr>
              <w:t>所投产品必须能实质性响应采购要求（所投产品应完全满足或优于采购参数要求），投标时应按参数需求表内或商务服务要求提供相关证明文件，并加盖厂家公章及供应商公章，否则可视为投标无效，供货时能按照采购需求的要求提供厂家的供货证明和售后服务承诺书原件，本项目仅针对参考品牌进行采购，避免假冒伪劣产品。对不能满足参数要求虚假响应，采购人可作废标处理，并依法向供应商追究违约责任。</w:t>
            </w:r>
          </w:p>
          <w:p w14:paraId="7F02C545">
            <w:pPr>
              <w:widowControl/>
              <w:snapToGrid w:val="0"/>
              <w:spacing w:line="400" w:lineRule="exact"/>
              <w:jc w:val="left"/>
              <w:textAlignment w:val="center"/>
              <w:rPr>
                <w:rFonts w:hint="eastAsia" w:ascii="宋体" w:hAnsi="宋体" w:cs="宋体"/>
                <w:szCs w:val="21"/>
              </w:rPr>
            </w:pPr>
            <w:r>
              <w:rPr>
                <w:rFonts w:hint="eastAsia" w:ascii="宋体" w:hAnsi="宋体" w:cs="宋体"/>
                <w:szCs w:val="21"/>
              </w:rPr>
              <w:t>2、故障响应时间：成交供应商收到采购人的故障维修通知后30分钟内电话服务应答，2小时内到达现场进行维修，4小时内排除故障，如24小时内无法修复的，质保期内成交供应商应无条件更换新设备或提供代用设备，或采取使设备可正常运转的措施。</w:t>
            </w:r>
          </w:p>
          <w:p w14:paraId="47281F61">
            <w:pPr>
              <w:widowControl/>
              <w:snapToGrid w:val="0"/>
              <w:spacing w:line="400" w:lineRule="exact"/>
              <w:jc w:val="left"/>
              <w:textAlignment w:val="center"/>
              <w:rPr>
                <w:rFonts w:hint="eastAsia" w:ascii="宋体" w:hAnsi="宋体" w:cs="宋体"/>
                <w:szCs w:val="21"/>
              </w:rPr>
            </w:pPr>
            <w:r>
              <w:rPr>
                <w:rFonts w:hint="eastAsia" w:ascii="宋体" w:hAnsi="宋体" w:cs="宋体"/>
                <w:szCs w:val="21"/>
              </w:rPr>
              <w:t>3、为确保售后服务及时响应，本项目只接受广西南宁本地注册公司或在本地设立的分公司、办事处、服务站等。</w:t>
            </w:r>
          </w:p>
        </w:tc>
      </w:tr>
      <w:tr w14:paraId="118B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2DBED3ED">
            <w:pPr>
              <w:spacing w:line="400" w:lineRule="exact"/>
              <w:jc w:val="center"/>
              <w:rPr>
                <w:rFonts w:hint="eastAsia" w:ascii="宋体" w:hAnsi="宋体" w:cs="宋体"/>
                <w:szCs w:val="21"/>
              </w:rPr>
            </w:pPr>
            <w:r>
              <w:rPr>
                <w:rFonts w:hint="eastAsia" w:ascii="宋体" w:hAnsi="宋体" w:cs="宋体"/>
                <w:szCs w:val="21"/>
              </w:rPr>
              <w:t>实施和安装要求</w:t>
            </w:r>
          </w:p>
        </w:tc>
        <w:tc>
          <w:tcPr>
            <w:tcW w:w="14624" w:type="dxa"/>
            <w:vAlign w:val="center"/>
          </w:tcPr>
          <w:p w14:paraId="4DFD51E1">
            <w:pPr>
              <w:spacing w:line="400" w:lineRule="exact"/>
              <w:jc w:val="left"/>
              <w:rPr>
                <w:rFonts w:hint="eastAsia" w:ascii="宋体" w:hAnsi="宋体" w:cs="宋体"/>
                <w:szCs w:val="21"/>
              </w:rPr>
            </w:pPr>
            <w:r>
              <w:rPr>
                <w:rFonts w:hint="eastAsia" w:ascii="宋体" w:hAnsi="宋体" w:cs="宋体"/>
                <w:szCs w:val="21"/>
              </w:rPr>
              <w:t>本项目为交钥匙工程，成交后，供应商需应严格按竞标产品的安装规范要求进行安装调试，保证设备正常运行，质量合格。</w:t>
            </w:r>
          </w:p>
          <w:p w14:paraId="3897F2EA">
            <w:pPr>
              <w:spacing w:line="400" w:lineRule="exact"/>
              <w:jc w:val="left"/>
              <w:rPr>
                <w:rFonts w:hint="eastAsia" w:ascii="宋体" w:hAnsi="宋体" w:cs="宋体"/>
                <w:szCs w:val="21"/>
              </w:rPr>
            </w:pPr>
            <w:r>
              <w:rPr>
                <w:rFonts w:hint="eastAsia" w:ascii="宋体" w:hAnsi="宋体" w:cs="宋体"/>
                <w:szCs w:val="21"/>
              </w:rPr>
              <w:t>（1）根据采购要求的工期提供项目实施方案及进度安排计划表；</w:t>
            </w:r>
          </w:p>
          <w:p w14:paraId="248AD737">
            <w:pPr>
              <w:spacing w:line="400" w:lineRule="exact"/>
              <w:jc w:val="left"/>
              <w:rPr>
                <w:rFonts w:hint="eastAsia" w:ascii="宋体" w:hAnsi="宋体" w:cs="宋体"/>
                <w:szCs w:val="21"/>
              </w:rPr>
            </w:pPr>
            <w:r>
              <w:rPr>
                <w:rFonts w:hint="eastAsia" w:ascii="宋体" w:hAnsi="宋体" w:cs="宋体"/>
                <w:bCs/>
                <w:szCs w:val="21"/>
              </w:rPr>
              <w:t>（2）</w:t>
            </w:r>
            <w:r>
              <w:rPr>
                <w:rFonts w:hint="eastAsia" w:ascii="宋体" w:hAnsi="宋体" w:cs="宋体"/>
                <w:szCs w:val="21"/>
              </w:rPr>
              <w:t>供应商必须服从采购单位现场负责人的指挥，按指定地点进行设备安装、调试，确保设备安装符合国家现行技术规范标准；</w:t>
            </w:r>
          </w:p>
          <w:p w14:paraId="726392B3">
            <w:pPr>
              <w:spacing w:line="400" w:lineRule="exact"/>
              <w:jc w:val="left"/>
              <w:rPr>
                <w:rFonts w:hint="eastAsia" w:ascii="宋体" w:hAnsi="宋体" w:cs="宋体"/>
                <w:szCs w:val="21"/>
              </w:rPr>
            </w:pPr>
            <w:r>
              <w:rPr>
                <w:rFonts w:hint="eastAsia" w:ascii="宋体" w:hAnsi="宋体" w:cs="宋体"/>
                <w:szCs w:val="21"/>
              </w:rPr>
              <w:t>（3）安装过程中的所有安全保障由供应商自行负责；</w:t>
            </w:r>
          </w:p>
          <w:p w14:paraId="1A4230A6">
            <w:pPr>
              <w:spacing w:line="400" w:lineRule="exact"/>
              <w:rPr>
                <w:rFonts w:hint="eastAsia" w:ascii="宋体" w:hAnsi="宋体" w:cs="宋体"/>
                <w:kern w:val="0"/>
                <w:szCs w:val="21"/>
                <w:lang w:val="zh-CN"/>
              </w:rPr>
            </w:pPr>
            <w:r>
              <w:rPr>
                <w:rFonts w:hint="eastAsia" w:ascii="宋体" w:hAnsi="宋体" w:cs="宋体"/>
                <w:kern w:val="0"/>
                <w:szCs w:val="21"/>
                <w:lang w:val="zh-CN"/>
              </w:rPr>
              <w:t>（</w:t>
            </w:r>
            <w:r>
              <w:rPr>
                <w:rFonts w:hint="eastAsia" w:ascii="宋体" w:hAnsi="宋体" w:cs="宋体"/>
                <w:kern w:val="0"/>
                <w:szCs w:val="21"/>
              </w:rPr>
              <w:t>4</w:t>
            </w:r>
            <w:r>
              <w:rPr>
                <w:rFonts w:hint="eastAsia" w:ascii="宋体" w:hAnsi="宋体" w:cs="宋体"/>
                <w:kern w:val="0"/>
                <w:szCs w:val="21"/>
                <w:lang w:val="zh-CN"/>
              </w:rPr>
              <w:t>）项目实施过程中产生的垃圾废料由供应商负责清理至校外。</w:t>
            </w:r>
          </w:p>
        </w:tc>
      </w:tr>
      <w:tr w14:paraId="55B1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6C362CE8">
            <w:pPr>
              <w:widowControl/>
              <w:snapToGrid w:val="0"/>
              <w:spacing w:line="400" w:lineRule="exact"/>
              <w:jc w:val="center"/>
              <w:textAlignment w:val="center"/>
              <w:rPr>
                <w:rFonts w:hint="eastAsia" w:ascii="宋体" w:hAnsi="宋体" w:cs="宋体"/>
                <w:szCs w:val="21"/>
              </w:rPr>
            </w:pPr>
            <w:r>
              <w:rPr>
                <w:rStyle w:val="16"/>
                <w:rFonts w:hint="default"/>
                <w:color w:val="auto"/>
                <w:sz w:val="21"/>
                <w:szCs w:val="21"/>
              </w:rPr>
              <w:t>付款方式</w:t>
            </w:r>
          </w:p>
        </w:tc>
        <w:tc>
          <w:tcPr>
            <w:tcW w:w="14624" w:type="dxa"/>
            <w:vAlign w:val="center"/>
          </w:tcPr>
          <w:p w14:paraId="52FA89C8">
            <w:pPr>
              <w:widowControl/>
              <w:snapToGrid w:val="0"/>
              <w:spacing w:line="400" w:lineRule="exact"/>
              <w:jc w:val="left"/>
              <w:textAlignment w:val="center"/>
              <w:rPr>
                <w:rFonts w:hint="eastAsia" w:ascii="宋体" w:hAnsi="宋体" w:cs="宋体"/>
                <w:szCs w:val="21"/>
              </w:rPr>
            </w:pPr>
            <w:r>
              <w:rPr>
                <w:szCs w:val="21"/>
              </w:rPr>
              <w:t> </w:t>
            </w:r>
            <w:r>
              <w:rPr>
                <w:rFonts w:hint="eastAsia" w:ascii="宋体" w:hAnsi="宋体"/>
                <w:kern w:val="0"/>
                <w:szCs w:val="21"/>
              </w:rPr>
              <w:t>项目全部货物服务交付并安装调试至正常运行，经采购人最终验收合格后，中标人开具增值税专用发票给采购人，采购人在收到发票后15个工作日内一次性支付100%合同货款。</w:t>
            </w:r>
          </w:p>
        </w:tc>
      </w:tr>
      <w:tr w14:paraId="1114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325E5B12">
            <w:pPr>
              <w:widowControl/>
              <w:snapToGrid w:val="0"/>
              <w:spacing w:line="400" w:lineRule="exact"/>
              <w:jc w:val="center"/>
              <w:textAlignment w:val="center"/>
              <w:rPr>
                <w:rFonts w:hint="eastAsia" w:ascii="宋体" w:hAnsi="宋体" w:cs="宋体"/>
                <w:szCs w:val="21"/>
              </w:rPr>
            </w:pPr>
            <w:r>
              <w:rPr>
                <w:rStyle w:val="16"/>
                <w:rFonts w:hint="default"/>
                <w:color w:val="auto"/>
                <w:sz w:val="21"/>
                <w:szCs w:val="21"/>
              </w:rPr>
              <w:t>验收要求</w:t>
            </w:r>
          </w:p>
        </w:tc>
        <w:tc>
          <w:tcPr>
            <w:tcW w:w="14624" w:type="dxa"/>
            <w:vAlign w:val="center"/>
          </w:tcPr>
          <w:p w14:paraId="1EE60033">
            <w:pPr>
              <w:widowControl/>
              <w:snapToGrid w:val="0"/>
              <w:spacing w:line="400" w:lineRule="exact"/>
              <w:ind w:firstLine="420" w:firstLineChars="200"/>
              <w:jc w:val="left"/>
              <w:textAlignment w:val="center"/>
              <w:rPr>
                <w:rFonts w:hint="eastAsia" w:ascii="宋体" w:hAnsi="宋体" w:cs="宋体"/>
                <w:kern w:val="0"/>
                <w:szCs w:val="21"/>
              </w:rPr>
            </w:pPr>
            <w:r>
              <w:rPr>
                <w:rFonts w:hint="eastAsia" w:ascii="宋体" w:hAnsi="宋体" w:cs="宋体"/>
                <w:kern w:val="0"/>
                <w:szCs w:val="21"/>
              </w:rPr>
              <w:t xml:space="preserve">1、验收标准：按合同要求及国家标准进行验收。验收时，采购人将严格按照合同要求及国家标准进行验收，对照采购文件的功能目标及技术指标全面核对检验，对所有要求出具的证明文件的原件进行核查（如有）。如交付产品不能满足采购要求和合同约定质量标准的视为验收不合格，按相关规定做退货处理及违约处理，成交供应商承担所有责任和费用，采购人保留进一步追究责任的权利。 </w:t>
            </w:r>
          </w:p>
          <w:p w14:paraId="1EC41D59">
            <w:pPr>
              <w:widowControl/>
              <w:snapToGrid w:val="0"/>
              <w:spacing w:line="400" w:lineRule="exact"/>
              <w:ind w:firstLine="420" w:firstLineChars="200"/>
              <w:jc w:val="left"/>
              <w:textAlignment w:val="center"/>
              <w:rPr>
                <w:rFonts w:hint="eastAsia" w:ascii="宋体" w:hAnsi="宋体" w:cs="宋体"/>
                <w:kern w:val="0"/>
                <w:szCs w:val="21"/>
              </w:rPr>
            </w:pPr>
            <w:r>
              <w:rPr>
                <w:rFonts w:hint="eastAsia" w:ascii="宋体" w:hAnsi="宋体" w:cs="宋体"/>
                <w:kern w:val="0"/>
                <w:szCs w:val="21"/>
              </w:rPr>
              <w:t>2、供应商完成设备安装与调试后，需对拟交付的合同成果及其组件进行自检并提出书面验收申请，经采购人同意后共同组织验收，签写相应验收意见并签名确认。如对验收存在异议的，可聘请第三方按合同约定组织验收，所有费用由成交供应商负责。</w:t>
            </w:r>
          </w:p>
          <w:p w14:paraId="344AE140">
            <w:pPr>
              <w:widowControl/>
              <w:snapToGrid w:val="0"/>
              <w:spacing w:line="400" w:lineRule="exact"/>
              <w:ind w:firstLine="420" w:firstLineChars="200"/>
              <w:jc w:val="left"/>
              <w:textAlignment w:val="center"/>
              <w:rPr>
                <w:rFonts w:hint="eastAsia" w:ascii="宋体" w:hAnsi="宋体" w:cs="宋体"/>
                <w:kern w:val="0"/>
                <w:szCs w:val="21"/>
              </w:rPr>
            </w:pPr>
            <w:r>
              <w:rPr>
                <w:rFonts w:hint="eastAsia" w:ascii="宋体" w:hAnsi="宋体" w:cs="宋体"/>
                <w:kern w:val="0"/>
                <w:szCs w:val="21"/>
              </w:rPr>
              <w:t>3、货物（设备）验收合格，项目约定产品或服务方可正式交接，双方对相关货物清单、随机附件及验收结论意见书等书面材料进行清点签字后，作为项目的最终验收。</w:t>
            </w:r>
          </w:p>
          <w:p w14:paraId="70F06C5C">
            <w:pPr>
              <w:widowControl/>
              <w:snapToGrid w:val="0"/>
              <w:spacing w:line="400" w:lineRule="exact"/>
              <w:ind w:firstLine="420" w:firstLineChars="200"/>
              <w:jc w:val="left"/>
              <w:textAlignment w:val="center"/>
              <w:rPr>
                <w:rFonts w:hint="eastAsia" w:ascii="宋体" w:hAnsi="宋体" w:cs="宋体"/>
                <w:kern w:val="0"/>
                <w:szCs w:val="21"/>
              </w:rPr>
            </w:pPr>
            <w:r>
              <w:rPr>
                <w:rFonts w:hint="eastAsia" w:ascii="宋体" w:hAnsi="宋体" w:cs="宋体"/>
                <w:kern w:val="0"/>
                <w:szCs w:val="21"/>
              </w:rPr>
              <w:t>4、验收费用：验收所产生的劳务费、检验费及相关发生的全部费用均由成交人承担。</w:t>
            </w:r>
          </w:p>
        </w:tc>
      </w:tr>
      <w:tr w14:paraId="3AC5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2982A134">
            <w:pPr>
              <w:widowControl/>
              <w:snapToGrid w:val="0"/>
              <w:spacing w:line="400" w:lineRule="exact"/>
              <w:jc w:val="center"/>
              <w:textAlignment w:val="center"/>
              <w:rPr>
                <w:rFonts w:hint="eastAsia" w:ascii="宋体" w:hAnsi="宋体" w:cs="宋体"/>
                <w:szCs w:val="21"/>
              </w:rPr>
            </w:pPr>
            <w:r>
              <w:rPr>
                <w:rFonts w:hint="eastAsia" w:ascii="宋体" w:hAnsi="宋体" w:cs="宋体"/>
                <w:kern w:val="0"/>
                <w:szCs w:val="21"/>
              </w:rPr>
              <w:t>其他要求</w:t>
            </w:r>
          </w:p>
        </w:tc>
        <w:tc>
          <w:tcPr>
            <w:tcW w:w="14624" w:type="dxa"/>
            <w:vAlign w:val="center"/>
          </w:tcPr>
          <w:p w14:paraId="4E6B1206">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1、供应商必须实质性响应本项目标注“</w:t>
            </w:r>
            <w:r>
              <w:rPr>
                <w:rFonts w:hint="eastAsia" w:ascii="宋体" w:hAnsi="宋体" w:cs="宋体"/>
                <w:bCs/>
                <w:kern w:val="0"/>
                <w:sz w:val="20"/>
                <w:szCs w:val="20"/>
              </w:rPr>
              <w:t>★</w:t>
            </w:r>
            <w:r>
              <w:rPr>
                <w:rFonts w:hint="eastAsia" w:ascii="宋体" w:hAnsi="宋体" w:cs="宋体"/>
                <w:szCs w:val="21"/>
              </w:rPr>
              <w:t>”的技术参数要求，否则视为无效响应。投标时，供应商所投产品须满足或优于技术参数配置要求【需提供《商务、技术响应、偏离情况说明表》、《竞标报价表》和投标产品的《技术参数配置清单》（格式见附件）及检测报告复印件、营业执照等相关佐证材料，以上材料加盖厂家和供应商公章】， 否则视为无效响应。</w:t>
            </w:r>
          </w:p>
          <w:p w14:paraId="0D81F7CC">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2、根据《财政部 发展改革委 生态环境部 市场监管总局关于调整优化节能产品、环境标志产品政府采购执行机制的通知》（财库〔2019〕9 号）和《关于印发节能产品政府采购品目清单的通知》（财库〔2019〕19 号）的规定，本项目采购的产品如属于节能产品政府采购品目清单内标注“</w:t>
            </w:r>
            <w:r>
              <w:rPr>
                <w:rFonts w:hint="eastAsia" w:ascii="宋体" w:hAnsi="宋体" w:cs="宋体"/>
                <w:kern w:val="0"/>
                <w:sz w:val="20"/>
                <w:szCs w:val="20"/>
              </w:rPr>
              <w:t>★</w:t>
            </w:r>
            <w:r>
              <w:rPr>
                <w:rFonts w:hint="eastAsia" w:ascii="宋体" w:hAnsi="宋体" w:cs="宋体"/>
                <w:szCs w:val="21"/>
              </w:rPr>
              <w:t>”的产品的，供应商的竞标货物必须使用政府强制采购的节能产品，竞标时须提供国家确定的认证机构出具的、处于有效期之内的有效的节能产品认证证书复印件并加盖供应商公章，否则响应文件作无效竞标处理。</w:t>
            </w:r>
          </w:p>
          <w:p w14:paraId="234862E8">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3、供应商在参与竞标报价前需仔细阅读项目采购的技术及商务要求，评估自身履约能力，谢绝恶意低价、不按要求报价、中标后无故放弃、不按合同履行等违约行为。对出现此类行为的成交供应商，将根据在线竞价违约处理规则，依法依规提请政采云平台进行处罚，并保留依法追究违约责任的权利，供应商的违约行为列入不良记录记入政府采购诚信档案。采购单位有权将在线询价单中的商务要求列入合同条款，否则有权拒签合同。</w:t>
            </w:r>
          </w:p>
          <w:p w14:paraId="72C7B0A5">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4、中标公示期内若有其他供应商质疑情况下，中标单位必须提供与标书技术要求及功能符合的样品一套至采购人处进行整体性能与标书文件核对，协助质疑答复。如出现所提供样品不符招标要求或无法提供样品，均视为虚假应标处理并根据招标法及标书要求追究法律责任。</w:t>
            </w:r>
          </w:p>
        </w:tc>
      </w:tr>
    </w:tbl>
    <w:p w14:paraId="579234A8">
      <w:pPr>
        <w:widowControl/>
        <w:spacing w:line="288" w:lineRule="auto"/>
        <w:jc w:val="left"/>
        <w:rPr>
          <w:rFonts w:hint="eastAsia" w:ascii="宋体" w:hAnsi="宋体" w:cs="宋体"/>
          <w:szCs w:val="21"/>
        </w:rPr>
      </w:pPr>
    </w:p>
    <w:p w14:paraId="3E626ABD">
      <w:r>
        <w:rPr>
          <w:rFonts w:hint="eastAsia"/>
        </w:rPr>
        <w:t>附件</w:t>
      </w:r>
    </w:p>
    <w:p w14:paraId="60A5A090">
      <w:pPr>
        <w:tabs>
          <w:tab w:val="left" w:pos="3479"/>
        </w:tabs>
        <w:spacing w:line="520" w:lineRule="exact"/>
        <w:jc w:val="center"/>
        <w:rPr>
          <w:rFonts w:hint="eastAsia" w:asciiTheme="minorEastAsia" w:hAnsiTheme="minorEastAsia" w:cstheme="minorEastAsia"/>
          <w:b/>
          <w:sz w:val="32"/>
          <w:szCs w:val="32"/>
        </w:rPr>
      </w:pPr>
      <w:r>
        <w:rPr>
          <w:rFonts w:hint="eastAsia" w:asciiTheme="minorEastAsia" w:hAnsiTheme="minorEastAsia" w:cstheme="minorEastAsia"/>
          <w:b/>
          <w:sz w:val="44"/>
          <w:szCs w:val="44"/>
        </w:rPr>
        <w:t>竞  标  报  价  表</w:t>
      </w:r>
    </w:p>
    <w:p w14:paraId="4D0D8E3A">
      <w:pPr>
        <w:spacing w:line="520" w:lineRule="exact"/>
        <w:jc w:val="center"/>
        <w:rPr>
          <w:rFonts w:hint="eastAsia" w:ascii="方正小标宋简体" w:hAnsi="方正小标宋简体" w:eastAsia="方正小标宋简体" w:cs="方正小标宋简体"/>
          <w:bCs/>
          <w:sz w:val="32"/>
          <w:szCs w:val="32"/>
        </w:rPr>
      </w:pPr>
    </w:p>
    <w:p w14:paraId="1C161FB7">
      <w:pPr>
        <w:snapToGrid w:val="0"/>
        <w:spacing w:line="360" w:lineRule="auto"/>
        <w:rPr>
          <w:rFonts w:hint="eastAsia" w:ascii="宋体" w:hAnsi="宋体" w:cs="仿宋_GB2312"/>
          <w:sz w:val="24"/>
        </w:rPr>
      </w:pPr>
      <w:r>
        <w:rPr>
          <w:rFonts w:hint="eastAsia" w:ascii="宋体" w:hAnsi="宋体" w:cs="仿宋_GB2312"/>
          <w:sz w:val="24"/>
        </w:rPr>
        <w:t>项目名称：                                                                                    单位：元</w:t>
      </w:r>
    </w:p>
    <w:tbl>
      <w:tblPr>
        <w:tblStyle w:val="8"/>
        <w:tblW w:w="145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8"/>
        <w:gridCol w:w="4343"/>
        <w:gridCol w:w="2865"/>
        <w:gridCol w:w="1050"/>
        <w:gridCol w:w="1590"/>
        <w:gridCol w:w="1445"/>
        <w:gridCol w:w="2383"/>
      </w:tblGrid>
      <w:tr w14:paraId="529E61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838" w:type="dxa"/>
            <w:tcBorders>
              <w:top w:val="single" w:color="auto" w:sz="4" w:space="0"/>
              <w:left w:val="single" w:color="auto" w:sz="4" w:space="0"/>
              <w:bottom w:val="single" w:color="auto" w:sz="4" w:space="0"/>
              <w:right w:val="single" w:color="auto" w:sz="4" w:space="0"/>
            </w:tcBorders>
            <w:vAlign w:val="center"/>
          </w:tcPr>
          <w:p w14:paraId="17CB5E63">
            <w:pPr>
              <w:spacing w:line="360" w:lineRule="exact"/>
              <w:jc w:val="center"/>
              <w:rPr>
                <w:rFonts w:hint="eastAsia" w:ascii="宋体" w:hAnsi="宋体" w:cs="仿宋_GB2312"/>
                <w:b/>
                <w:bCs/>
                <w:szCs w:val="21"/>
              </w:rPr>
            </w:pPr>
            <w:r>
              <w:rPr>
                <w:rFonts w:hint="eastAsia" w:ascii="宋体" w:hAnsi="宋体" w:cs="仿宋_GB2312"/>
                <w:b/>
                <w:bCs/>
                <w:szCs w:val="21"/>
              </w:rPr>
              <w:t>项号</w:t>
            </w:r>
          </w:p>
        </w:tc>
        <w:tc>
          <w:tcPr>
            <w:tcW w:w="4343" w:type="dxa"/>
            <w:tcBorders>
              <w:top w:val="single" w:color="auto" w:sz="4" w:space="0"/>
              <w:left w:val="single" w:color="auto" w:sz="4" w:space="0"/>
              <w:bottom w:val="single" w:color="auto" w:sz="4" w:space="0"/>
              <w:right w:val="single" w:color="auto" w:sz="4" w:space="0"/>
            </w:tcBorders>
            <w:vAlign w:val="center"/>
          </w:tcPr>
          <w:p w14:paraId="6FF0CA90">
            <w:pPr>
              <w:spacing w:line="360" w:lineRule="exact"/>
              <w:jc w:val="center"/>
              <w:rPr>
                <w:rFonts w:hint="eastAsia" w:ascii="宋体" w:hAnsi="宋体" w:cs="仿宋_GB2312"/>
                <w:b/>
                <w:bCs/>
                <w:szCs w:val="21"/>
              </w:rPr>
            </w:pPr>
            <w:r>
              <w:rPr>
                <w:rFonts w:hint="eastAsia" w:ascii="宋体" w:hAnsi="宋体" w:cs="仿宋_GB2312"/>
                <w:b/>
                <w:bCs/>
                <w:szCs w:val="21"/>
              </w:rPr>
              <w:t>货物名称</w:t>
            </w:r>
          </w:p>
        </w:tc>
        <w:tc>
          <w:tcPr>
            <w:tcW w:w="2865" w:type="dxa"/>
            <w:tcBorders>
              <w:top w:val="single" w:color="auto" w:sz="4" w:space="0"/>
              <w:left w:val="single" w:color="auto" w:sz="4" w:space="0"/>
              <w:bottom w:val="single" w:color="auto" w:sz="4" w:space="0"/>
              <w:right w:val="single" w:color="auto" w:sz="4" w:space="0"/>
            </w:tcBorders>
            <w:vAlign w:val="center"/>
          </w:tcPr>
          <w:p w14:paraId="0397E4E9">
            <w:pPr>
              <w:spacing w:line="360" w:lineRule="exact"/>
              <w:jc w:val="center"/>
              <w:rPr>
                <w:rFonts w:hint="eastAsia" w:ascii="宋体" w:hAnsi="宋体" w:cs="仿宋_GB2312"/>
                <w:b/>
                <w:bCs/>
                <w:szCs w:val="21"/>
              </w:rPr>
            </w:pPr>
            <w:r>
              <w:rPr>
                <w:rFonts w:hint="eastAsia" w:ascii="宋体" w:hAnsi="宋体" w:cs="仿宋_GB2312"/>
                <w:b/>
                <w:bCs/>
                <w:szCs w:val="21"/>
              </w:rPr>
              <w:t>品牌</w:t>
            </w:r>
          </w:p>
        </w:tc>
        <w:tc>
          <w:tcPr>
            <w:tcW w:w="1050" w:type="dxa"/>
            <w:tcBorders>
              <w:top w:val="single" w:color="auto" w:sz="4" w:space="0"/>
              <w:left w:val="single" w:color="auto" w:sz="4" w:space="0"/>
              <w:bottom w:val="single" w:color="auto" w:sz="4" w:space="0"/>
              <w:right w:val="single" w:color="auto" w:sz="4" w:space="0"/>
            </w:tcBorders>
            <w:vAlign w:val="center"/>
          </w:tcPr>
          <w:p w14:paraId="75357603">
            <w:pPr>
              <w:spacing w:line="360" w:lineRule="exact"/>
              <w:jc w:val="center"/>
              <w:rPr>
                <w:rFonts w:hint="eastAsia" w:ascii="宋体" w:hAnsi="宋体" w:cs="仿宋_GB2312"/>
                <w:b/>
                <w:bCs/>
                <w:szCs w:val="21"/>
              </w:rPr>
            </w:pPr>
            <w:r>
              <w:rPr>
                <w:rFonts w:hint="eastAsia" w:ascii="宋体" w:hAnsi="宋体" w:cs="仿宋_GB2312"/>
                <w:b/>
                <w:bCs/>
                <w:szCs w:val="21"/>
              </w:rPr>
              <w:t>单位</w:t>
            </w:r>
          </w:p>
        </w:tc>
        <w:tc>
          <w:tcPr>
            <w:tcW w:w="1590" w:type="dxa"/>
            <w:tcBorders>
              <w:top w:val="single" w:color="auto" w:sz="4" w:space="0"/>
              <w:left w:val="single" w:color="auto" w:sz="4" w:space="0"/>
              <w:bottom w:val="single" w:color="auto" w:sz="4" w:space="0"/>
              <w:right w:val="single" w:color="auto" w:sz="4" w:space="0"/>
            </w:tcBorders>
            <w:vAlign w:val="center"/>
          </w:tcPr>
          <w:p w14:paraId="1EFD5A36">
            <w:pPr>
              <w:spacing w:line="360" w:lineRule="exact"/>
              <w:jc w:val="center"/>
              <w:rPr>
                <w:rFonts w:hint="eastAsia" w:ascii="宋体" w:hAnsi="宋体" w:cs="仿宋_GB2312"/>
                <w:b/>
                <w:bCs/>
                <w:szCs w:val="21"/>
              </w:rPr>
            </w:pPr>
            <w:r>
              <w:rPr>
                <w:rFonts w:hint="eastAsia" w:ascii="宋体" w:hAnsi="宋体" w:cs="仿宋_GB2312"/>
                <w:b/>
                <w:bCs/>
                <w:szCs w:val="21"/>
              </w:rPr>
              <w:t>数量</w:t>
            </w:r>
          </w:p>
          <w:p w14:paraId="787A8CAD">
            <w:pPr>
              <w:spacing w:line="360" w:lineRule="exact"/>
              <w:jc w:val="center"/>
              <w:rPr>
                <w:rFonts w:hint="eastAsia" w:ascii="宋体" w:hAnsi="宋体" w:cs="仿宋_GB2312"/>
                <w:b/>
                <w:bCs/>
                <w:szCs w:val="21"/>
              </w:rPr>
            </w:pPr>
            <w:r>
              <w:rPr>
                <w:rFonts w:hint="eastAsia" w:ascii="宋体" w:hAnsi="宋体" w:cs="仿宋_GB2312"/>
                <w:b/>
                <w:bCs/>
                <w:szCs w:val="21"/>
              </w:rPr>
              <w:t>①</w:t>
            </w:r>
          </w:p>
        </w:tc>
        <w:tc>
          <w:tcPr>
            <w:tcW w:w="1445" w:type="dxa"/>
            <w:tcBorders>
              <w:top w:val="single" w:color="auto" w:sz="4" w:space="0"/>
              <w:left w:val="single" w:color="auto" w:sz="4" w:space="0"/>
              <w:bottom w:val="single" w:color="auto" w:sz="4" w:space="0"/>
              <w:right w:val="single" w:color="auto" w:sz="4" w:space="0"/>
            </w:tcBorders>
            <w:vAlign w:val="center"/>
          </w:tcPr>
          <w:p w14:paraId="1073B87E">
            <w:pPr>
              <w:spacing w:line="360" w:lineRule="exact"/>
              <w:jc w:val="center"/>
              <w:rPr>
                <w:rFonts w:hint="eastAsia" w:ascii="宋体" w:hAnsi="宋体" w:cs="仿宋_GB2312"/>
                <w:b/>
                <w:bCs/>
                <w:szCs w:val="21"/>
              </w:rPr>
            </w:pPr>
            <w:r>
              <w:rPr>
                <w:rFonts w:hint="eastAsia" w:ascii="宋体" w:hAnsi="宋体" w:cs="仿宋_GB2312"/>
                <w:b/>
                <w:bCs/>
                <w:szCs w:val="21"/>
              </w:rPr>
              <w:t>单价</w:t>
            </w:r>
          </w:p>
          <w:p w14:paraId="42798620">
            <w:pPr>
              <w:spacing w:line="360" w:lineRule="exact"/>
              <w:jc w:val="center"/>
              <w:rPr>
                <w:rFonts w:hint="eastAsia" w:ascii="宋体" w:hAnsi="宋体" w:cs="仿宋_GB2312"/>
                <w:b/>
                <w:bCs/>
                <w:szCs w:val="21"/>
              </w:rPr>
            </w:pPr>
            <w:r>
              <w:rPr>
                <w:rFonts w:hint="eastAsia" w:ascii="宋体" w:hAnsi="宋体" w:cs="仿宋_GB2312"/>
                <w:b/>
                <w:bCs/>
                <w:szCs w:val="21"/>
              </w:rPr>
              <w:t>②</w:t>
            </w:r>
          </w:p>
        </w:tc>
        <w:tc>
          <w:tcPr>
            <w:tcW w:w="2383" w:type="dxa"/>
            <w:tcBorders>
              <w:top w:val="single" w:color="auto" w:sz="4" w:space="0"/>
              <w:left w:val="single" w:color="auto" w:sz="4" w:space="0"/>
              <w:bottom w:val="single" w:color="auto" w:sz="4" w:space="0"/>
              <w:right w:val="single" w:color="auto" w:sz="4" w:space="0"/>
            </w:tcBorders>
            <w:vAlign w:val="center"/>
          </w:tcPr>
          <w:p w14:paraId="4B1B56FC">
            <w:pPr>
              <w:spacing w:line="360" w:lineRule="exact"/>
              <w:jc w:val="center"/>
              <w:rPr>
                <w:rFonts w:hint="eastAsia" w:ascii="宋体" w:hAnsi="宋体" w:cs="仿宋_GB2312"/>
                <w:b/>
                <w:bCs/>
                <w:szCs w:val="21"/>
              </w:rPr>
            </w:pPr>
            <w:r>
              <w:rPr>
                <w:rFonts w:hint="eastAsia" w:ascii="宋体" w:hAnsi="宋体" w:cs="仿宋_GB2312"/>
                <w:b/>
                <w:bCs/>
                <w:szCs w:val="21"/>
              </w:rPr>
              <w:t>竞标报价</w:t>
            </w:r>
          </w:p>
          <w:p w14:paraId="72E4E7D2">
            <w:pPr>
              <w:spacing w:line="360" w:lineRule="exact"/>
              <w:jc w:val="center"/>
              <w:rPr>
                <w:rFonts w:hint="eastAsia" w:ascii="宋体" w:hAnsi="宋体" w:cs="仿宋_GB2312"/>
                <w:b/>
                <w:bCs/>
                <w:szCs w:val="21"/>
              </w:rPr>
            </w:pPr>
            <w:r>
              <w:rPr>
                <w:rFonts w:hint="eastAsia" w:ascii="宋体" w:hAnsi="宋体" w:cs="仿宋_GB2312"/>
                <w:b/>
                <w:bCs/>
                <w:szCs w:val="21"/>
              </w:rPr>
              <w:t>③=①×②</w:t>
            </w:r>
          </w:p>
        </w:tc>
      </w:tr>
      <w:tr w14:paraId="73C8AA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21028E75">
            <w:pPr>
              <w:spacing w:line="360" w:lineRule="auto"/>
              <w:jc w:val="center"/>
              <w:rPr>
                <w:rFonts w:hint="eastAsia" w:ascii="宋体" w:hAnsi="宋体" w:cs="仿宋_GB2312"/>
                <w:szCs w:val="21"/>
              </w:rPr>
            </w:pPr>
            <w:r>
              <w:rPr>
                <w:rFonts w:hint="eastAsia" w:ascii="宋体" w:hAnsi="宋体" w:cs="仿宋_GB2312"/>
                <w:szCs w:val="21"/>
              </w:rPr>
              <w:t>1</w:t>
            </w:r>
          </w:p>
        </w:tc>
        <w:tc>
          <w:tcPr>
            <w:tcW w:w="4343" w:type="dxa"/>
            <w:tcBorders>
              <w:top w:val="single" w:color="auto" w:sz="4" w:space="0"/>
              <w:left w:val="single" w:color="auto" w:sz="4" w:space="0"/>
              <w:bottom w:val="single" w:color="auto" w:sz="4" w:space="0"/>
              <w:right w:val="single" w:color="auto" w:sz="4" w:space="0"/>
            </w:tcBorders>
            <w:vAlign w:val="center"/>
          </w:tcPr>
          <w:p w14:paraId="7A1FDE31">
            <w:pPr>
              <w:spacing w:line="360" w:lineRule="auto"/>
              <w:jc w:val="center"/>
              <w:rPr>
                <w:rFonts w:hint="eastAsia" w:ascii="宋体" w:hAnsi="宋体" w:cs="仿宋_GB2312"/>
                <w:szCs w:val="21"/>
              </w:rPr>
            </w:pPr>
          </w:p>
        </w:tc>
        <w:tc>
          <w:tcPr>
            <w:tcW w:w="2865" w:type="dxa"/>
            <w:tcBorders>
              <w:top w:val="single" w:color="auto" w:sz="4" w:space="0"/>
              <w:left w:val="single" w:color="auto" w:sz="4" w:space="0"/>
              <w:bottom w:val="single" w:color="auto" w:sz="4" w:space="0"/>
              <w:right w:val="single" w:color="auto" w:sz="4" w:space="0"/>
            </w:tcBorders>
            <w:vAlign w:val="center"/>
          </w:tcPr>
          <w:p w14:paraId="339BE6C7">
            <w:pPr>
              <w:spacing w:line="360" w:lineRule="auto"/>
              <w:jc w:val="center"/>
              <w:rPr>
                <w:rFonts w:hint="eastAsia" w:ascii="宋体" w:hAnsi="宋体" w:cs="仿宋_GB2312"/>
                <w:szCs w:val="21"/>
              </w:rPr>
            </w:pPr>
          </w:p>
        </w:tc>
        <w:tc>
          <w:tcPr>
            <w:tcW w:w="1050" w:type="dxa"/>
            <w:tcBorders>
              <w:top w:val="single" w:color="auto" w:sz="4" w:space="0"/>
              <w:left w:val="single" w:color="auto" w:sz="4" w:space="0"/>
              <w:bottom w:val="single" w:color="auto" w:sz="4" w:space="0"/>
              <w:right w:val="single" w:color="auto" w:sz="4" w:space="0"/>
            </w:tcBorders>
            <w:vAlign w:val="center"/>
          </w:tcPr>
          <w:p w14:paraId="7EF12633">
            <w:pPr>
              <w:spacing w:line="360" w:lineRule="exact"/>
              <w:jc w:val="center"/>
              <w:rPr>
                <w:rFonts w:hint="eastAsia" w:ascii="宋体" w:hAnsi="宋体" w:cs="仿宋_GB2312"/>
                <w:b/>
                <w:bCs/>
                <w:szCs w:val="21"/>
              </w:rPr>
            </w:pPr>
            <w:r>
              <w:rPr>
                <w:rFonts w:hint="eastAsia" w:ascii="宋体" w:hAnsi="宋体" w:cs="仿宋_GB2312"/>
                <w:b/>
                <w:bCs/>
                <w:szCs w:val="21"/>
              </w:rPr>
              <w:t>套</w:t>
            </w:r>
          </w:p>
        </w:tc>
        <w:tc>
          <w:tcPr>
            <w:tcW w:w="1590" w:type="dxa"/>
            <w:tcBorders>
              <w:top w:val="single" w:color="auto" w:sz="4" w:space="0"/>
              <w:left w:val="single" w:color="auto" w:sz="4" w:space="0"/>
              <w:bottom w:val="single" w:color="auto" w:sz="4" w:space="0"/>
              <w:right w:val="single" w:color="auto" w:sz="4" w:space="0"/>
            </w:tcBorders>
            <w:vAlign w:val="center"/>
          </w:tcPr>
          <w:p w14:paraId="04535E6E">
            <w:pPr>
              <w:spacing w:line="360" w:lineRule="exact"/>
              <w:jc w:val="center"/>
              <w:rPr>
                <w:rFonts w:hint="eastAsia" w:ascii="宋体" w:hAnsi="宋体" w:cs="仿宋_GB2312"/>
                <w:b/>
                <w:bCs/>
                <w:szCs w:val="21"/>
              </w:rPr>
            </w:pPr>
            <w:r>
              <w:rPr>
                <w:rFonts w:hint="eastAsia" w:ascii="宋体" w:hAnsi="宋体" w:cs="仿宋_GB2312"/>
                <w:b/>
                <w:bCs/>
                <w:szCs w:val="21"/>
              </w:rPr>
              <w:t>1</w:t>
            </w:r>
          </w:p>
        </w:tc>
        <w:tc>
          <w:tcPr>
            <w:tcW w:w="1445" w:type="dxa"/>
            <w:tcBorders>
              <w:top w:val="single" w:color="auto" w:sz="4" w:space="0"/>
              <w:left w:val="single" w:color="auto" w:sz="4" w:space="0"/>
              <w:bottom w:val="single" w:color="auto" w:sz="4" w:space="0"/>
              <w:right w:val="single" w:color="auto" w:sz="4" w:space="0"/>
            </w:tcBorders>
            <w:vAlign w:val="center"/>
          </w:tcPr>
          <w:p w14:paraId="0D5A44A8">
            <w:pPr>
              <w:spacing w:line="360" w:lineRule="auto"/>
              <w:jc w:val="center"/>
              <w:rPr>
                <w:rFonts w:hint="eastAsia" w:ascii="宋体" w:hAnsi="宋体" w:cs="仿宋_GB2312"/>
                <w:szCs w:val="21"/>
              </w:rPr>
            </w:pPr>
          </w:p>
        </w:tc>
        <w:tc>
          <w:tcPr>
            <w:tcW w:w="2383" w:type="dxa"/>
            <w:tcBorders>
              <w:top w:val="single" w:color="auto" w:sz="4" w:space="0"/>
              <w:left w:val="single" w:color="auto" w:sz="4" w:space="0"/>
              <w:bottom w:val="single" w:color="auto" w:sz="4" w:space="0"/>
              <w:right w:val="single" w:color="auto" w:sz="4" w:space="0"/>
            </w:tcBorders>
            <w:vAlign w:val="center"/>
          </w:tcPr>
          <w:p w14:paraId="5B089854">
            <w:pPr>
              <w:spacing w:line="360" w:lineRule="auto"/>
              <w:jc w:val="center"/>
              <w:rPr>
                <w:rFonts w:hint="eastAsia" w:ascii="宋体" w:hAnsi="宋体" w:cs="仿宋_GB2312"/>
                <w:szCs w:val="21"/>
              </w:rPr>
            </w:pPr>
          </w:p>
        </w:tc>
      </w:tr>
      <w:tr w14:paraId="6262DE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743A395D">
            <w:pPr>
              <w:spacing w:line="360" w:lineRule="auto"/>
              <w:jc w:val="center"/>
              <w:rPr>
                <w:rFonts w:hint="eastAsia" w:ascii="宋体" w:hAnsi="宋体" w:cs="仿宋_GB2312"/>
                <w:szCs w:val="21"/>
              </w:rPr>
            </w:pPr>
            <w:r>
              <w:rPr>
                <w:rFonts w:hint="eastAsia" w:ascii="宋体" w:hAnsi="宋体" w:cs="仿宋_GB2312"/>
                <w:szCs w:val="21"/>
              </w:rPr>
              <w:t>2</w:t>
            </w:r>
          </w:p>
        </w:tc>
        <w:tc>
          <w:tcPr>
            <w:tcW w:w="4343" w:type="dxa"/>
            <w:tcBorders>
              <w:top w:val="single" w:color="auto" w:sz="4" w:space="0"/>
              <w:left w:val="single" w:color="auto" w:sz="4" w:space="0"/>
              <w:bottom w:val="single" w:color="auto" w:sz="4" w:space="0"/>
              <w:right w:val="single" w:color="auto" w:sz="4" w:space="0"/>
            </w:tcBorders>
            <w:vAlign w:val="center"/>
          </w:tcPr>
          <w:p w14:paraId="78B7AC7A">
            <w:pPr>
              <w:spacing w:line="360" w:lineRule="auto"/>
              <w:jc w:val="center"/>
              <w:rPr>
                <w:rFonts w:hint="eastAsia" w:ascii="宋体" w:hAnsi="宋体" w:cs="仿宋_GB2312"/>
                <w:szCs w:val="21"/>
              </w:rPr>
            </w:pPr>
          </w:p>
        </w:tc>
        <w:tc>
          <w:tcPr>
            <w:tcW w:w="2865" w:type="dxa"/>
            <w:tcBorders>
              <w:top w:val="single" w:color="auto" w:sz="4" w:space="0"/>
              <w:left w:val="single" w:color="auto" w:sz="4" w:space="0"/>
              <w:bottom w:val="single" w:color="auto" w:sz="4" w:space="0"/>
              <w:right w:val="single" w:color="auto" w:sz="4" w:space="0"/>
            </w:tcBorders>
            <w:vAlign w:val="center"/>
          </w:tcPr>
          <w:p w14:paraId="3960C2BA">
            <w:pPr>
              <w:spacing w:line="360" w:lineRule="auto"/>
              <w:jc w:val="center"/>
              <w:rPr>
                <w:rFonts w:hint="eastAsia" w:ascii="宋体" w:hAnsi="宋体" w:cs="仿宋_GB2312"/>
                <w:szCs w:val="21"/>
              </w:rPr>
            </w:pPr>
          </w:p>
        </w:tc>
        <w:tc>
          <w:tcPr>
            <w:tcW w:w="1050" w:type="dxa"/>
            <w:tcBorders>
              <w:top w:val="single" w:color="auto" w:sz="4" w:space="0"/>
              <w:left w:val="single" w:color="auto" w:sz="4" w:space="0"/>
              <w:bottom w:val="single" w:color="auto" w:sz="4" w:space="0"/>
              <w:right w:val="single" w:color="auto" w:sz="4" w:space="0"/>
            </w:tcBorders>
            <w:vAlign w:val="center"/>
          </w:tcPr>
          <w:p w14:paraId="501B1D88">
            <w:pPr>
              <w:spacing w:line="360" w:lineRule="exact"/>
              <w:jc w:val="center"/>
              <w:rPr>
                <w:rFonts w:hint="eastAsia" w:ascii="宋体" w:hAnsi="宋体" w:cs="仿宋_GB2312"/>
                <w:b/>
                <w:bCs/>
                <w:szCs w:val="21"/>
              </w:rPr>
            </w:pPr>
          </w:p>
        </w:tc>
        <w:tc>
          <w:tcPr>
            <w:tcW w:w="1590" w:type="dxa"/>
            <w:tcBorders>
              <w:top w:val="single" w:color="auto" w:sz="4" w:space="0"/>
              <w:left w:val="single" w:color="auto" w:sz="4" w:space="0"/>
              <w:bottom w:val="single" w:color="auto" w:sz="4" w:space="0"/>
              <w:right w:val="single" w:color="auto" w:sz="4" w:space="0"/>
            </w:tcBorders>
            <w:vAlign w:val="center"/>
          </w:tcPr>
          <w:p w14:paraId="3B48BA95">
            <w:pPr>
              <w:spacing w:line="360" w:lineRule="exact"/>
              <w:jc w:val="center"/>
              <w:rPr>
                <w:rFonts w:hint="eastAsia" w:ascii="宋体" w:hAnsi="宋体" w:cs="仿宋_GB2312"/>
                <w:b/>
                <w:bCs/>
                <w:szCs w:val="21"/>
              </w:rPr>
            </w:pPr>
          </w:p>
        </w:tc>
        <w:tc>
          <w:tcPr>
            <w:tcW w:w="1445" w:type="dxa"/>
            <w:tcBorders>
              <w:top w:val="single" w:color="auto" w:sz="4" w:space="0"/>
              <w:left w:val="single" w:color="auto" w:sz="4" w:space="0"/>
              <w:bottom w:val="single" w:color="auto" w:sz="4" w:space="0"/>
              <w:right w:val="single" w:color="auto" w:sz="4" w:space="0"/>
            </w:tcBorders>
            <w:vAlign w:val="center"/>
          </w:tcPr>
          <w:p w14:paraId="702AA73D">
            <w:pPr>
              <w:spacing w:line="360" w:lineRule="auto"/>
              <w:jc w:val="center"/>
              <w:rPr>
                <w:rFonts w:hint="eastAsia" w:ascii="宋体" w:hAnsi="宋体" w:cs="仿宋_GB2312"/>
                <w:szCs w:val="21"/>
              </w:rPr>
            </w:pPr>
          </w:p>
        </w:tc>
        <w:tc>
          <w:tcPr>
            <w:tcW w:w="2383" w:type="dxa"/>
            <w:tcBorders>
              <w:top w:val="single" w:color="auto" w:sz="4" w:space="0"/>
              <w:left w:val="single" w:color="auto" w:sz="4" w:space="0"/>
              <w:bottom w:val="single" w:color="auto" w:sz="4" w:space="0"/>
              <w:right w:val="single" w:color="auto" w:sz="4" w:space="0"/>
            </w:tcBorders>
            <w:vAlign w:val="center"/>
          </w:tcPr>
          <w:p w14:paraId="2F5EC972">
            <w:pPr>
              <w:spacing w:line="360" w:lineRule="auto"/>
              <w:jc w:val="center"/>
              <w:rPr>
                <w:rFonts w:hint="eastAsia" w:ascii="宋体" w:hAnsi="宋体" w:cs="仿宋_GB2312"/>
                <w:szCs w:val="21"/>
              </w:rPr>
            </w:pPr>
          </w:p>
        </w:tc>
      </w:tr>
      <w:tr w14:paraId="2D73B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06055889">
            <w:pPr>
              <w:spacing w:line="360" w:lineRule="auto"/>
              <w:jc w:val="center"/>
              <w:rPr>
                <w:rFonts w:hint="eastAsia" w:ascii="宋体" w:hAnsi="宋体" w:cs="仿宋_GB2312"/>
                <w:szCs w:val="21"/>
              </w:rPr>
            </w:pPr>
            <w:r>
              <w:rPr>
                <w:rFonts w:hint="eastAsia" w:ascii="宋体" w:hAnsi="宋体" w:cs="仿宋_GB2312"/>
                <w:szCs w:val="21"/>
              </w:rPr>
              <w:t>…</w:t>
            </w:r>
          </w:p>
        </w:tc>
        <w:tc>
          <w:tcPr>
            <w:tcW w:w="4343" w:type="dxa"/>
            <w:tcBorders>
              <w:top w:val="single" w:color="auto" w:sz="4" w:space="0"/>
              <w:left w:val="single" w:color="auto" w:sz="4" w:space="0"/>
              <w:bottom w:val="single" w:color="auto" w:sz="4" w:space="0"/>
              <w:right w:val="single" w:color="auto" w:sz="4" w:space="0"/>
            </w:tcBorders>
            <w:vAlign w:val="center"/>
          </w:tcPr>
          <w:p w14:paraId="16223067">
            <w:pPr>
              <w:spacing w:line="360" w:lineRule="auto"/>
              <w:jc w:val="center"/>
              <w:rPr>
                <w:rFonts w:hint="eastAsia" w:ascii="宋体" w:hAnsi="宋体" w:cs="仿宋_GB2312"/>
                <w:szCs w:val="21"/>
              </w:rPr>
            </w:pPr>
            <w:r>
              <w:rPr>
                <w:rFonts w:hint="eastAsia" w:ascii="宋体" w:hAnsi="宋体" w:cs="仿宋_GB2312"/>
                <w:szCs w:val="21"/>
              </w:rPr>
              <w:t>……</w:t>
            </w:r>
          </w:p>
        </w:tc>
        <w:tc>
          <w:tcPr>
            <w:tcW w:w="2865" w:type="dxa"/>
            <w:tcBorders>
              <w:top w:val="single" w:color="auto" w:sz="4" w:space="0"/>
              <w:left w:val="single" w:color="auto" w:sz="4" w:space="0"/>
              <w:bottom w:val="single" w:color="auto" w:sz="4" w:space="0"/>
              <w:right w:val="single" w:color="auto" w:sz="4" w:space="0"/>
            </w:tcBorders>
            <w:vAlign w:val="center"/>
          </w:tcPr>
          <w:p w14:paraId="38A78E79">
            <w:pPr>
              <w:spacing w:line="360" w:lineRule="auto"/>
              <w:jc w:val="center"/>
              <w:rPr>
                <w:rFonts w:hint="eastAsia" w:ascii="宋体" w:hAnsi="宋体" w:cs="仿宋_GB2312"/>
                <w:szCs w:val="21"/>
              </w:rPr>
            </w:pPr>
          </w:p>
        </w:tc>
        <w:tc>
          <w:tcPr>
            <w:tcW w:w="1050" w:type="dxa"/>
            <w:tcBorders>
              <w:top w:val="single" w:color="auto" w:sz="4" w:space="0"/>
              <w:left w:val="single" w:color="auto" w:sz="4" w:space="0"/>
              <w:bottom w:val="single" w:color="auto" w:sz="4" w:space="0"/>
              <w:right w:val="single" w:color="auto" w:sz="4" w:space="0"/>
            </w:tcBorders>
            <w:vAlign w:val="center"/>
          </w:tcPr>
          <w:p w14:paraId="0F11947F">
            <w:pPr>
              <w:spacing w:line="360" w:lineRule="exact"/>
              <w:jc w:val="center"/>
              <w:rPr>
                <w:rFonts w:hint="eastAsia" w:ascii="宋体" w:hAnsi="宋体" w:cs="仿宋_GB2312"/>
                <w:b/>
                <w:bCs/>
                <w:szCs w:val="21"/>
              </w:rPr>
            </w:pPr>
          </w:p>
        </w:tc>
        <w:tc>
          <w:tcPr>
            <w:tcW w:w="1590" w:type="dxa"/>
            <w:tcBorders>
              <w:top w:val="single" w:color="auto" w:sz="4" w:space="0"/>
              <w:left w:val="single" w:color="auto" w:sz="4" w:space="0"/>
              <w:bottom w:val="single" w:color="auto" w:sz="4" w:space="0"/>
              <w:right w:val="single" w:color="auto" w:sz="4" w:space="0"/>
            </w:tcBorders>
            <w:vAlign w:val="center"/>
          </w:tcPr>
          <w:p w14:paraId="307A8C20">
            <w:pPr>
              <w:spacing w:line="360" w:lineRule="exact"/>
              <w:jc w:val="center"/>
              <w:rPr>
                <w:rFonts w:hint="eastAsia" w:ascii="宋体" w:hAnsi="宋体" w:cs="仿宋_GB2312"/>
                <w:b/>
                <w:bCs/>
                <w:szCs w:val="21"/>
              </w:rPr>
            </w:pPr>
          </w:p>
        </w:tc>
        <w:tc>
          <w:tcPr>
            <w:tcW w:w="1445" w:type="dxa"/>
            <w:tcBorders>
              <w:top w:val="single" w:color="auto" w:sz="4" w:space="0"/>
              <w:left w:val="single" w:color="auto" w:sz="4" w:space="0"/>
              <w:bottom w:val="single" w:color="auto" w:sz="4" w:space="0"/>
              <w:right w:val="single" w:color="auto" w:sz="4" w:space="0"/>
            </w:tcBorders>
            <w:vAlign w:val="center"/>
          </w:tcPr>
          <w:p w14:paraId="685E861C">
            <w:pPr>
              <w:spacing w:line="360" w:lineRule="auto"/>
              <w:jc w:val="center"/>
              <w:rPr>
                <w:rFonts w:hint="eastAsia" w:ascii="宋体" w:hAnsi="宋体" w:cs="仿宋_GB2312"/>
                <w:szCs w:val="21"/>
              </w:rPr>
            </w:pPr>
          </w:p>
        </w:tc>
        <w:tc>
          <w:tcPr>
            <w:tcW w:w="2383" w:type="dxa"/>
            <w:tcBorders>
              <w:top w:val="single" w:color="auto" w:sz="4" w:space="0"/>
              <w:left w:val="single" w:color="auto" w:sz="4" w:space="0"/>
              <w:bottom w:val="single" w:color="auto" w:sz="4" w:space="0"/>
              <w:right w:val="single" w:color="auto" w:sz="4" w:space="0"/>
            </w:tcBorders>
            <w:vAlign w:val="center"/>
          </w:tcPr>
          <w:p w14:paraId="0D4BBBE3">
            <w:pPr>
              <w:spacing w:line="360" w:lineRule="auto"/>
              <w:jc w:val="center"/>
              <w:rPr>
                <w:rFonts w:hint="eastAsia" w:ascii="宋体" w:hAnsi="宋体" w:cs="仿宋_GB2312"/>
                <w:szCs w:val="21"/>
              </w:rPr>
            </w:pPr>
          </w:p>
        </w:tc>
      </w:tr>
      <w:tr w14:paraId="4E61E8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4ABB277F">
            <w:pPr>
              <w:spacing w:line="360" w:lineRule="auto"/>
              <w:jc w:val="center"/>
              <w:rPr>
                <w:rFonts w:hint="eastAsia" w:ascii="宋体" w:hAnsi="宋体" w:cs="仿宋_GB2312"/>
                <w:szCs w:val="21"/>
              </w:rPr>
            </w:pPr>
            <w:r>
              <w:rPr>
                <w:rFonts w:hint="eastAsia" w:ascii="宋体" w:hAnsi="宋体" w:cs="仿宋_GB2312"/>
                <w:szCs w:val="21"/>
              </w:rPr>
              <w:t>…</w:t>
            </w:r>
          </w:p>
        </w:tc>
        <w:tc>
          <w:tcPr>
            <w:tcW w:w="4343" w:type="dxa"/>
            <w:tcBorders>
              <w:top w:val="single" w:color="auto" w:sz="4" w:space="0"/>
              <w:left w:val="single" w:color="auto" w:sz="4" w:space="0"/>
              <w:bottom w:val="single" w:color="auto" w:sz="4" w:space="0"/>
              <w:right w:val="single" w:color="auto" w:sz="4" w:space="0"/>
            </w:tcBorders>
            <w:vAlign w:val="center"/>
          </w:tcPr>
          <w:p w14:paraId="08E70ABB">
            <w:pPr>
              <w:spacing w:line="360" w:lineRule="auto"/>
              <w:jc w:val="center"/>
              <w:rPr>
                <w:rFonts w:hint="eastAsia" w:ascii="宋体" w:hAnsi="宋体" w:cs="仿宋_GB2312"/>
                <w:szCs w:val="21"/>
              </w:rPr>
            </w:pPr>
            <w:r>
              <w:rPr>
                <w:rFonts w:hint="eastAsia" w:ascii="宋体" w:hAnsi="宋体" w:cs="仿宋_GB2312"/>
                <w:szCs w:val="21"/>
              </w:rPr>
              <w:t>……</w:t>
            </w:r>
          </w:p>
        </w:tc>
        <w:tc>
          <w:tcPr>
            <w:tcW w:w="2865" w:type="dxa"/>
            <w:tcBorders>
              <w:top w:val="single" w:color="auto" w:sz="4" w:space="0"/>
              <w:left w:val="single" w:color="auto" w:sz="4" w:space="0"/>
              <w:bottom w:val="single" w:color="auto" w:sz="4" w:space="0"/>
              <w:right w:val="single" w:color="auto" w:sz="4" w:space="0"/>
            </w:tcBorders>
            <w:vAlign w:val="center"/>
          </w:tcPr>
          <w:p w14:paraId="22936860">
            <w:pPr>
              <w:spacing w:line="360" w:lineRule="auto"/>
              <w:jc w:val="center"/>
              <w:rPr>
                <w:rFonts w:hint="eastAsia" w:ascii="宋体" w:hAnsi="宋体" w:cs="仿宋_GB2312"/>
                <w:szCs w:val="21"/>
              </w:rPr>
            </w:pPr>
          </w:p>
        </w:tc>
        <w:tc>
          <w:tcPr>
            <w:tcW w:w="1050" w:type="dxa"/>
            <w:tcBorders>
              <w:top w:val="single" w:color="auto" w:sz="4" w:space="0"/>
              <w:left w:val="single" w:color="auto" w:sz="4" w:space="0"/>
              <w:bottom w:val="single" w:color="auto" w:sz="4" w:space="0"/>
              <w:right w:val="single" w:color="auto" w:sz="4" w:space="0"/>
            </w:tcBorders>
            <w:vAlign w:val="center"/>
          </w:tcPr>
          <w:p w14:paraId="0C17E672">
            <w:pPr>
              <w:spacing w:line="360" w:lineRule="exact"/>
              <w:jc w:val="center"/>
              <w:rPr>
                <w:rFonts w:hint="eastAsia" w:ascii="宋体" w:hAnsi="宋体" w:cs="仿宋_GB2312"/>
                <w:b/>
                <w:bCs/>
                <w:szCs w:val="21"/>
              </w:rPr>
            </w:pPr>
          </w:p>
        </w:tc>
        <w:tc>
          <w:tcPr>
            <w:tcW w:w="1590" w:type="dxa"/>
            <w:tcBorders>
              <w:top w:val="single" w:color="auto" w:sz="4" w:space="0"/>
              <w:left w:val="single" w:color="auto" w:sz="4" w:space="0"/>
              <w:bottom w:val="single" w:color="auto" w:sz="4" w:space="0"/>
              <w:right w:val="single" w:color="auto" w:sz="4" w:space="0"/>
            </w:tcBorders>
            <w:vAlign w:val="center"/>
          </w:tcPr>
          <w:p w14:paraId="0BF06667">
            <w:pPr>
              <w:spacing w:line="360" w:lineRule="exact"/>
              <w:jc w:val="center"/>
              <w:rPr>
                <w:rFonts w:hint="eastAsia" w:ascii="宋体" w:hAnsi="宋体" w:cs="仿宋_GB2312"/>
                <w:b/>
                <w:bCs/>
                <w:szCs w:val="21"/>
              </w:rPr>
            </w:pPr>
          </w:p>
        </w:tc>
        <w:tc>
          <w:tcPr>
            <w:tcW w:w="1445" w:type="dxa"/>
            <w:tcBorders>
              <w:top w:val="single" w:color="auto" w:sz="4" w:space="0"/>
              <w:left w:val="single" w:color="auto" w:sz="4" w:space="0"/>
              <w:bottom w:val="single" w:color="auto" w:sz="4" w:space="0"/>
              <w:right w:val="single" w:color="auto" w:sz="4" w:space="0"/>
            </w:tcBorders>
            <w:vAlign w:val="center"/>
          </w:tcPr>
          <w:p w14:paraId="20953FBB">
            <w:pPr>
              <w:spacing w:line="360" w:lineRule="auto"/>
              <w:jc w:val="center"/>
              <w:rPr>
                <w:rFonts w:hint="eastAsia" w:ascii="宋体" w:hAnsi="宋体" w:cs="仿宋_GB2312"/>
                <w:szCs w:val="21"/>
              </w:rPr>
            </w:pPr>
          </w:p>
        </w:tc>
        <w:tc>
          <w:tcPr>
            <w:tcW w:w="2383" w:type="dxa"/>
            <w:tcBorders>
              <w:top w:val="single" w:color="auto" w:sz="4" w:space="0"/>
              <w:left w:val="single" w:color="auto" w:sz="4" w:space="0"/>
              <w:bottom w:val="single" w:color="auto" w:sz="4" w:space="0"/>
              <w:right w:val="single" w:color="auto" w:sz="4" w:space="0"/>
            </w:tcBorders>
            <w:vAlign w:val="center"/>
          </w:tcPr>
          <w:p w14:paraId="18BAB942">
            <w:pPr>
              <w:spacing w:line="360" w:lineRule="auto"/>
              <w:jc w:val="center"/>
              <w:rPr>
                <w:rFonts w:hint="eastAsia" w:ascii="宋体" w:hAnsi="宋体" w:cs="仿宋_GB2312"/>
                <w:szCs w:val="21"/>
              </w:rPr>
            </w:pPr>
          </w:p>
        </w:tc>
      </w:tr>
      <w:tr w14:paraId="6853EF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4514" w:type="dxa"/>
            <w:gridSpan w:val="7"/>
            <w:tcBorders>
              <w:top w:val="single" w:color="auto" w:sz="4" w:space="0"/>
              <w:left w:val="single" w:color="auto" w:sz="4" w:space="0"/>
              <w:bottom w:val="single" w:color="auto" w:sz="4" w:space="0"/>
              <w:right w:val="single" w:color="auto" w:sz="4" w:space="0"/>
            </w:tcBorders>
            <w:vAlign w:val="center"/>
          </w:tcPr>
          <w:p w14:paraId="1D0F2039">
            <w:pPr>
              <w:snapToGrid w:val="0"/>
              <w:spacing w:line="360" w:lineRule="auto"/>
              <w:rPr>
                <w:rFonts w:hint="eastAsia" w:ascii="宋体" w:hAnsi="宋体" w:cs="仿宋_GB2312"/>
                <w:szCs w:val="21"/>
                <w:u w:val="single"/>
              </w:rPr>
            </w:pPr>
            <w:r>
              <w:rPr>
                <w:rFonts w:hint="eastAsia" w:ascii="宋体" w:hAnsi="宋体" w:cs="仿宋_GB2312"/>
                <w:szCs w:val="21"/>
              </w:rPr>
              <w:t>合计金额大写：人民币      （</w:t>
            </w:r>
            <w:r>
              <w:rPr>
                <w:rFonts w:hint="eastAsia" w:ascii="宋体" w:hAnsi="宋体" w:cs="宋体"/>
                <w:szCs w:val="21"/>
              </w:rPr>
              <w:t>￥</w:t>
            </w:r>
            <w:r>
              <w:rPr>
                <w:rFonts w:hint="eastAsia" w:ascii="宋体" w:hAnsi="宋体" w:cs="仿宋_GB2312"/>
                <w:szCs w:val="21"/>
              </w:rPr>
              <w:t>：   ）</w:t>
            </w:r>
          </w:p>
        </w:tc>
      </w:tr>
    </w:tbl>
    <w:p w14:paraId="7720247B">
      <w:pPr>
        <w:spacing w:line="360" w:lineRule="exact"/>
        <w:ind w:firstLine="420" w:firstLineChars="200"/>
        <w:contextualSpacing/>
        <w:rPr>
          <w:rFonts w:hint="eastAsia" w:ascii="宋体" w:hAnsi="宋体"/>
          <w:szCs w:val="21"/>
        </w:rPr>
      </w:pPr>
      <w:r>
        <w:rPr>
          <w:rFonts w:hint="eastAsia" w:ascii="宋体" w:hAnsi="宋体"/>
          <w:szCs w:val="21"/>
        </w:rPr>
        <w:t>注: 1.所有价格均用人民币表示，单位为元，精确到小数点后两数位。</w:t>
      </w:r>
    </w:p>
    <w:p w14:paraId="27247D31">
      <w:pPr>
        <w:spacing w:line="360" w:lineRule="exact"/>
        <w:ind w:firstLine="840" w:firstLineChars="400"/>
        <w:contextualSpacing/>
        <w:rPr>
          <w:rFonts w:hint="eastAsia" w:ascii="宋体" w:hAnsi="宋体"/>
          <w:szCs w:val="21"/>
        </w:rPr>
      </w:pPr>
      <w:r>
        <w:rPr>
          <w:rFonts w:hint="eastAsia" w:ascii="宋体" w:hAnsi="宋体"/>
          <w:szCs w:val="21"/>
        </w:rPr>
        <w:t>2、供应商的报价表必须加盖供应商公章并由法定代表人或者委托代理人签字，否则其响应文件按无效响应处理。</w:t>
      </w:r>
    </w:p>
    <w:p w14:paraId="3DE39A0A">
      <w:pPr>
        <w:spacing w:line="360" w:lineRule="exact"/>
        <w:ind w:firstLine="840" w:firstLineChars="400"/>
        <w:contextualSpacing/>
        <w:rPr>
          <w:rFonts w:hint="eastAsia" w:ascii="宋体" w:hAnsi="宋体"/>
          <w:szCs w:val="21"/>
        </w:rPr>
      </w:pPr>
      <w:r>
        <w:rPr>
          <w:rFonts w:hint="eastAsia" w:ascii="宋体" w:hAnsi="宋体"/>
          <w:szCs w:val="21"/>
        </w:rPr>
        <w:t>3、报价一经涂改，应在涂改处加盖供应商公章或者由法定代表人或者授权委托人签字或者盖章，否则其响应文件按无效响应处理。</w:t>
      </w:r>
    </w:p>
    <w:p w14:paraId="5F995848">
      <w:pPr>
        <w:spacing w:line="360" w:lineRule="exact"/>
        <w:contextualSpacing/>
        <w:rPr>
          <w:rFonts w:hint="eastAsia" w:ascii="宋体" w:hAnsi="宋体"/>
          <w:szCs w:val="21"/>
        </w:rPr>
      </w:pPr>
    </w:p>
    <w:p w14:paraId="18DCBC84">
      <w:pPr>
        <w:spacing w:line="360" w:lineRule="auto"/>
        <w:ind w:right="-817" w:rightChars="-389" w:firstLine="5460" w:firstLineChars="2600"/>
        <w:contextualSpacing/>
        <w:rPr>
          <w:rFonts w:hint="eastAsia" w:ascii="宋体" w:hAnsi="宋体" w:cs="仿宋_GB2312"/>
          <w:szCs w:val="21"/>
        </w:rPr>
      </w:pPr>
      <w:r>
        <w:rPr>
          <w:rFonts w:hint="eastAsia" w:ascii="宋体" w:hAnsi="宋体" w:cs="仿宋_GB2312"/>
          <w:szCs w:val="21"/>
        </w:rPr>
        <w:t xml:space="preserve">法定代表人或者委托代理人（签字）：                    </w:t>
      </w:r>
    </w:p>
    <w:p w14:paraId="6738DF2E">
      <w:pPr>
        <w:spacing w:line="360" w:lineRule="auto"/>
        <w:ind w:right="-817" w:rightChars="-389" w:firstLine="7140" w:firstLineChars="3400"/>
        <w:contextualSpacing/>
        <w:rPr>
          <w:rFonts w:hint="eastAsia" w:ascii="宋体" w:hAnsi="宋体" w:cs="仿宋_GB2312"/>
          <w:szCs w:val="21"/>
        </w:rPr>
      </w:pPr>
      <w:r>
        <w:rPr>
          <w:rFonts w:hint="eastAsia" w:ascii="宋体" w:hAnsi="宋体" w:cs="仿宋_GB2312"/>
          <w:szCs w:val="21"/>
        </w:rPr>
        <w:t xml:space="preserve">供应商（盖公章）：      </w:t>
      </w:r>
    </w:p>
    <w:p w14:paraId="0BD6CFA4">
      <w:pPr>
        <w:spacing w:line="360" w:lineRule="auto"/>
        <w:ind w:right="-817" w:rightChars="-389" w:firstLine="8190" w:firstLineChars="3900"/>
        <w:contextualSpacing/>
        <w:rPr>
          <w:rFonts w:hint="eastAsia" w:ascii="宋体" w:hAnsi="宋体" w:cs="仿宋_GB2312"/>
          <w:szCs w:val="21"/>
        </w:rPr>
      </w:pPr>
      <w:r>
        <w:rPr>
          <w:rFonts w:hint="eastAsia" w:ascii="宋体" w:hAnsi="宋体" w:cs="仿宋_GB2312"/>
          <w:szCs w:val="21"/>
        </w:rPr>
        <w:t>日 期：   年   月   日</w:t>
      </w:r>
    </w:p>
    <w:p w14:paraId="51D3433C">
      <w:pPr>
        <w:spacing w:line="360" w:lineRule="auto"/>
        <w:ind w:right="-817" w:rightChars="-389"/>
        <w:contextualSpacing/>
        <w:rPr>
          <w:rFonts w:hint="eastAsia" w:ascii="宋体" w:hAnsi="宋体" w:cs="仿宋_GB2312"/>
          <w:szCs w:val="21"/>
        </w:rPr>
      </w:pPr>
    </w:p>
    <w:p w14:paraId="2F3FAB2E">
      <w:pPr>
        <w:spacing w:line="360" w:lineRule="auto"/>
        <w:ind w:right="-817" w:rightChars="-389" w:firstLine="8190" w:firstLineChars="3900"/>
        <w:contextualSpacing/>
        <w:rPr>
          <w:rFonts w:hint="eastAsia" w:ascii="宋体" w:hAnsi="宋体" w:cs="仿宋_GB2312"/>
          <w:szCs w:val="21"/>
        </w:rPr>
      </w:pPr>
    </w:p>
    <w:p w14:paraId="46A6633B">
      <w:pPr>
        <w:adjustRightInd w:val="0"/>
        <w:snapToGrid w:val="0"/>
        <w:spacing w:line="520" w:lineRule="exact"/>
        <w:jc w:val="center"/>
        <w:rPr>
          <w:rFonts w:hint="eastAsia" w:ascii="方正小标宋简体" w:hAnsi="方正小标宋简体" w:eastAsia="方正小标宋简体" w:cs="方正小标宋简体"/>
          <w:bCs/>
          <w:sz w:val="44"/>
          <w:szCs w:val="44"/>
        </w:rPr>
      </w:pPr>
      <w:r>
        <w:rPr>
          <w:rFonts w:hint="eastAsia" w:ascii="宋体" w:hAnsi="宋体"/>
          <w:b/>
          <w:sz w:val="44"/>
          <w:szCs w:val="44"/>
        </w:rPr>
        <w:t>货物技术参数配置清单</w:t>
      </w:r>
    </w:p>
    <w:p w14:paraId="7118F3EA">
      <w:pPr>
        <w:spacing w:line="360" w:lineRule="auto"/>
        <w:rPr>
          <w:rFonts w:hint="eastAsia" w:ascii="宋体" w:hAnsi="宋体"/>
          <w:szCs w:val="21"/>
        </w:rPr>
      </w:pPr>
      <w:r>
        <w:rPr>
          <w:rFonts w:hint="eastAsia" w:ascii="宋体" w:hAnsi="宋体"/>
          <w:szCs w:val="21"/>
        </w:rPr>
        <w:t xml:space="preserve">项目名称： </w:t>
      </w:r>
    </w:p>
    <w:tbl>
      <w:tblPr>
        <w:tblStyle w:val="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72"/>
        <w:gridCol w:w="2829"/>
        <w:gridCol w:w="706"/>
        <w:gridCol w:w="1097"/>
        <w:gridCol w:w="1394"/>
        <w:gridCol w:w="1857"/>
        <w:gridCol w:w="1807"/>
        <w:gridCol w:w="1760"/>
        <w:gridCol w:w="3392"/>
      </w:tblGrid>
      <w:tr w14:paraId="2216C7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247" w:type="pct"/>
            <w:tcBorders>
              <w:top w:val="single" w:color="auto" w:sz="4" w:space="0"/>
              <w:left w:val="single" w:color="auto" w:sz="4" w:space="0"/>
              <w:bottom w:val="single" w:color="auto" w:sz="4" w:space="0"/>
              <w:right w:val="single" w:color="auto" w:sz="4" w:space="0"/>
            </w:tcBorders>
            <w:vAlign w:val="center"/>
          </w:tcPr>
          <w:p w14:paraId="6149E5FC">
            <w:pPr>
              <w:snapToGrid w:val="0"/>
              <w:spacing w:before="50" w:after="50"/>
              <w:jc w:val="center"/>
              <w:rPr>
                <w:rFonts w:hint="eastAsia" w:ascii="宋体" w:hAnsi="宋体"/>
                <w:szCs w:val="21"/>
              </w:rPr>
            </w:pPr>
            <w:r>
              <w:rPr>
                <w:rFonts w:hint="eastAsia" w:ascii="宋体" w:hAnsi="宋体"/>
                <w:szCs w:val="21"/>
              </w:rPr>
              <w:t>序号</w:t>
            </w:r>
          </w:p>
        </w:tc>
        <w:tc>
          <w:tcPr>
            <w:tcW w:w="905" w:type="pct"/>
            <w:tcBorders>
              <w:top w:val="single" w:color="auto" w:sz="4" w:space="0"/>
              <w:left w:val="single" w:color="auto" w:sz="4" w:space="0"/>
              <w:bottom w:val="single" w:color="auto" w:sz="4" w:space="0"/>
              <w:right w:val="single" w:color="auto" w:sz="4" w:space="0"/>
            </w:tcBorders>
            <w:vAlign w:val="center"/>
          </w:tcPr>
          <w:p w14:paraId="21C8FE18">
            <w:pPr>
              <w:snapToGrid w:val="0"/>
              <w:spacing w:before="50" w:after="50"/>
              <w:jc w:val="center"/>
              <w:rPr>
                <w:rFonts w:hint="eastAsia" w:ascii="宋体" w:hAnsi="宋体"/>
                <w:szCs w:val="21"/>
              </w:rPr>
            </w:pPr>
            <w:r>
              <w:rPr>
                <w:rFonts w:hint="eastAsia" w:ascii="宋体" w:hAnsi="宋体"/>
                <w:szCs w:val="21"/>
              </w:rPr>
              <w:t>货物名称</w:t>
            </w:r>
          </w:p>
        </w:tc>
        <w:tc>
          <w:tcPr>
            <w:tcW w:w="226" w:type="pct"/>
            <w:tcBorders>
              <w:top w:val="single" w:color="auto" w:sz="4" w:space="0"/>
              <w:left w:val="single" w:color="auto" w:sz="4" w:space="0"/>
              <w:bottom w:val="single" w:color="auto" w:sz="4" w:space="0"/>
              <w:right w:val="single" w:color="auto" w:sz="4" w:space="0"/>
            </w:tcBorders>
            <w:vAlign w:val="center"/>
          </w:tcPr>
          <w:p w14:paraId="718827A2">
            <w:pPr>
              <w:snapToGrid w:val="0"/>
              <w:spacing w:before="50" w:after="50"/>
              <w:jc w:val="center"/>
              <w:rPr>
                <w:rFonts w:hint="eastAsia" w:ascii="宋体" w:hAnsi="宋体"/>
                <w:szCs w:val="21"/>
              </w:rPr>
            </w:pPr>
            <w:r>
              <w:rPr>
                <w:rFonts w:hint="eastAsia" w:ascii="宋体" w:hAnsi="宋体"/>
                <w:szCs w:val="21"/>
              </w:rPr>
              <w:t>单位</w:t>
            </w:r>
          </w:p>
        </w:tc>
        <w:tc>
          <w:tcPr>
            <w:tcW w:w="351" w:type="pct"/>
            <w:tcBorders>
              <w:top w:val="single" w:color="auto" w:sz="4" w:space="0"/>
              <w:left w:val="single" w:color="auto" w:sz="4" w:space="0"/>
              <w:bottom w:val="single" w:color="auto" w:sz="4" w:space="0"/>
              <w:right w:val="single" w:color="auto" w:sz="4" w:space="0"/>
            </w:tcBorders>
            <w:vAlign w:val="center"/>
          </w:tcPr>
          <w:p w14:paraId="4A8A17B4">
            <w:pPr>
              <w:snapToGrid w:val="0"/>
              <w:spacing w:before="50" w:after="50"/>
              <w:jc w:val="center"/>
              <w:rPr>
                <w:rFonts w:hint="eastAsia" w:ascii="宋体" w:hAnsi="宋体"/>
                <w:szCs w:val="21"/>
              </w:rPr>
            </w:pPr>
            <w:r>
              <w:rPr>
                <w:rFonts w:hint="eastAsia" w:ascii="宋体" w:hAnsi="宋体"/>
                <w:szCs w:val="21"/>
              </w:rPr>
              <w:t>数量</w:t>
            </w:r>
          </w:p>
        </w:tc>
        <w:tc>
          <w:tcPr>
            <w:tcW w:w="446" w:type="pct"/>
            <w:tcBorders>
              <w:top w:val="single" w:color="auto" w:sz="4" w:space="0"/>
              <w:left w:val="single" w:color="auto" w:sz="4" w:space="0"/>
              <w:bottom w:val="single" w:color="auto" w:sz="4" w:space="0"/>
              <w:right w:val="single" w:color="auto" w:sz="4" w:space="0"/>
            </w:tcBorders>
            <w:vAlign w:val="center"/>
          </w:tcPr>
          <w:p w14:paraId="4EDFBBC8">
            <w:pPr>
              <w:snapToGrid w:val="0"/>
              <w:spacing w:before="50" w:after="50"/>
              <w:jc w:val="center"/>
              <w:rPr>
                <w:rFonts w:hint="eastAsia" w:ascii="宋体" w:hAnsi="宋体"/>
                <w:szCs w:val="21"/>
              </w:rPr>
            </w:pPr>
            <w:r>
              <w:rPr>
                <w:rFonts w:hint="eastAsia" w:ascii="宋体" w:hAnsi="宋体"/>
                <w:szCs w:val="21"/>
              </w:rPr>
              <w:t>品牌</w:t>
            </w:r>
          </w:p>
        </w:tc>
        <w:tc>
          <w:tcPr>
            <w:tcW w:w="594" w:type="pct"/>
            <w:tcBorders>
              <w:top w:val="single" w:color="auto" w:sz="4" w:space="0"/>
              <w:left w:val="single" w:color="auto" w:sz="4" w:space="0"/>
              <w:bottom w:val="single" w:color="auto" w:sz="4" w:space="0"/>
              <w:right w:val="single" w:color="auto" w:sz="4" w:space="0"/>
            </w:tcBorders>
            <w:vAlign w:val="center"/>
          </w:tcPr>
          <w:p w14:paraId="0C72BE19">
            <w:pPr>
              <w:snapToGrid w:val="0"/>
              <w:spacing w:before="50" w:after="50"/>
              <w:jc w:val="center"/>
              <w:rPr>
                <w:rFonts w:hint="eastAsia" w:ascii="宋体" w:hAnsi="宋体"/>
                <w:szCs w:val="21"/>
              </w:rPr>
            </w:pPr>
            <w:r>
              <w:rPr>
                <w:rFonts w:hint="eastAsia" w:ascii="宋体" w:hAnsi="宋体"/>
                <w:szCs w:val="21"/>
              </w:rPr>
              <w:t>规格型号</w:t>
            </w:r>
          </w:p>
        </w:tc>
        <w:tc>
          <w:tcPr>
            <w:tcW w:w="578" w:type="pct"/>
            <w:tcBorders>
              <w:top w:val="single" w:color="auto" w:sz="4" w:space="0"/>
              <w:left w:val="single" w:color="auto" w:sz="4" w:space="0"/>
              <w:bottom w:val="single" w:color="auto" w:sz="4" w:space="0"/>
              <w:right w:val="single" w:color="auto" w:sz="4" w:space="0"/>
            </w:tcBorders>
            <w:vAlign w:val="center"/>
          </w:tcPr>
          <w:p w14:paraId="77C59776">
            <w:pPr>
              <w:snapToGrid w:val="0"/>
              <w:spacing w:before="50" w:after="50"/>
              <w:jc w:val="center"/>
              <w:rPr>
                <w:rFonts w:hint="eastAsia" w:ascii="宋体" w:hAnsi="宋体"/>
                <w:szCs w:val="21"/>
              </w:rPr>
            </w:pPr>
            <w:r>
              <w:rPr>
                <w:rFonts w:hint="eastAsia" w:ascii="宋体" w:hAnsi="宋体"/>
                <w:szCs w:val="21"/>
              </w:rPr>
              <w:t>制造商</w:t>
            </w:r>
          </w:p>
        </w:tc>
        <w:tc>
          <w:tcPr>
            <w:tcW w:w="563" w:type="pct"/>
            <w:tcBorders>
              <w:top w:val="single" w:color="auto" w:sz="4" w:space="0"/>
              <w:left w:val="single" w:color="auto" w:sz="4" w:space="0"/>
              <w:bottom w:val="single" w:color="auto" w:sz="4" w:space="0"/>
              <w:right w:val="single" w:color="auto" w:sz="4" w:space="0"/>
            </w:tcBorders>
            <w:vAlign w:val="center"/>
          </w:tcPr>
          <w:p w14:paraId="00DB263D">
            <w:pPr>
              <w:snapToGrid w:val="0"/>
              <w:spacing w:before="50" w:after="50"/>
              <w:jc w:val="center"/>
              <w:rPr>
                <w:rFonts w:hint="eastAsia" w:ascii="宋体" w:hAnsi="宋体"/>
                <w:szCs w:val="21"/>
              </w:rPr>
            </w:pPr>
            <w:r>
              <w:rPr>
                <w:rFonts w:hint="eastAsia" w:ascii="宋体" w:hAnsi="宋体"/>
                <w:szCs w:val="21"/>
              </w:rPr>
              <w:t>原产地</w:t>
            </w:r>
          </w:p>
        </w:tc>
        <w:tc>
          <w:tcPr>
            <w:tcW w:w="1085" w:type="pct"/>
            <w:tcBorders>
              <w:top w:val="single" w:color="auto" w:sz="4" w:space="0"/>
              <w:left w:val="single" w:color="auto" w:sz="4" w:space="0"/>
              <w:bottom w:val="single" w:color="auto" w:sz="4" w:space="0"/>
              <w:right w:val="single" w:color="auto" w:sz="4" w:space="0"/>
            </w:tcBorders>
            <w:vAlign w:val="center"/>
          </w:tcPr>
          <w:p w14:paraId="3C31E609">
            <w:pPr>
              <w:snapToGrid w:val="0"/>
              <w:spacing w:before="50" w:after="50"/>
              <w:jc w:val="center"/>
              <w:rPr>
                <w:rFonts w:hint="eastAsia" w:ascii="宋体" w:hAnsi="宋体"/>
                <w:szCs w:val="21"/>
              </w:rPr>
            </w:pPr>
            <w:r>
              <w:rPr>
                <w:rFonts w:hint="eastAsia" w:ascii="宋体" w:hAnsi="宋体"/>
                <w:szCs w:val="21"/>
              </w:rPr>
              <w:t>技术参数及性能配置</w:t>
            </w:r>
          </w:p>
        </w:tc>
      </w:tr>
      <w:tr w14:paraId="54FB45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47" w:type="pct"/>
            <w:tcBorders>
              <w:top w:val="single" w:color="auto" w:sz="4" w:space="0"/>
              <w:left w:val="single" w:color="auto" w:sz="4" w:space="0"/>
              <w:right w:val="single" w:color="auto" w:sz="4" w:space="0"/>
            </w:tcBorders>
            <w:vAlign w:val="center"/>
          </w:tcPr>
          <w:p w14:paraId="10205FDB">
            <w:pPr>
              <w:snapToGrid w:val="0"/>
              <w:spacing w:before="50" w:after="50"/>
              <w:jc w:val="center"/>
              <w:rPr>
                <w:rFonts w:hint="eastAsia" w:ascii="宋体" w:hAnsi="宋体"/>
                <w:szCs w:val="21"/>
              </w:rPr>
            </w:pPr>
            <w:r>
              <w:rPr>
                <w:rFonts w:hint="eastAsia" w:ascii="宋体" w:hAnsi="宋体"/>
                <w:szCs w:val="21"/>
              </w:rPr>
              <w:t>1</w:t>
            </w:r>
          </w:p>
        </w:tc>
        <w:tc>
          <w:tcPr>
            <w:tcW w:w="905" w:type="pct"/>
            <w:tcBorders>
              <w:top w:val="single" w:color="auto" w:sz="4" w:space="0"/>
              <w:left w:val="single" w:color="auto" w:sz="4" w:space="0"/>
              <w:bottom w:val="single" w:color="auto" w:sz="4" w:space="0"/>
              <w:right w:val="single" w:color="auto" w:sz="4" w:space="0"/>
            </w:tcBorders>
            <w:vAlign w:val="center"/>
          </w:tcPr>
          <w:p w14:paraId="1F74BB4F">
            <w:pPr>
              <w:widowControl/>
              <w:jc w:val="center"/>
              <w:textAlignment w:val="center"/>
              <w:rPr>
                <w:rFonts w:hint="eastAsia" w:ascii="宋体" w:hAnsi="宋体"/>
                <w:szCs w:val="21"/>
              </w:rPr>
            </w:pPr>
          </w:p>
        </w:tc>
        <w:tc>
          <w:tcPr>
            <w:tcW w:w="226" w:type="pct"/>
            <w:tcBorders>
              <w:top w:val="single" w:color="auto" w:sz="4" w:space="0"/>
              <w:left w:val="single" w:color="auto" w:sz="4" w:space="0"/>
              <w:bottom w:val="single" w:color="auto" w:sz="4" w:space="0"/>
              <w:right w:val="single" w:color="auto" w:sz="4" w:space="0"/>
            </w:tcBorders>
            <w:vAlign w:val="center"/>
          </w:tcPr>
          <w:p w14:paraId="27877978">
            <w:pPr>
              <w:widowControl/>
              <w:jc w:val="center"/>
              <w:textAlignment w:val="center"/>
              <w:rPr>
                <w:rFonts w:hint="eastAsia" w:ascii="宋体" w:hAnsi="宋体"/>
                <w:szCs w:val="21"/>
              </w:rPr>
            </w:pPr>
          </w:p>
        </w:tc>
        <w:tc>
          <w:tcPr>
            <w:tcW w:w="351" w:type="pct"/>
            <w:tcBorders>
              <w:top w:val="single" w:color="auto" w:sz="4" w:space="0"/>
              <w:left w:val="single" w:color="auto" w:sz="4" w:space="0"/>
              <w:bottom w:val="single" w:color="auto" w:sz="4" w:space="0"/>
              <w:right w:val="single" w:color="auto" w:sz="4" w:space="0"/>
            </w:tcBorders>
            <w:vAlign w:val="center"/>
          </w:tcPr>
          <w:p w14:paraId="3476AD1A">
            <w:pPr>
              <w:widowControl/>
              <w:jc w:val="center"/>
              <w:textAlignment w:val="center"/>
              <w:rPr>
                <w:rFonts w:hint="eastAsia" w:ascii="宋体" w:hAnsi="宋体"/>
                <w:szCs w:val="21"/>
              </w:rPr>
            </w:pPr>
          </w:p>
        </w:tc>
        <w:tc>
          <w:tcPr>
            <w:tcW w:w="446" w:type="pct"/>
            <w:tcBorders>
              <w:top w:val="single" w:color="auto" w:sz="4" w:space="0"/>
              <w:left w:val="single" w:color="auto" w:sz="4" w:space="0"/>
              <w:bottom w:val="single" w:color="auto" w:sz="4" w:space="0"/>
              <w:right w:val="single" w:color="auto" w:sz="4" w:space="0"/>
            </w:tcBorders>
            <w:vAlign w:val="center"/>
          </w:tcPr>
          <w:p w14:paraId="29EC6CBE">
            <w:pPr>
              <w:snapToGrid w:val="0"/>
              <w:spacing w:before="50" w:after="50"/>
              <w:jc w:val="center"/>
              <w:rPr>
                <w:rFonts w:hint="eastAsia" w:ascii="宋体" w:hAnsi="宋体"/>
                <w:szCs w:val="21"/>
              </w:rPr>
            </w:pPr>
          </w:p>
        </w:tc>
        <w:tc>
          <w:tcPr>
            <w:tcW w:w="594" w:type="pct"/>
            <w:tcBorders>
              <w:top w:val="single" w:color="auto" w:sz="4" w:space="0"/>
              <w:left w:val="single" w:color="auto" w:sz="4" w:space="0"/>
              <w:bottom w:val="single" w:color="auto" w:sz="4" w:space="0"/>
              <w:right w:val="single" w:color="auto" w:sz="4" w:space="0"/>
            </w:tcBorders>
          </w:tcPr>
          <w:p w14:paraId="7DDCA39D">
            <w:pPr>
              <w:snapToGrid w:val="0"/>
              <w:spacing w:before="50" w:after="50"/>
              <w:jc w:val="center"/>
              <w:rPr>
                <w:rFonts w:hint="eastAsia" w:ascii="宋体" w:hAnsi="宋体"/>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67285F6F">
            <w:pPr>
              <w:snapToGrid w:val="0"/>
              <w:spacing w:before="50" w:after="50"/>
              <w:jc w:val="center"/>
              <w:rPr>
                <w:rFonts w:hint="eastAsia" w:ascii="宋体" w:hAnsi="宋体"/>
                <w:szCs w:val="21"/>
              </w:rPr>
            </w:pPr>
          </w:p>
        </w:tc>
        <w:tc>
          <w:tcPr>
            <w:tcW w:w="563" w:type="pct"/>
            <w:tcBorders>
              <w:top w:val="single" w:color="auto" w:sz="4" w:space="0"/>
              <w:left w:val="single" w:color="auto" w:sz="4" w:space="0"/>
              <w:bottom w:val="single" w:color="auto" w:sz="4" w:space="0"/>
              <w:right w:val="single" w:color="auto" w:sz="4" w:space="0"/>
            </w:tcBorders>
            <w:vAlign w:val="center"/>
          </w:tcPr>
          <w:p w14:paraId="03DBD8F5">
            <w:pPr>
              <w:snapToGrid w:val="0"/>
              <w:spacing w:before="50" w:after="50"/>
              <w:jc w:val="center"/>
              <w:rPr>
                <w:rFonts w:hint="eastAsia" w:ascii="宋体" w:hAnsi="宋体"/>
                <w:szCs w:val="21"/>
              </w:rPr>
            </w:pPr>
          </w:p>
        </w:tc>
        <w:tc>
          <w:tcPr>
            <w:tcW w:w="1085" w:type="pct"/>
            <w:tcBorders>
              <w:top w:val="single" w:color="auto" w:sz="4" w:space="0"/>
              <w:left w:val="single" w:color="auto" w:sz="4" w:space="0"/>
              <w:bottom w:val="single" w:color="auto" w:sz="4" w:space="0"/>
              <w:right w:val="single" w:color="auto" w:sz="4" w:space="0"/>
            </w:tcBorders>
            <w:vAlign w:val="center"/>
          </w:tcPr>
          <w:p w14:paraId="4D02491A">
            <w:pPr>
              <w:snapToGrid w:val="0"/>
              <w:spacing w:before="50" w:after="50"/>
              <w:jc w:val="center"/>
              <w:rPr>
                <w:rFonts w:hint="eastAsia" w:ascii="宋体" w:hAnsi="宋体"/>
                <w:szCs w:val="21"/>
              </w:rPr>
            </w:pPr>
          </w:p>
        </w:tc>
      </w:tr>
      <w:tr w14:paraId="0B1B0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47" w:type="pct"/>
            <w:tcBorders>
              <w:top w:val="single" w:color="auto" w:sz="4" w:space="0"/>
              <w:left w:val="single" w:color="auto" w:sz="4" w:space="0"/>
              <w:bottom w:val="single" w:color="auto" w:sz="4" w:space="0"/>
              <w:right w:val="single" w:color="auto" w:sz="4" w:space="0"/>
            </w:tcBorders>
            <w:vAlign w:val="center"/>
          </w:tcPr>
          <w:p w14:paraId="6C0B33CF">
            <w:pPr>
              <w:snapToGrid w:val="0"/>
              <w:spacing w:before="50" w:after="50"/>
              <w:jc w:val="center"/>
              <w:rPr>
                <w:rFonts w:hint="eastAsia" w:ascii="宋体" w:hAnsi="宋体"/>
                <w:szCs w:val="21"/>
              </w:rPr>
            </w:pPr>
            <w:r>
              <w:rPr>
                <w:rFonts w:hint="eastAsia" w:ascii="宋体" w:hAnsi="宋体"/>
                <w:szCs w:val="21"/>
              </w:rPr>
              <w:t>2</w:t>
            </w:r>
          </w:p>
        </w:tc>
        <w:tc>
          <w:tcPr>
            <w:tcW w:w="905" w:type="pct"/>
            <w:tcBorders>
              <w:top w:val="single" w:color="auto" w:sz="4" w:space="0"/>
              <w:left w:val="single" w:color="auto" w:sz="4" w:space="0"/>
              <w:bottom w:val="single" w:color="auto" w:sz="4" w:space="0"/>
              <w:right w:val="single" w:color="auto" w:sz="4" w:space="0"/>
            </w:tcBorders>
            <w:vAlign w:val="center"/>
          </w:tcPr>
          <w:p w14:paraId="4C8732D8">
            <w:pPr>
              <w:widowControl/>
              <w:jc w:val="center"/>
              <w:textAlignment w:val="center"/>
              <w:rPr>
                <w:rFonts w:hint="eastAsia" w:ascii="宋体" w:hAnsi="宋体"/>
                <w:kern w:val="0"/>
                <w:szCs w:val="21"/>
              </w:rPr>
            </w:pPr>
          </w:p>
        </w:tc>
        <w:tc>
          <w:tcPr>
            <w:tcW w:w="226" w:type="pct"/>
            <w:tcBorders>
              <w:top w:val="single" w:color="auto" w:sz="4" w:space="0"/>
              <w:left w:val="single" w:color="auto" w:sz="4" w:space="0"/>
              <w:bottom w:val="single" w:color="auto" w:sz="4" w:space="0"/>
              <w:right w:val="single" w:color="auto" w:sz="4" w:space="0"/>
            </w:tcBorders>
            <w:vAlign w:val="center"/>
          </w:tcPr>
          <w:p w14:paraId="4E8CD63D">
            <w:pPr>
              <w:widowControl/>
              <w:jc w:val="center"/>
              <w:textAlignment w:val="center"/>
              <w:rPr>
                <w:rFonts w:hint="eastAsia" w:ascii="宋体" w:hAnsi="宋体"/>
                <w:szCs w:val="21"/>
              </w:rPr>
            </w:pPr>
          </w:p>
        </w:tc>
        <w:tc>
          <w:tcPr>
            <w:tcW w:w="351" w:type="pct"/>
            <w:tcBorders>
              <w:top w:val="single" w:color="auto" w:sz="4" w:space="0"/>
              <w:left w:val="single" w:color="auto" w:sz="4" w:space="0"/>
              <w:bottom w:val="single" w:color="auto" w:sz="4" w:space="0"/>
              <w:right w:val="single" w:color="auto" w:sz="4" w:space="0"/>
            </w:tcBorders>
            <w:vAlign w:val="center"/>
          </w:tcPr>
          <w:p w14:paraId="67E1489D">
            <w:pPr>
              <w:widowControl/>
              <w:jc w:val="center"/>
              <w:textAlignment w:val="center"/>
              <w:rPr>
                <w:rFonts w:hint="eastAsia" w:ascii="宋体" w:hAnsi="宋体"/>
                <w:szCs w:val="21"/>
              </w:rPr>
            </w:pPr>
          </w:p>
        </w:tc>
        <w:tc>
          <w:tcPr>
            <w:tcW w:w="446" w:type="pct"/>
            <w:tcBorders>
              <w:top w:val="single" w:color="auto" w:sz="4" w:space="0"/>
              <w:left w:val="single" w:color="auto" w:sz="4" w:space="0"/>
              <w:bottom w:val="single" w:color="auto" w:sz="4" w:space="0"/>
              <w:right w:val="single" w:color="auto" w:sz="4" w:space="0"/>
            </w:tcBorders>
            <w:vAlign w:val="center"/>
          </w:tcPr>
          <w:p w14:paraId="2EA6E337">
            <w:pPr>
              <w:snapToGrid w:val="0"/>
              <w:spacing w:before="50" w:after="50"/>
              <w:jc w:val="center"/>
              <w:rPr>
                <w:rFonts w:hint="eastAsia" w:ascii="宋体" w:hAnsi="宋体"/>
                <w:szCs w:val="21"/>
              </w:rPr>
            </w:pPr>
          </w:p>
        </w:tc>
        <w:tc>
          <w:tcPr>
            <w:tcW w:w="594" w:type="pct"/>
            <w:tcBorders>
              <w:top w:val="single" w:color="auto" w:sz="4" w:space="0"/>
              <w:left w:val="single" w:color="auto" w:sz="4" w:space="0"/>
              <w:bottom w:val="single" w:color="auto" w:sz="4" w:space="0"/>
              <w:right w:val="single" w:color="auto" w:sz="4" w:space="0"/>
            </w:tcBorders>
          </w:tcPr>
          <w:p w14:paraId="7FF6C6BE">
            <w:pPr>
              <w:snapToGrid w:val="0"/>
              <w:spacing w:before="50" w:after="50"/>
              <w:jc w:val="center"/>
              <w:rPr>
                <w:rFonts w:hint="eastAsia" w:ascii="宋体" w:hAnsi="宋体"/>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2D1EC980">
            <w:pPr>
              <w:snapToGrid w:val="0"/>
              <w:spacing w:before="50" w:after="50"/>
              <w:jc w:val="center"/>
              <w:rPr>
                <w:rFonts w:hint="eastAsia" w:ascii="宋体" w:hAnsi="宋体"/>
                <w:szCs w:val="21"/>
              </w:rPr>
            </w:pPr>
          </w:p>
        </w:tc>
        <w:tc>
          <w:tcPr>
            <w:tcW w:w="563" w:type="pct"/>
            <w:tcBorders>
              <w:top w:val="single" w:color="auto" w:sz="4" w:space="0"/>
              <w:left w:val="single" w:color="auto" w:sz="4" w:space="0"/>
              <w:bottom w:val="single" w:color="auto" w:sz="4" w:space="0"/>
              <w:right w:val="single" w:color="auto" w:sz="4" w:space="0"/>
            </w:tcBorders>
            <w:vAlign w:val="center"/>
          </w:tcPr>
          <w:p w14:paraId="785C57F6">
            <w:pPr>
              <w:snapToGrid w:val="0"/>
              <w:spacing w:before="50" w:after="50"/>
              <w:jc w:val="center"/>
              <w:rPr>
                <w:rFonts w:hint="eastAsia" w:ascii="宋体" w:hAnsi="宋体"/>
                <w:szCs w:val="21"/>
              </w:rPr>
            </w:pPr>
          </w:p>
        </w:tc>
        <w:tc>
          <w:tcPr>
            <w:tcW w:w="1085" w:type="pct"/>
            <w:tcBorders>
              <w:top w:val="single" w:color="auto" w:sz="4" w:space="0"/>
              <w:left w:val="single" w:color="auto" w:sz="4" w:space="0"/>
              <w:bottom w:val="single" w:color="auto" w:sz="4" w:space="0"/>
              <w:right w:val="single" w:color="auto" w:sz="4" w:space="0"/>
            </w:tcBorders>
            <w:vAlign w:val="center"/>
          </w:tcPr>
          <w:p w14:paraId="319B1543">
            <w:pPr>
              <w:snapToGrid w:val="0"/>
              <w:spacing w:before="50" w:after="50"/>
              <w:jc w:val="center"/>
              <w:rPr>
                <w:rFonts w:hint="eastAsia" w:ascii="宋体" w:hAnsi="宋体"/>
                <w:szCs w:val="21"/>
              </w:rPr>
            </w:pPr>
          </w:p>
        </w:tc>
      </w:tr>
      <w:tr w14:paraId="7CC085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47" w:type="pct"/>
            <w:tcBorders>
              <w:top w:val="single" w:color="auto" w:sz="4" w:space="0"/>
              <w:left w:val="single" w:color="auto" w:sz="4" w:space="0"/>
              <w:bottom w:val="single" w:color="auto" w:sz="4" w:space="0"/>
              <w:right w:val="single" w:color="auto" w:sz="4" w:space="0"/>
            </w:tcBorders>
            <w:vAlign w:val="center"/>
          </w:tcPr>
          <w:p w14:paraId="2B2E394B">
            <w:pPr>
              <w:snapToGrid w:val="0"/>
              <w:spacing w:before="50" w:after="50"/>
              <w:jc w:val="center"/>
              <w:rPr>
                <w:rFonts w:hint="eastAsia" w:ascii="宋体" w:hAnsi="宋体"/>
                <w:szCs w:val="21"/>
              </w:rPr>
            </w:pPr>
            <w:r>
              <w:rPr>
                <w:rFonts w:hint="eastAsia" w:ascii="宋体" w:hAnsi="宋体"/>
                <w:szCs w:val="21"/>
              </w:rPr>
              <w:t>……</w:t>
            </w:r>
          </w:p>
        </w:tc>
        <w:tc>
          <w:tcPr>
            <w:tcW w:w="905" w:type="pct"/>
            <w:tcBorders>
              <w:top w:val="single" w:color="auto" w:sz="4" w:space="0"/>
              <w:left w:val="single" w:color="auto" w:sz="4" w:space="0"/>
              <w:bottom w:val="single" w:color="auto" w:sz="4" w:space="0"/>
              <w:right w:val="single" w:color="auto" w:sz="4" w:space="0"/>
            </w:tcBorders>
            <w:vAlign w:val="center"/>
          </w:tcPr>
          <w:p w14:paraId="0376EC9C">
            <w:pPr>
              <w:widowControl/>
              <w:jc w:val="center"/>
              <w:textAlignment w:val="center"/>
              <w:rPr>
                <w:rFonts w:hint="eastAsia" w:ascii="宋体" w:hAnsi="宋体"/>
                <w:kern w:val="0"/>
                <w:szCs w:val="21"/>
              </w:rPr>
            </w:pPr>
          </w:p>
        </w:tc>
        <w:tc>
          <w:tcPr>
            <w:tcW w:w="226" w:type="pct"/>
            <w:tcBorders>
              <w:top w:val="single" w:color="auto" w:sz="4" w:space="0"/>
              <w:left w:val="single" w:color="auto" w:sz="4" w:space="0"/>
              <w:bottom w:val="single" w:color="auto" w:sz="4" w:space="0"/>
              <w:right w:val="single" w:color="auto" w:sz="4" w:space="0"/>
            </w:tcBorders>
            <w:vAlign w:val="center"/>
          </w:tcPr>
          <w:p w14:paraId="377592BA">
            <w:pPr>
              <w:widowControl/>
              <w:jc w:val="center"/>
              <w:textAlignment w:val="center"/>
              <w:rPr>
                <w:rFonts w:hint="eastAsia" w:ascii="宋体" w:hAnsi="宋体"/>
                <w:szCs w:val="21"/>
              </w:rPr>
            </w:pPr>
          </w:p>
        </w:tc>
        <w:tc>
          <w:tcPr>
            <w:tcW w:w="351" w:type="pct"/>
            <w:tcBorders>
              <w:top w:val="single" w:color="auto" w:sz="4" w:space="0"/>
              <w:left w:val="single" w:color="auto" w:sz="4" w:space="0"/>
              <w:bottom w:val="single" w:color="auto" w:sz="4" w:space="0"/>
              <w:right w:val="single" w:color="auto" w:sz="4" w:space="0"/>
            </w:tcBorders>
            <w:vAlign w:val="center"/>
          </w:tcPr>
          <w:p w14:paraId="468EE0D1">
            <w:pPr>
              <w:widowControl/>
              <w:jc w:val="center"/>
              <w:textAlignment w:val="center"/>
              <w:rPr>
                <w:rFonts w:hint="eastAsia" w:ascii="宋体" w:hAnsi="宋体"/>
                <w:szCs w:val="21"/>
              </w:rPr>
            </w:pPr>
          </w:p>
        </w:tc>
        <w:tc>
          <w:tcPr>
            <w:tcW w:w="446" w:type="pct"/>
            <w:tcBorders>
              <w:top w:val="single" w:color="auto" w:sz="4" w:space="0"/>
              <w:left w:val="single" w:color="auto" w:sz="4" w:space="0"/>
              <w:bottom w:val="single" w:color="auto" w:sz="4" w:space="0"/>
              <w:right w:val="single" w:color="auto" w:sz="4" w:space="0"/>
            </w:tcBorders>
            <w:vAlign w:val="center"/>
          </w:tcPr>
          <w:p w14:paraId="66B43837">
            <w:pPr>
              <w:snapToGrid w:val="0"/>
              <w:spacing w:before="50" w:after="50"/>
              <w:jc w:val="center"/>
              <w:rPr>
                <w:rFonts w:hint="eastAsia" w:ascii="宋体" w:hAnsi="宋体"/>
                <w:szCs w:val="21"/>
              </w:rPr>
            </w:pPr>
          </w:p>
        </w:tc>
        <w:tc>
          <w:tcPr>
            <w:tcW w:w="594" w:type="pct"/>
            <w:tcBorders>
              <w:top w:val="single" w:color="auto" w:sz="4" w:space="0"/>
              <w:left w:val="single" w:color="auto" w:sz="4" w:space="0"/>
              <w:bottom w:val="single" w:color="auto" w:sz="4" w:space="0"/>
              <w:right w:val="single" w:color="auto" w:sz="4" w:space="0"/>
            </w:tcBorders>
          </w:tcPr>
          <w:p w14:paraId="5D123DC0">
            <w:pPr>
              <w:snapToGrid w:val="0"/>
              <w:spacing w:before="50" w:after="50"/>
              <w:jc w:val="center"/>
              <w:rPr>
                <w:rFonts w:hint="eastAsia" w:ascii="宋体" w:hAnsi="宋体"/>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2E7B8865">
            <w:pPr>
              <w:snapToGrid w:val="0"/>
              <w:spacing w:before="50" w:after="50"/>
              <w:jc w:val="center"/>
              <w:rPr>
                <w:rFonts w:hint="eastAsia" w:ascii="宋体" w:hAnsi="宋体"/>
                <w:szCs w:val="21"/>
              </w:rPr>
            </w:pPr>
          </w:p>
        </w:tc>
        <w:tc>
          <w:tcPr>
            <w:tcW w:w="563" w:type="pct"/>
            <w:tcBorders>
              <w:top w:val="single" w:color="auto" w:sz="4" w:space="0"/>
              <w:left w:val="single" w:color="auto" w:sz="4" w:space="0"/>
              <w:bottom w:val="single" w:color="auto" w:sz="4" w:space="0"/>
              <w:right w:val="single" w:color="auto" w:sz="4" w:space="0"/>
            </w:tcBorders>
            <w:vAlign w:val="center"/>
          </w:tcPr>
          <w:p w14:paraId="3C48EF83">
            <w:pPr>
              <w:snapToGrid w:val="0"/>
              <w:spacing w:before="50" w:after="50"/>
              <w:jc w:val="center"/>
              <w:rPr>
                <w:rFonts w:hint="eastAsia" w:ascii="宋体" w:hAnsi="宋体"/>
                <w:szCs w:val="21"/>
              </w:rPr>
            </w:pPr>
          </w:p>
        </w:tc>
        <w:tc>
          <w:tcPr>
            <w:tcW w:w="1085" w:type="pct"/>
            <w:tcBorders>
              <w:top w:val="single" w:color="auto" w:sz="4" w:space="0"/>
              <w:left w:val="single" w:color="auto" w:sz="4" w:space="0"/>
              <w:bottom w:val="single" w:color="auto" w:sz="4" w:space="0"/>
              <w:right w:val="single" w:color="auto" w:sz="4" w:space="0"/>
            </w:tcBorders>
            <w:vAlign w:val="center"/>
          </w:tcPr>
          <w:p w14:paraId="4D654267">
            <w:pPr>
              <w:snapToGrid w:val="0"/>
              <w:spacing w:before="50" w:after="50"/>
              <w:jc w:val="center"/>
              <w:rPr>
                <w:rFonts w:hint="eastAsia" w:ascii="宋体" w:hAnsi="宋体"/>
                <w:szCs w:val="21"/>
              </w:rPr>
            </w:pPr>
          </w:p>
        </w:tc>
      </w:tr>
    </w:tbl>
    <w:p w14:paraId="648CD903">
      <w:pPr>
        <w:contextualSpacing/>
        <w:rPr>
          <w:rFonts w:hint="eastAsia" w:ascii="宋体" w:hAnsi="宋体"/>
          <w:szCs w:val="21"/>
        </w:rPr>
      </w:pPr>
      <w:r>
        <w:rPr>
          <w:rFonts w:hint="eastAsia" w:ascii="宋体" w:hAnsi="宋体"/>
          <w:szCs w:val="21"/>
        </w:rPr>
        <w:t>备注：</w:t>
      </w:r>
      <w:r>
        <w:rPr>
          <w:rFonts w:hint="eastAsia" w:ascii="宋体" w:hAnsi="宋体"/>
          <w:b/>
          <w:bCs/>
          <w:szCs w:val="21"/>
        </w:rPr>
        <w:t>以上货物配置清单中“货物名称、数量及单位、品牌、规格型号、制造商、原产地、技术参数及性能配置”必须如实填写完整，品牌、规格型号没有则填无，填写有缺漏的，响应文件按无效响应处理</w:t>
      </w:r>
      <w:r>
        <w:rPr>
          <w:rFonts w:hint="eastAsia" w:ascii="宋体" w:hAnsi="宋体"/>
          <w:b/>
          <w:szCs w:val="21"/>
        </w:rPr>
        <w:t>。</w:t>
      </w:r>
      <w:r>
        <w:rPr>
          <w:rFonts w:hint="eastAsia" w:ascii="宋体" w:hAnsi="宋体"/>
          <w:szCs w:val="21"/>
        </w:rPr>
        <w:t>货物名称、数量及单位、品牌必须与“竞标报价表”一致，</w:t>
      </w:r>
      <w:r>
        <w:rPr>
          <w:rFonts w:hint="eastAsia" w:ascii="宋体" w:hAnsi="宋体"/>
          <w:bCs/>
          <w:szCs w:val="21"/>
        </w:rPr>
        <w:t>否则响应文件按无效响应处理</w:t>
      </w:r>
      <w:r>
        <w:rPr>
          <w:rFonts w:hint="eastAsia" w:ascii="宋体" w:hAnsi="宋体"/>
          <w:b/>
          <w:szCs w:val="21"/>
        </w:rPr>
        <w:t>。</w:t>
      </w:r>
      <w:r>
        <w:rPr>
          <w:rFonts w:hint="eastAsia" w:ascii="宋体" w:hAnsi="宋体"/>
          <w:szCs w:val="21"/>
        </w:rPr>
        <w:tab/>
      </w:r>
    </w:p>
    <w:p w14:paraId="24A64991">
      <w:pPr>
        <w:pStyle w:val="7"/>
        <w:rPr>
          <w:rFonts w:hint="eastAsia" w:ascii="宋体" w:hAnsi="宋体" w:cs="宋体"/>
          <w:szCs w:val="21"/>
        </w:rPr>
      </w:pPr>
    </w:p>
    <w:p w14:paraId="4BFE1AB8">
      <w:pPr>
        <w:ind w:right="-817" w:rightChars="-389"/>
        <w:contextualSpacing/>
        <w:jc w:val="center"/>
        <w:rPr>
          <w:rFonts w:hint="eastAsia" w:ascii="宋体" w:hAnsi="宋体"/>
          <w:szCs w:val="21"/>
        </w:rPr>
      </w:pPr>
      <w:r>
        <w:rPr>
          <w:rFonts w:hint="eastAsia" w:ascii="宋体" w:hAnsi="宋体"/>
          <w:szCs w:val="21"/>
        </w:rPr>
        <w:t>法定代表人或者委托代理人（签字）：</w:t>
      </w:r>
    </w:p>
    <w:p w14:paraId="7347544C">
      <w:pPr>
        <w:ind w:right="-817" w:rightChars="-389" w:firstLine="7245" w:firstLineChars="3450"/>
        <w:contextualSpacing/>
        <w:rPr>
          <w:rFonts w:hint="eastAsia" w:ascii="宋体" w:hAnsi="宋体"/>
          <w:szCs w:val="21"/>
        </w:rPr>
      </w:pPr>
      <w:r>
        <w:rPr>
          <w:rFonts w:hint="eastAsia" w:ascii="宋体" w:hAnsi="宋体"/>
          <w:szCs w:val="21"/>
        </w:rPr>
        <w:t xml:space="preserve">供应商（盖公章）：      </w:t>
      </w:r>
    </w:p>
    <w:p w14:paraId="4188AEF4">
      <w:pPr>
        <w:ind w:right="-817" w:rightChars="-389" w:firstLine="8190" w:firstLineChars="3900"/>
        <w:contextualSpacing/>
      </w:pPr>
      <w:r>
        <w:rPr>
          <w:rFonts w:hint="eastAsia" w:ascii="宋体" w:hAnsi="宋体"/>
          <w:szCs w:val="21"/>
        </w:rPr>
        <w:t>日  期：    年   月   日</w:t>
      </w:r>
    </w:p>
    <w:p w14:paraId="3DA5D3A2"/>
    <w:p w14:paraId="3A4574FE">
      <w:pPr>
        <w:ind w:right="-817" w:rightChars="-389" w:firstLine="8190" w:firstLineChars="3900"/>
        <w:contextualSpacing/>
        <w:rPr>
          <w:rFonts w:hint="eastAsia" w:ascii="宋体" w:hAnsi="宋体" w:cs="宋体"/>
          <w:szCs w:val="21"/>
        </w:rPr>
      </w:pPr>
    </w:p>
    <w:sectPr>
      <w:pgSz w:w="16838" w:h="11906" w:orient="landscape"/>
      <w:pgMar w:top="720" w:right="720" w:bottom="720" w:left="72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B0C94D-13D7-46A0-B986-7BD9B84B4D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7083246-54AF-49D7-95D7-4A8DEBE4B15A}"/>
  </w:font>
  <w:font w:name="仿宋_GB2312">
    <w:panose1 w:val="02010609030101010101"/>
    <w:charset w:val="86"/>
    <w:family w:val="modern"/>
    <w:pitch w:val="default"/>
    <w:sig w:usb0="00000001" w:usb1="080E0000" w:usb2="00000000" w:usb3="00000000" w:csb0="00040000" w:csb1="00000000"/>
    <w:embedRegular r:id="rId3" w:fontKey="{94406E0A-6692-4728-84C5-83E989D39E22}"/>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embedRegular r:id="rId4" w:fontKey="{A615B109-3CD1-458C-AE93-FBEB5BFB75FF}"/>
  </w:font>
  <w:font w:name="方正小标宋简体">
    <w:panose1 w:val="03000509000000000000"/>
    <w:charset w:val="86"/>
    <w:family w:val="script"/>
    <w:pitch w:val="default"/>
    <w:sig w:usb0="00000001" w:usb1="080E0000" w:usb2="00000000" w:usb3="00000000" w:csb0="00040000" w:csb1="00000000"/>
    <w:embedRegular r:id="rId5" w:fontKey="{6CC58122-A05A-4D17-9ED7-A565EDF3BFF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3D8498"/>
    <w:multiLevelType w:val="singleLevel"/>
    <w:tmpl w:val="043D849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5NTAxOGNiNWY5YjZiYjRiZTBiMDc3NTc1OWE2YTUifQ=="/>
  </w:docVars>
  <w:rsids>
    <w:rsidRoot w:val="46492AE9"/>
    <w:rsid w:val="00043412"/>
    <w:rsid w:val="00061A87"/>
    <w:rsid w:val="00144809"/>
    <w:rsid w:val="001B0966"/>
    <w:rsid w:val="001B0CE4"/>
    <w:rsid w:val="001E2432"/>
    <w:rsid w:val="00260E5F"/>
    <w:rsid w:val="00264E69"/>
    <w:rsid w:val="00275476"/>
    <w:rsid w:val="00290CB3"/>
    <w:rsid w:val="0029758F"/>
    <w:rsid w:val="00333C76"/>
    <w:rsid w:val="0034742C"/>
    <w:rsid w:val="00357D4B"/>
    <w:rsid w:val="0037371E"/>
    <w:rsid w:val="00395AC6"/>
    <w:rsid w:val="003D285F"/>
    <w:rsid w:val="003D2DFD"/>
    <w:rsid w:val="00406601"/>
    <w:rsid w:val="0041020E"/>
    <w:rsid w:val="0044758D"/>
    <w:rsid w:val="00456397"/>
    <w:rsid w:val="00456514"/>
    <w:rsid w:val="00484683"/>
    <w:rsid w:val="00487B00"/>
    <w:rsid w:val="00495A0E"/>
    <w:rsid w:val="00505E40"/>
    <w:rsid w:val="00546AE1"/>
    <w:rsid w:val="00593A50"/>
    <w:rsid w:val="0059781D"/>
    <w:rsid w:val="005A459F"/>
    <w:rsid w:val="005C2A9D"/>
    <w:rsid w:val="005E3BA2"/>
    <w:rsid w:val="00626810"/>
    <w:rsid w:val="006320D2"/>
    <w:rsid w:val="00642963"/>
    <w:rsid w:val="00685599"/>
    <w:rsid w:val="006E1F17"/>
    <w:rsid w:val="00734F93"/>
    <w:rsid w:val="00741C54"/>
    <w:rsid w:val="007C4E8F"/>
    <w:rsid w:val="007D3BE3"/>
    <w:rsid w:val="0083050D"/>
    <w:rsid w:val="00836E82"/>
    <w:rsid w:val="008C5F08"/>
    <w:rsid w:val="00932EB1"/>
    <w:rsid w:val="009B5FCB"/>
    <w:rsid w:val="009E4ACC"/>
    <w:rsid w:val="009F2098"/>
    <w:rsid w:val="009F4FF4"/>
    <w:rsid w:val="00A2222E"/>
    <w:rsid w:val="00A712F7"/>
    <w:rsid w:val="00A735D0"/>
    <w:rsid w:val="00A77AFF"/>
    <w:rsid w:val="00B902D7"/>
    <w:rsid w:val="00C139A4"/>
    <w:rsid w:val="00C31AF6"/>
    <w:rsid w:val="00C84A21"/>
    <w:rsid w:val="00CC7440"/>
    <w:rsid w:val="00CD06F9"/>
    <w:rsid w:val="00D059F7"/>
    <w:rsid w:val="00D47428"/>
    <w:rsid w:val="00D73F9F"/>
    <w:rsid w:val="00D80090"/>
    <w:rsid w:val="00D80143"/>
    <w:rsid w:val="00D82118"/>
    <w:rsid w:val="00D9701D"/>
    <w:rsid w:val="00DA7F30"/>
    <w:rsid w:val="00DF798C"/>
    <w:rsid w:val="00E260F5"/>
    <w:rsid w:val="00E74ECC"/>
    <w:rsid w:val="00F673C0"/>
    <w:rsid w:val="00F74F31"/>
    <w:rsid w:val="00FE2EE1"/>
    <w:rsid w:val="01C544F5"/>
    <w:rsid w:val="024822CD"/>
    <w:rsid w:val="02BB60B1"/>
    <w:rsid w:val="03CE5A7E"/>
    <w:rsid w:val="03FB7492"/>
    <w:rsid w:val="041208A9"/>
    <w:rsid w:val="04381A26"/>
    <w:rsid w:val="044C330C"/>
    <w:rsid w:val="047C3FFD"/>
    <w:rsid w:val="05825674"/>
    <w:rsid w:val="059917D1"/>
    <w:rsid w:val="05E435F1"/>
    <w:rsid w:val="065B3392"/>
    <w:rsid w:val="06F15C8E"/>
    <w:rsid w:val="072858CC"/>
    <w:rsid w:val="07680680"/>
    <w:rsid w:val="07C2391D"/>
    <w:rsid w:val="08230FE7"/>
    <w:rsid w:val="09A51675"/>
    <w:rsid w:val="09C556F2"/>
    <w:rsid w:val="09E162A4"/>
    <w:rsid w:val="0A12645E"/>
    <w:rsid w:val="0A3F5991"/>
    <w:rsid w:val="0A544CC8"/>
    <w:rsid w:val="0ADA09F2"/>
    <w:rsid w:val="0CC86104"/>
    <w:rsid w:val="0D6276FC"/>
    <w:rsid w:val="0D8B27AF"/>
    <w:rsid w:val="0EB023BD"/>
    <w:rsid w:val="0FDA30C2"/>
    <w:rsid w:val="0FE668E8"/>
    <w:rsid w:val="0FFE195E"/>
    <w:rsid w:val="10317B99"/>
    <w:rsid w:val="1069326D"/>
    <w:rsid w:val="10934408"/>
    <w:rsid w:val="111C0B26"/>
    <w:rsid w:val="11796733"/>
    <w:rsid w:val="12560BCE"/>
    <w:rsid w:val="12624550"/>
    <w:rsid w:val="12FB3585"/>
    <w:rsid w:val="12FC7CAB"/>
    <w:rsid w:val="14F944F9"/>
    <w:rsid w:val="15145780"/>
    <w:rsid w:val="15632BBE"/>
    <w:rsid w:val="157B390E"/>
    <w:rsid w:val="15D1541F"/>
    <w:rsid w:val="171621EF"/>
    <w:rsid w:val="1735576C"/>
    <w:rsid w:val="174C46E4"/>
    <w:rsid w:val="176E1B89"/>
    <w:rsid w:val="17D95962"/>
    <w:rsid w:val="17DE7734"/>
    <w:rsid w:val="182E4DAB"/>
    <w:rsid w:val="19381F1E"/>
    <w:rsid w:val="194D74B2"/>
    <w:rsid w:val="1A7F4983"/>
    <w:rsid w:val="1AFA0F74"/>
    <w:rsid w:val="1B057CF1"/>
    <w:rsid w:val="1C2509DA"/>
    <w:rsid w:val="1CCF4430"/>
    <w:rsid w:val="1CEA2D34"/>
    <w:rsid w:val="1D0051B2"/>
    <w:rsid w:val="1E436BFB"/>
    <w:rsid w:val="1EB66ED2"/>
    <w:rsid w:val="1F053CF4"/>
    <w:rsid w:val="1F291E28"/>
    <w:rsid w:val="1FB719A5"/>
    <w:rsid w:val="20033557"/>
    <w:rsid w:val="20080E5C"/>
    <w:rsid w:val="20091C16"/>
    <w:rsid w:val="20774FA4"/>
    <w:rsid w:val="21290155"/>
    <w:rsid w:val="21661111"/>
    <w:rsid w:val="218164F0"/>
    <w:rsid w:val="21C916A0"/>
    <w:rsid w:val="21D37D8C"/>
    <w:rsid w:val="22206AE2"/>
    <w:rsid w:val="222B7EDF"/>
    <w:rsid w:val="224A1367"/>
    <w:rsid w:val="227B6E3E"/>
    <w:rsid w:val="22896782"/>
    <w:rsid w:val="22906A74"/>
    <w:rsid w:val="22BD058C"/>
    <w:rsid w:val="22D636B5"/>
    <w:rsid w:val="23005B4C"/>
    <w:rsid w:val="23491FB8"/>
    <w:rsid w:val="23E26A49"/>
    <w:rsid w:val="23E512FC"/>
    <w:rsid w:val="23EA19A0"/>
    <w:rsid w:val="23F92A3E"/>
    <w:rsid w:val="24A05A4C"/>
    <w:rsid w:val="24CD14A7"/>
    <w:rsid w:val="24E47F82"/>
    <w:rsid w:val="24FC2C7E"/>
    <w:rsid w:val="25B24942"/>
    <w:rsid w:val="25C2598D"/>
    <w:rsid w:val="260E3B25"/>
    <w:rsid w:val="264B0C32"/>
    <w:rsid w:val="26A748A6"/>
    <w:rsid w:val="26AF70B6"/>
    <w:rsid w:val="2751016E"/>
    <w:rsid w:val="278A3680"/>
    <w:rsid w:val="282633A8"/>
    <w:rsid w:val="286A05DF"/>
    <w:rsid w:val="28E141FE"/>
    <w:rsid w:val="28FB2A87"/>
    <w:rsid w:val="293D309F"/>
    <w:rsid w:val="29514455"/>
    <w:rsid w:val="29562532"/>
    <w:rsid w:val="29B019A3"/>
    <w:rsid w:val="29F179E6"/>
    <w:rsid w:val="2A4C4A62"/>
    <w:rsid w:val="2AE83430"/>
    <w:rsid w:val="2B2B0ED4"/>
    <w:rsid w:val="2C31056E"/>
    <w:rsid w:val="2C980571"/>
    <w:rsid w:val="2D412A2F"/>
    <w:rsid w:val="2D460049"/>
    <w:rsid w:val="2D4D6201"/>
    <w:rsid w:val="2D555A65"/>
    <w:rsid w:val="2DD018D3"/>
    <w:rsid w:val="2E1819E5"/>
    <w:rsid w:val="2E40595A"/>
    <w:rsid w:val="2F6446E6"/>
    <w:rsid w:val="2FCB7E5A"/>
    <w:rsid w:val="30353211"/>
    <w:rsid w:val="320512B5"/>
    <w:rsid w:val="330662B0"/>
    <w:rsid w:val="350A469D"/>
    <w:rsid w:val="351A0E35"/>
    <w:rsid w:val="356B7865"/>
    <w:rsid w:val="357868A7"/>
    <w:rsid w:val="35A10297"/>
    <w:rsid w:val="3613599B"/>
    <w:rsid w:val="366559E4"/>
    <w:rsid w:val="36F227F3"/>
    <w:rsid w:val="380F41A6"/>
    <w:rsid w:val="38C22C79"/>
    <w:rsid w:val="38DA4FA2"/>
    <w:rsid w:val="39303E66"/>
    <w:rsid w:val="398126A4"/>
    <w:rsid w:val="398E34A3"/>
    <w:rsid w:val="399B3F89"/>
    <w:rsid w:val="399E5E40"/>
    <w:rsid w:val="39CF48CB"/>
    <w:rsid w:val="39F767A7"/>
    <w:rsid w:val="3A033549"/>
    <w:rsid w:val="3A791A5E"/>
    <w:rsid w:val="3ACD3B57"/>
    <w:rsid w:val="3B100629"/>
    <w:rsid w:val="3C231166"/>
    <w:rsid w:val="3C3B4CB8"/>
    <w:rsid w:val="3C67348A"/>
    <w:rsid w:val="3C8658DE"/>
    <w:rsid w:val="3CC75445"/>
    <w:rsid w:val="3D355CEE"/>
    <w:rsid w:val="3DC254CA"/>
    <w:rsid w:val="3E4929BF"/>
    <w:rsid w:val="3E5F4AE1"/>
    <w:rsid w:val="3ECC2AA4"/>
    <w:rsid w:val="3EE80F60"/>
    <w:rsid w:val="3F424B14"/>
    <w:rsid w:val="3FD1152F"/>
    <w:rsid w:val="3FE61943"/>
    <w:rsid w:val="4007339F"/>
    <w:rsid w:val="40330901"/>
    <w:rsid w:val="41C41316"/>
    <w:rsid w:val="41D30A5F"/>
    <w:rsid w:val="420A7C50"/>
    <w:rsid w:val="423B7FDB"/>
    <w:rsid w:val="42614D21"/>
    <w:rsid w:val="42725B89"/>
    <w:rsid w:val="428F54EA"/>
    <w:rsid w:val="436037BB"/>
    <w:rsid w:val="43953BCE"/>
    <w:rsid w:val="441E71D2"/>
    <w:rsid w:val="44A27E03"/>
    <w:rsid w:val="44B4705C"/>
    <w:rsid w:val="44C304A5"/>
    <w:rsid w:val="44F422AF"/>
    <w:rsid w:val="45B31B87"/>
    <w:rsid w:val="45DB64CD"/>
    <w:rsid w:val="460641CF"/>
    <w:rsid w:val="46492AE9"/>
    <w:rsid w:val="47543636"/>
    <w:rsid w:val="47A619B8"/>
    <w:rsid w:val="47D33885"/>
    <w:rsid w:val="486F6565"/>
    <w:rsid w:val="49D43B55"/>
    <w:rsid w:val="4A0251E4"/>
    <w:rsid w:val="4A622219"/>
    <w:rsid w:val="4A913ECA"/>
    <w:rsid w:val="4AA76173"/>
    <w:rsid w:val="4ABF498D"/>
    <w:rsid w:val="4B0770BF"/>
    <w:rsid w:val="4C976E3A"/>
    <w:rsid w:val="4E4D4E0A"/>
    <w:rsid w:val="4EC45545"/>
    <w:rsid w:val="4ECC264C"/>
    <w:rsid w:val="50394E2D"/>
    <w:rsid w:val="5049361B"/>
    <w:rsid w:val="507263F6"/>
    <w:rsid w:val="509E5922"/>
    <w:rsid w:val="510C4F82"/>
    <w:rsid w:val="51907961"/>
    <w:rsid w:val="51B43ED4"/>
    <w:rsid w:val="51BD267C"/>
    <w:rsid w:val="521775E3"/>
    <w:rsid w:val="5303039B"/>
    <w:rsid w:val="53E35D94"/>
    <w:rsid w:val="549D32C7"/>
    <w:rsid w:val="550310E3"/>
    <w:rsid w:val="556915A4"/>
    <w:rsid w:val="5584168C"/>
    <w:rsid w:val="55D50038"/>
    <w:rsid w:val="55FB4C01"/>
    <w:rsid w:val="55FD61F8"/>
    <w:rsid w:val="567C0098"/>
    <w:rsid w:val="569C0B56"/>
    <w:rsid w:val="56AE26CA"/>
    <w:rsid w:val="56DE5E59"/>
    <w:rsid w:val="5753390A"/>
    <w:rsid w:val="5795302F"/>
    <w:rsid w:val="58705DF6"/>
    <w:rsid w:val="594D4389"/>
    <w:rsid w:val="594F0EDF"/>
    <w:rsid w:val="5A670A9F"/>
    <w:rsid w:val="5AA04E3D"/>
    <w:rsid w:val="5B344A4C"/>
    <w:rsid w:val="5B4672E2"/>
    <w:rsid w:val="5C1A0C76"/>
    <w:rsid w:val="5C5278E9"/>
    <w:rsid w:val="5D303DA6"/>
    <w:rsid w:val="5D493CE1"/>
    <w:rsid w:val="5D656145"/>
    <w:rsid w:val="5E3C172A"/>
    <w:rsid w:val="5E800D5D"/>
    <w:rsid w:val="5E987E55"/>
    <w:rsid w:val="5EE272E6"/>
    <w:rsid w:val="5EE96902"/>
    <w:rsid w:val="5EFE077F"/>
    <w:rsid w:val="5F577B32"/>
    <w:rsid w:val="5F846FCB"/>
    <w:rsid w:val="5FCB28A8"/>
    <w:rsid w:val="5FE11D50"/>
    <w:rsid w:val="603A1ACE"/>
    <w:rsid w:val="60CD54B1"/>
    <w:rsid w:val="6109328C"/>
    <w:rsid w:val="613A0A90"/>
    <w:rsid w:val="61B96A60"/>
    <w:rsid w:val="61DC2DC0"/>
    <w:rsid w:val="61ED6709"/>
    <w:rsid w:val="6268097C"/>
    <w:rsid w:val="627209BD"/>
    <w:rsid w:val="62D56A83"/>
    <w:rsid w:val="62F63236"/>
    <w:rsid w:val="63E9040E"/>
    <w:rsid w:val="63F43719"/>
    <w:rsid w:val="64364DEF"/>
    <w:rsid w:val="64797B33"/>
    <w:rsid w:val="6490433F"/>
    <w:rsid w:val="65B45FF1"/>
    <w:rsid w:val="669465AE"/>
    <w:rsid w:val="675A757F"/>
    <w:rsid w:val="67921CCC"/>
    <w:rsid w:val="679C300B"/>
    <w:rsid w:val="67C277C8"/>
    <w:rsid w:val="67C768DC"/>
    <w:rsid w:val="685A41B9"/>
    <w:rsid w:val="68F95994"/>
    <w:rsid w:val="6922138F"/>
    <w:rsid w:val="6943421F"/>
    <w:rsid w:val="69F94FC6"/>
    <w:rsid w:val="6A426D40"/>
    <w:rsid w:val="6A9736B6"/>
    <w:rsid w:val="6AE54D7A"/>
    <w:rsid w:val="6BC95B6D"/>
    <w:rsid w:val="6C573720"/>
    <w:rsid w:val="6CA834AF"/>
    <w:rsid w:val="6D003795"/>
    <w:rsid w:val="6E46167B"/>
    <w:rsid w:val="6EAB14DE"/>
    <w:rsid w:val="6F0841CC"/>
    <w:rsid w:val="6F3B7985"/>
    <w:rsid w:val="6FCD6822"/>
    <w:rsid w:val="702634C5"/>
    <w:rsid w:val="717670E7"/>
    <w:rsid w:val="71C31235"/>
    <w:rsid w:val="71F96A05"/>
    <w:rsid w:val="735E1215"/>
    <w:rsid w:val="7365314D"/>
    <w:rsid w:val="747A41E0"/>
    <w:rsid w:val="749D5D6D"/>
    <w:rsid w:val="74D250AB"/>
    <w:rsid w:val="75A562CE"/>
    <w:rsid w:val="75F4180E"/>
    <w:rsid w:val="75FE0BB1"/>
    <w:rsid w:val="7662101C"/>
    <w:rsid w:val="767D7101"/>
    <w:rsid w:val="76EE083F"/>
    <w:rsid w:val="77252585"/>
    <w:rsid w:val="77991BD9"/>
    <w:rsid w:val="77FB0FEB"/>
    <w:rsid w:val="78AF42C1"/>
    <w:rsid w:val="78CC09CF"/>
    <w:rsid w:val="78E77772"/>
    <w:rsid w:val="791B780E"/>
    <w:rsid w:val="794F33AE"/>
    <w:rsid w:val="7A41642C"/>
    <w:rsid w:val="7A794B87"/>
    <w:rsid w:val="7A9C0BDF"/>
    <w:rsid w:val="7BB57A83"/>
    <w:rsid w:val="7BBB4D2B"/>
    <w:rsid w:val="7BD6412D"/>
    <w:rsid w:val="7BF344C5"/>
    <w:rsid w:val="7C82216F"/>
    <w:rsid w:val="7CCA7C28"/>
    <w:rsid w:val="7CE24C65"/>
    <w:rsid w:val="7CE62F77"/>
    <w:rsid w:val="7CEB1414"/>
    <w:rsid w:val="7D3205BD"/>
    <w:rsid w:val="7DA7785B"/>
    <w:rsid w:val="7DB87DA9"/>
    <w:rsid w:val="7DBC3708"/>
    <w:rsid w:val="7DF74740"/>
    <w:rsid w:val="7DFA10D0"/>
    <w:rsid w:val="7E603BAA"/>
    <w:rsid w:val="7EEE1FE7"/>
    <w:rsid w:val="7F29292E"/>
    <w:rsid w:val="7F3948E4"/>
    <w:rsid w:val="7F625BE9"/>
    <w:rsid w:val="7F7E49ED"/>
    <w:rsid w:val="7F815536"/>
    <w:rsid w:val="7F9D3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Body Text Indent"/>
    <w:basedOn w:val="1"/>
    <w:qFormat/>
    <w:uiPriority w:val="0"/>
    <w:pPr>
      <w:ind w:firstLine="830" w:firstLineChars="352"/>
    </w:pPr>
    <w:rPr>
      <w:rFonts w:ascii="仿宋_GB2312" w:eastAsia="仿宋_GB2312" w:cs="仿宋_GB2312"/>
      <w:sz w:val="32"/>
      <w:szCs w:val="32"/>
    </w:rPr>
  </w:style>
  <w:style w:type="paragraph" w:styleId="4">
    <w:name w:val="footer"/>
    <w:basedOn w:val="1"/>
    <w:link w:val="21"/>
    <w:uiPriority w:val="0"/>
    <w:pPr>
      <w:tabs>
        <w:tab w:val="center" w:pos="4153"/>
        <w:tab w:val="right" w:pos="8306"/>
      </w:tabs>
      <w:snapToGrid w:val="0"/>
      <w:jc w:val="left"/>
    </w:pPr>
    <w:rPr>
      <w:sz w:val="18"/>
      <w:szCs w:val="18"/>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6">
    <w:name w:val="index 1"/>
    <w:basedOn w:val="1"/>
    <w:next w:val="1"/>
    <w:qFormat/>
    <w:uiPriority w:val="0"/>
    <w:pPr>
      <w:spacing w:line="400" w:lineRule="exact"/>
      <w:ind w:firstLine="420" w:firstLineChars="200"/>
    </w:pPr>
    <w:rPr>
      <w:rFonts w:ascii="宋体" w:hAnsi="Courier New"/>
      <w:b/>
      <w:szCs w:val="20"/>
    </w:rPr>
  </w:style>
  <w:style w:type="paragraph" w:styleId="7">
    <w:name w:val="Body Text First Indent 2"/>
    <w:basedOn w:val="3"/>
    <w:next w:val="2"/>
    <w:qFormat/>
    <w:uiPriority w:val="0"/>
    <w:pPr>
      <w:spacing w:after="120"/>
      <w:ind w:left="420" w:leftChars="200" w:firstLine="420" w:firstLineChars="200"/>
    </w:pPr>
    <w:rPr>
      <w:rFonts w:ascii="Times New Roman" w:eastAsia="宋体"/>
      <w:sz w:val="21"/>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qFormat/>
    <w:uiPriority w:val="0"/>
    <w:rPr>
      <w:sz w:val="21"/>
      <w:szCs w:val="21"/>
    </w:rPr>
  </w:style>
  <w:style w:type="paragraph" w:customStyle="1" w:styleId="12">
    <w:name w:val="表格文字"/>
    <w:basedOn w:val="1"/>
    <w:qFormat/>
    <w:uiPriority w:val="0"/>
    <w:pPr>
      <w:spacing w:before="25" w:after="25"/>
      <w:jc w:val="left"/>
    </w:pPr>
    <w:rPr>
      <w:bCs/>
      <w:spacing w:val="10"/>
      <w:kern w:val="0"/>
      <w:sz w:val="24"/>
    </w:rPr>
  </w:style>
  <w:style w:type="character" w:customStyle="1" w:styleId="13">
    <w:name w:val="NormalCharacter"/>
    <w:semiHidden/>
    <w:qFormat/>
    <w:uiPriority w:val="0"/>
    <w:rPr>
      <w:rFonts w:ascii="Calibri" w:hAnsi="Calibri"/>
      <w:kern w:val="2"/>
      <w:sz w:val="21"/>
      <w:szCs w:val="24"/>
      <w:lang w:val="en-US" w:eastAsia="zh-CN" w:bidi="ar-SA"/>
    </w:rPr>
  </w:style>
  <w:style w:type="paragraph" w:customStyle="1" w:styleId="14">
    <w:name w:val="Table Text"/>
    <w:basedOn w:val="1"/>
    <w:semiHidden/>
    <w:qFormat/>
    <w:uiPriority w:val="0"/>
    <w:rPr>
      <w:rFonts w:ascii="宋体" w:hAnsi="宋体" w:cs="宋体"/>
      <w:sz w:val="20"/>
      <w:szCs w:val="20"/>
      <w:lang w:eastAsia="en-US"/>
    </w:rPr>
  </w:style>
  <w:style w:type="table" w:customStyle="1" w:styleId="15">
    <w:name w:val="Table Normal"/>
    <w:semiHidden/>
    <w:unhideWhenUsed/>
    <w:qFormat/>
    <w:uiPriority w:val="0"/>
    <w:tblPr>
      <w:tblCellMar>
        <w:top w:w="0" w:type="dxa"/>
        <w:left w:w="0" w:type="dxa"/>
        <w:bottom w:w="0" w:type="dxa"/>
        <w:right w:w="0" w:type="dxa"/>
      </w:tblCellMar>
    </w:tblPr>
  </w:style>
  <w:style w:type="character" w:customStyle="1" w:styleId="16">
    <w:name w:val="font31"/>
    <w:basedOn w:val="10"/>
    <w:qFormat/>
    <w:uiPriority w:val="0"/>
    <w:rPr>
      <w:rFonts w:hint="eastAsia" w:ascii="宋体" w:hAnsi="宋体" w:eastAsia="宋体" w:cs="宋体"/>
      <w:color w:val="000000"/>
      <w:sz w:val="20"/>
      <w:szCs w:val="20"/>
      <w:u w:val="none"/>
    </w:rPr>
  </w:style>
  <w:style w:type="character" w:customStyle="1" w:styleId="17">
    <w:name w:val="font51"/>
    <w:basedOn w:val="10"/>
    <w:qFormat/>
    <w:uiPriority w:val="0"/>
    <w:rPr>
      <w:rFonts w:hint="default" w:ascii="Times New Roman" w:hAnsi="Times New Roman" w:cs="Times New Roman"/>
      <w:color w:val="000000"/>
      <w:sz w:val="20"/>
      <w:szCs w:val="20"/>
      <w:u w:val="none"/>
    </w:rPr>
  </w:style>
  <w:style w:type="character" w:customStyle="1" w:styleId="18">
    <w:name w:val="font41"/>
    <w:basedOn w:val="10"/>
    <w:qFormat/>
    <w:uiPriority w:val="0"/>
    <w:rPr>
      <w:rFonts w:hint="eastAsia" w:ascii="宋体" w:hAnsi="宋体" w:eastAsia="宋体" w:cs="宋体"/>
      <w:color w:val="000000"/>
      <w:sz w:val="20"/>
      <w:szCs w:val="20"/>
      <w:u w:val="none"/>
    </w:rPr>
  </w:style>
  <w:style w:type="paragraph" w:styleId="19">
    <w:name w:val="List Paragraph"/>
    <w:basedOn w:val="1"/>
    <w:qFormat/>
    <w:uiPriority w:val="34"/>
    <w:pPr>
      <w:ind w:firstLine="420" w:firstLineChars="200"/>
    </w:pPr>
  </w:style>
  <w:style w:type="character" w:customStyle="1" w:styleId="20">
    <w:name w:val="页眉 字符"/>
    <w:basedOn w:val="10"/>
    <w:link w:val="5"/>
    <w:uiPriority w:val="0"/>
    <w:rPr>
      <w:rFonts w:ascii="Calibri" w:hAnsi="Calibri"/>
      <w:kern w:val="2"/>
      <w:sz w:val="18"/>
      <w:szCs w:val="18"/>
    </w:rPr>
  </w:style>
  <w:style w:type="character" w:customStyle="1" w:styleId="21">
    <w:name w:val="页脚 字符"/>
    <w:basedOn w:val="10"/>
    <w:link w:val="4"/>
    <w:uiPriority w:val="0"/>
    <w:rPr>
      <w:rFonts w:ascii="Calibri" w:hAnsi="Calibri"/>
      <w:kern w:val="2"/>
      <w:sz w:val="18"/>
      <w:szCs w:val="18"/>
    </w:rPr>
  </w:style>
  <w:style w:type="character" w:customStyle="1" w:styleId="22">
    <w:name w:val="fontstyle01"/>
    <w:basedOn w:val="10"/>
    <w:uiPriority w:val="0"/>
    <w:rPr>
      <w:rFonts w:hint="eastAsia" w:ascii="宋体" w:hAnsi="宋体" w:eastAsia="宋体"/>
      <w:color w:val="000000"/>
      <w:sz w:val="18"/>
      <w:szCs w:val="18"/>
    </w:rPr>
  </w:style>
  <w:style w:type="character" w:customStyle="1" w:styleId="23">
    <w:name w:val="fontstyle21"/>
    <w:basedOn w:val="10"/>
    <w:uiPriority w:val="0"/>
    <w:rPr>
      <w:rFonts w:hint="default" w:ascii="Calibri" w:hAnsi="Calibri" w:cs="Calibri"/>
      <w:color w:val="00000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4052</Words>
  <Characters>5127</Characters>
  <Lines>239</Lines>
  <Paragraphs>205</Paragraphs>
  <TotalTime>73</TotalTime>
  <ScaleCrop>false</ScaleCrop>
  <LinksUpToDate>false</LinksUpToDate>
  <CharactersWithSpaces>5200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2026-07-06T13:01:00Z</dcterms:created>
  <dc:creator>刘新月</dc:creator>
  <cp:lastModifiedBy>海之源</cp:lastModifiedBy>
  <cp:lastPrinted>2024-06-20T10:35:00Z</cp:lastPrinted>
  <dcterms:modified xsi:type="dcterms:W3CDTF">2026-07-08T04:16:46Z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73FDC261AF9B4B9C9D97F1B347A6CB10_13</vt:lpwstr>
  </property>
  <property fmtid="{D5CDD505-2E9C-101B-9397-08002B2CF9AE}" pid="4" name="KSOTemplateDocerSaveRecord">
    <vt:lpwstr>eyJoZGlkIjoiN2M5NjMxMDg4YTU1MTc1MzUzNTdiYjQxMWM0NWM5ZWUiLCJ1c2VySWQiOiIxMDExMDYxNDQ1In0=</vt:lpwstr>
  </property>
</Properties>
</file>