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CDC2B">
      <w:pPr>
        <w:spacing w:line="600" w:lineRule="exact"/>
        <w:ind w:left="-567" w:leftChars="-270" w:right="25" w:rightChars="12"/>
        <w:jc w:val="center"/>
        <w:rPr>
          <w:rFonts w:hint="eastAsia" w:ascii="宋体" w:hAnsi="宋体" w:cs="宋体"/>
          <w:b/>
          <w:bCs/>
          <w:color w:val="auto"/>
          <w:sz w:val="40"/>
          <w:szCs w:val="40"/>
          <w:highlight w:val="none"/>
        </w:rPr>
      </w:pPr>
    </w:p>
    <w:p w14:paraId="7518ED56">
      <w:pPr>
        <w:spacing w:line="600" w:lineRule="exact"/>
        <w:ind w:left="-567" w:leftChars="-270" w:right="25" w:rightChars="12"/>
        <w:jc w:val="center"/>
        <w:rPr>
          <w:rFonts w:hint="eastAsia" w:ascii="仿宋" w:hAnsi="仿宋" w:eastAsia="仿宋" w:cs="仿宋"/>
          <w:b/>
          <w:bCs/>
          <w:color w:val="auto"/>
          <w:sz w:val="44"/>
          <w:szCs w:val="44"/>
          <w:highlight w:val="none"/>
        </w:rPr>
      </w:pPr>
      <w:r>
        <w:rPr>
          <w:rFonts w:hint="eastAsia" w:ascii="宋体" w:hAnsi="宋体" w:cs="宋体"/>
          <w:b/>
          <w:bCs/>
          <w:color w:val="auto"/>
          <w:sz w:val="40"/>
          <w:szCs w:val="40"/>
          <w:highlight w:val="none"/>
        </w:rPr>
        <w:t>广西中医药大学附设中医学校（广西中医学校）北湖校区舞台室内LED设备采购项目</w:t>
      </w:r>
      <w:r>
        <w:rPr>
          <w:rFonts w:hint="eastAsia" w:ascii="仿宋" w:hAnsi="仿宋" w:eastAsia="仿宋" w:cs="仿宋"/>
          <w:b/>
          <w:bCs/>
          <w:color w:val="auto"/>
          <w:sz w:val="44"/>
          <w:szCs w:val="44"/>
          <w:highlight w:val="none"/>
        </w:rPr>
        <w:t>需求文件</w:t>
      </w:r>
    </w:p>
    <w:p w14:paraId="62F55706">
      <w:pPr>
        <w:widowControl/>
        <w:spacing w:line="640" w:lineRule="exact"/>
        <w:jc w:val="left"/>
        <w:textAlignment w:val="center"/>
        <w:rPr>
          <w:rFonts w:hint="eastAsia" w:ascii="仿宋_GB2312" w:hAnsi="仿宋_GB2312" w:eastAsia="仿宋_GB2312" w:cs="仿宋_GB2312"/>
          <w:color w:val="auto"/>
          <w:sz w:val="32"/>
          <w:szCs w:val="32"/>
          <w:highlight w:val="none"/>
          <w:lang w:val="en-US" w:eastAsia="zh-CN"/>
        </w:rPr>
      </w:pPr>
    </w:p>
    <w:p w14:paraId="508F7D32">
      <w:pPr>
        <w:widowControl/>
        <w:spacing w:line="640" w:lineRule="exact"/>
        <w:ind w:firstLine="640" w:firstLineChars="200"/>
        <w:jc w:val="left"/>
        <w:textAlignment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项目名称：广西中医药大学附设中医学校（广西中医学校）北湖校区舞台室内LED设备采购项目</w:t>
      </w:r>
    </w:p>
    <w:p w14:paraId="3F2746D3">
      <w:pPr>
        <w:widowControl/>
        <w:spacing w:line="640" w:lineRule="exact"/>
        <w:ind w:firstLine="640" w:firstLineChars="200"/>
        <w:jc w:val="left"/>
        <w:textAlignment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项目采购预算：187,569.00元</w:t>
      </w:r>
    </w:p>
    <w:p w14:paraId="6E95E434">
      <w:pPr>
        <w:widowControl/>
        <w:spacing w:line="640" w:lineRule="exact"/>
        <w:ind w:firstLine="640" w:firstLineChars="200"/>
        <w:jc w:val="left"/>
        <w:textAlignment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采购方式：在线询价</w:t>
      </w:r>
    </w:p>
    <w:p w14:paraId="37EA018E">
      <w:pPr>
        <w:widowControl/>
        <w:spacing w:line="640" w:lineRule="exact"/>
        <w:ind w:firstLine="640" w:firstLineChars="200"/>
        <w:jc w:val="left"/>
        <w:textAlignment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项目概况：</w:t>
      </w:r>
    </w:p>
    <w:p w14:paraId="3DBDF173">
      <w:pPr>
        <w:widowControl/>
        <w:spacing w:line="640" w:lineRule="exact"/>
        <w:ind w:firstLine="640" w:firstLineChars="200"/>
        <w:jc w:val="left"/>
        <w:textAlignment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本项目位于广西中医药大学附设中医学校（广西中医学校）北湖校区，采购室内 LED 屏</w:t>
      </w:r>
      <w:r>
        <w:rPr>
          <w:rFonts w:hint="eastAsia" w:ascii="仿宋_GB2312" w:hAnsi="仿宋_GB2312" w:eastAsia="仿宋_GB2312" w:cs="仿宋_GB2312"/>
          <w:color w:val="auto"/>
          <w:sz w:val="32"/>
          <w:szCs w:val="32"/>
          <w:highlight w:val="none"/>
          <w:lang w:val="en-US" w:eastAsia="zh-CN"/>
        </w:rPr>
        <w:t>系统（含室内全彩 LED 屏、电源、</w:t>
      </w:r>
      <w:r>
        <w:rPr>
          <w:rFonts w:hint="eastAsia" w:ascii="仿宋_GB2312" w:hAnsi="仿宋_GB2312" w:eastAsia="仿宋_GB2312" w:cs="仿宋_GB2312"/>
          <w:color w:val="auto"/>
          <w:sz w:val="32"/>
          <w:szCs w:val="32"/>
          <w:highlight w:val="none"/>
        </w:rPr>
        <w:t>视频处理器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LED播放软件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屏体结构及辅材安装、拆除旧屏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多功能卡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配电箱</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一拖四无线短杆话筒</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室内单红色LED显示屏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异步控制卡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控制软件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电源</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屏体结构及辅材安装、拆旧屏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无线矩阵</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详见采购需求一览表。</w:t>
      </w:r>
    </w:p>
    <w:p w14:paraId="6CE6B376">
      <w:pPr>
        <w:widowControl/>
        <w:spacing w:line="288" w:lineRule="auto"/>
        <w:jc w:val="center"/>
        <w:rPr>
          <w:rFonts w:hint="eastAsia" w:ascii="宋体" w:hAnsi="宋体" w:cs="宋体"/>
          <w:b/>
          <w:bCs/>
          <w:color w:val="auto"/>
          <w:sz w:val="40"/>
          <w:szCs w:val="40"/>
          <w:highlight w:val="none"/>
        </w:rPr>
      </w:pPr>
    </w:p>
    <w:p w14:paraId="150707F3">
      <w:pPr>
        <w:widowControl/>
        <w:spacing w:line="288" w:lineRule="auto"/>
        <w:jc w:val="center"/>
        <w:rPr>
          <w:rFonts w:hint="eastAsia" w:ascii="宋体" w:hAnsi="宋体" w:cs="宋体"/>
          <w:b/>
          <w:bCs/>
          <w:color w:val="auto"/>
          <w:sz w:val="40"/>
          <w:szCs w:val="40"/>
          <w:highlight w:val="none"/>
          <w:lang w:val="en-US" w:eastAsia="zh-CN"/>
        </w:rPr>
      </w:pPr>
    </w:p>
    <w:p w14:paraId="0D0B6CE1">
      <w:pPr>
        <w:widowControl/>
        <w:spacing w:line="288" w:lineRule="auto"/>
        <w:jc w:val="center"/>
        <w:rPr>
          <w:rFonts w:hint="eastAsia" w:ascii="宋体" w:hAnsi="宋体" w:cs="宋体"/>
          <w:b/>
          <w:bCs/>
          <w:color w:val="auto"/>
          <w:sz w:val="40"/>
          <w:szCs w:val="40"/>
          <w:highlight w:val="none"/>
          <w:lang w:val="en-US" w:eastAsia="zh-CN"/>
        </w:rPr>
      </w:pPr>
    </w:p>
    <w:p w14:paraId="1A3E3710">
      <w:pPr>
        <w:widowControl/>
        <w:spacing w:line="288" w:lineRule="auto"/>
        <w:jc w:val="center"/>
        <w:rPr>
          <w:rFonts w:hint="eastAsia" w:ascii="宋体" w:hAnsi="宋体" w:cs="宋体"/>
          <w:b/>
          <w:bCs/>
          <w:color w:val="auto"/>
          <w:sz w:val="40"/>
          <w:szCs w:val="40"/>
          <w:highlight w:val="none"/>
          <w:lang w:val="en-US" w:eastAsia="zh-CN"/>
        </w:rPr>
      </w:pPr>
    </w:p>
    <w:p w14:paraId="2712AA9F">
      <w:pPr>
        <w:widowControl/>
        <w:spacing w:line="288" w:lineRule="auto"/>
        <w:jc w:val="center"/>
        <w:rPr>
          <w:rFonts w:hint="eastAsia" w:ascii="宋体" w:hAnsi="宋体" w:cs="宋体"/>
          <w:b/>
          <w:bCs/>
          <w:color w:val="auto"/>
          <w:sz w:val="40"/>
          <w:szCs w:val="40"/>
          <w:highlight w:val="none"/>
          <w:lang w:val="en-US" w:eastAsia="zh-CN"/>
        </w:rPr>
      </w:pPr>
    </w:p>
    <w:p w14:paraId="7027367C">
      <w:pPr>
        <w:widowControl/>
        <w:spacing w:line="288" w:lineRule="auto"/>
        <w:jc w:val="center"/>
        <w:rPr>
          <w:rFonts w:hint="eastAsia" w:ascii="宋体" w:hAnsi="宋体" w:cs="宋体"/>
          <w:b/>
          <w:bCs/>
          <w:color w:val="auto"/>
          <w:sz w:val="40"/>
          <w:szCs w:val="40"/>
          <w:highlight w:val="none"/>
          <w:lang w:val="en-US" w:eastAsia="zh-CN"/>
        </w:rPr>
      </w:pPr>
    </w:p>
    <w:p w14:paraId="283B5930">
      <w:pPr>
        <w:widowControl/>
        <w:spacing w:line="288" w:lineRule="auto"/>
        <w:jc w:val="center"/>
        <w:rPr>
          <w:rFonts w:hint="eastAsia" w:ascii="宋体" w:hAnsi="宋体" w:cs="宋体"/>
          <w:b/>
          <w:bCs/>
          <w:color w:val="auto"/>
          <w:sz w:val="40"/>
          <w:szCs w:val="40"/>
          <w:highlight w:val="none"/>
        </w:rPr>
      </w:pPr>
      <w:r>
        <w:rPr>
          <w:rFonts w:hint="eastAsia" w:ascii="宋体" w:hAnsi="宋体" w:cs="宋体"/>
          <w:b/>
          <w:bCs/>
          <w:color w:val="auto"/>
          <w:sz w:val="40"/>
          <w:szCs w:val="40"/>
          <w:highlight w:val="none"/>
          <w:lang w:val="en-US" w:eastAsia="zh-CN"/>
        </w:rPr>
        <w:t>采购需求一览表</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
        <w:gridCol w:w="616"/>
        <w:gridCol w:w="1316"/>
        <w:gridCol w:w="3338"/>
        <w:gridCol w:w="716"/>
        <w:gridCol w:w="417"/>
        <w:gridCol w:w="823"/>
        <w:gridCol w:w="876"/>
      </w:tblGrid>
      <w:tr w14:paraId="5BD7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44" w:type="pct"/>
            <w:vAlign w:val="center"/>
          </w:tcPr>
          <w:p w14:paraId="1ECC001D">
            <w:pPr>
              <w:spacing w:line="288" w:lineRule="auto"/>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序号</w:t>
            </w:r>
          </w:p>
        </w:tc>
        <w:tc>
          <w:tcPr>
            <w:tcW w:w="361" w:type="pct"/>
            <w:vAlign w:val="center"/>
          </w:tcPr>
          <w:p w14:paraId="2C9A6061">
            <w:pPr>
              <w:spacing w:line="288" w:lineRule="auto"/>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名称</w:t>
            </w:r>
          </w:p>
        </w:tc>
        <w:tc>
          <w:tcPr>
            <w:tcW w:w="772" w:type="pct"/>
            <w:vAlign w:val="center"/>
          </w:tcPr>
          <w:p w14:paraId="0BBE35ED">
            <w:pPr>
              <w:spacing w:line="288" w:lineRule="auto"/>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参考品牌</w:t>
            </w:r>
          </w:p>
        </w:tc>
        <w:tc>
          <w:tcPr>
            <w:tcW w:w="1960" w:type="pct"/>
            <w:vAlign w:val="center"/>
          </w:tcPr>
          <w:p w14:paraId="78DF4CB4">
            <w:pPr>
              <w:spacing w:line="288" w:lineRule="auto"/>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规格参数</w:t>
            </w:r>
          </w:p>
        </w:tc>
        <w:tc>
          <w:tcPr>
            <w:tcW w:w="420" w:type="pct"/>
            <w:vAlign w:val="center"/>
          </w:tcPr>
          <w:p w14:paraId="65E3300F">
            <w:pPr>
              <w:spacing w:line="288" w:lineRule="auto"/>
              <w:rPr>
                <w:rFonts w:ascii="宋体" w:hAnsi="宋体" w:cs="宋体"/>
                <w:b/>
                <w:bCs/>
                <w:color w:val="auto"/>
                <w:sz w:val="20"/>
                <w:szCs w:val="20"/>
                <w:highlight w:val="none"/>
              </w:rPr>
            </w:pPr>
            <w:r>
              <w:rPr>
                <w:rFonts w:hint="eastAsia" w:ascii="宋体" w:hAnsi="宋体" w:cs="宋体"/>
                <w:b/>
                <w:bCs/>
                <w:color w:val="auto"/>
                <w:sz w:val="20"/>
                <w:szCs w:val="20"/>
                <w:highlight w:val="none"/>
              </w:rPr>
              <w:t>数量</w:t>
            </w:r>
          </w:p>
        </w:tc>
        <w:tc>
          <w:tcPr>
            <w:tcW w:w="244" w:type="pct"/>
            <w:vAlign w:val="center"/>
          </w:tcPr>
          <w:p w14:paraId="73CB1E0C">
            <w:pPr>
              <w:spacing w:line="288" w:lineRule="auto"/>
              <w:rPr>
                <w:rFonts w:ascii="宋体" w:hAnsi="宋体" w:cs="宋体"/>
                <w:b/>
                <w:bCs/>
                <w:color w:val="auto"/>
                <w:sz w:val="20"/>
                <w:szCs w:val="20"/>
                <w:highlight w:val="none"/>
              </w:rPr>
            </w:pPr>
            <w:r>
              <w:rPr>
                <w:rFonts w:hint="eastAsia" w:ascii="宋体" w:hAnsi="宋体" w:cs="宋体"/>
                <w:b/>
                <w:bCs/>
                <w:color w:val="auto"/>
                <w:sz w:val="20"/>
                <w:szCs w:val="20"/>
                <w:highlight w:val="none"/>
              </w:rPr>
              <w:t>单位</w:t>
            </w:r>
          </w:p>
        </w:tc>
        <w:tc>
          <w:tcPr>
            <w:tcW w:w="481" w:type="pct"/>
            <w:vAlign w:val="center"/>
          </w:tcPr>
          <w:p w14:paraId="538FC716">
            <w:pPr>
              <w:spacing w:line="288" w:lineRule="auto"/>
              <w:rPr>
                <w:rFonts w:ascii="宋体" w:hAnsi="宋体" w:cs="宋体"/>
                <w:b/>
                <w:bCs/>
                <w:color w:val="auto"/>
                <w:sz w:val="20"/>
                <w:szCs w:val="20"/>
                <w:highlight w:val="none"/>
              </w:rPr>
            </w:pPr>
            <w:r>
              <w:rPr>
                <w:rFonts w:hint="eastAsia" w:ascii="宋体" w:hAnsi="宋体" w:eastAsia="宋体" w:cs="宋体"/>
                <w:b/>
                <w:bCs/>
                <w:i w:val="0"/>
                <w:iCs w:val="0"/>
                <w:color w:val="auto"/>
                <w:kern w:val="0"/>
                <w:sz w:val="20"/>
                <w:szCs w:val="20"/>
                <w:highlight w:val="none"/>
                <w:u w:val="none"/>
                <w:lang w:val="en-US" w:eastAsia="zh-CN" w:bidi="ar"/>
              </w:rPr>
              <w:t>单价限价</w:t>
            </w:r>
            <w:r>
              <w:rPr>
                <w:rFonts w:hint="eastAsia" w:ascii="宋体" w:hAnsi="宋体" w:cs="宋体"/>
                <w:b/>
                <w:bCs/>
                <w:color w:val="auto"/>
                <w:sz w:val="20"/>
                <w:szCs w:val="20"/>
                <w:highlight w:val="none"/>
              </w:rPr>
              <w:t>（元）</w:t>
            </w:r>
          </w:p>
        </w:tc>
        <w:tc>
          <w:tcPr>
            <w:tcW w:w="514" w:type="pct"/>
            <w:vAlign w:val="center"/>
          </w:tcPr>
          <w:p w14:paraId="242E0982">
            <w:pPr>
              <w:spacing w:line="288" w:lineRule="auto"/>
              <w:rPr>
                <w:rFonts w:ascii="宋体" w:hAnsi="宋体" w:cs="宋体"/>
                <w:b/>
                <w:bCs/>
                <w:color w:val="auto"/>
                <w:sz w:val="20"/>
                <w:szCs w:val="20"/>
                <w:highlight w:val="none"/>
              </w:rPr>
            </w:pPr>
            <w:r>
              <w:rPr>
                <w:rFonts w:hint="eastAsia" w:ascii="宋体" w:hAnsi="宋体" w:cs="宋体"/>
                <w:b/>
                <w:bCs/>
                <w:color w:val="auto"/>
                <w:sz w:val="20"/>
                <w:szCs w:val="20"/>
                <w:highlight w:val="none"/>
                <w:lang w:val="en-US" w:eastAsia="zh-CN"/>
              </w:rPr>
              <w:t>小计限价</w:t>
            </w:r>
            <w:r>
              <w:rPr>
                <w:rFonts w:hint="eastAsia" w:ascii="宋体" w:hAnsi="宋体" w:cs="宋体"/>
                <w:b/>
                <w:bCs/>
                <w:color w:val="auto"/>
                <w:sz w:val="20"/>
                <w:szCs w:val="20"/>
                <w:highlight w:val="none"/>
              </w:rPr>
              <w:t>（元）</w:t>
            </w:r>
          </w:p>
        </w:tc>
      </w:tr>
      <w:tr w14:paraId="0E32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6D7FA3D8">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361" w:type="pct"/>
            <w:vAlign w:val="center"/>
          </w:tcPr>
          <w:p w14:paraId="6C82AEB4">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室内全</w:t>
            </w:r>
            <w:r>
              <w:rPr>
                <w:rFonts w:hint="eastAsia" w:ascii="宋体" w:hAnsi="宋体" w:cs="宋体"/>
                <w:color w:val="auto"/>
                <w:sz w:val="20"/>
                <w:szCs w:val="20"/>
                <w:highlight w:val="none"/>
              </w:rPr>
              <w:cr/>
            </w:r>
            <w:r>
              <w:rPr>
                <w:rFonts w:hint="eastAsia" w:ascii="宋体" w:hAnsi="宋体" w:cs="宋体"/>
                <w:color w:val="auto"/>
                <w:sz w:val="20"/>
                <w:szCs w:val="20"/>
                <w:highlight w:val="none"/>
              </w:rPr>
              <w:t>彩 LED 屏</w:t>
            </w:r>
          </w:p>
        </w:tc>
        <w:tc>
          <w:tcPr>
            <w:tcW w:w="772" w:type="pct"/>
            <w:vAlign w:val="center"/>
          </w:tcPr>
          <w:p w14:paraId="2B5E64EC">
            <w:pPr>
              <w:spacing w:line="288" w:lineRule="auto"/>
              <w:rPr>
                <w:rFonts w:ascii="宋体" w:hAnsi="宋体" w:cs="宋体"/>
                <w:color w:val="auto"/>
                <w:sz w:val="20"/>
                <w:szCs w:val="20"/>
                <w:highlight w:val="none"/>
              </w:rPr>
            </w:pPr>
          </w:p>
          <w:p w14:paraId="6563F9D9">
            <w:pPr>
              <w:spacing w:line="288" w:lineRule="auto"/>
              <w:rPr>
                <w:rFonts w:ascii="宋体" w:hAnsi="宋体" w:cs="宋体"/>
                <w:color w:val="auto"/>
                <w:sz w:val="20"/>
                <w:szCs w:val="20"/>
                <w:highlight w:val="none"/>
              </w:rPr>
            </w:pPr>
          </w:p>
          <w:p w14:paraId="1B1E805C">
            <w:pPr>
              <w:spacing w:line="288" w:lineRule="auto"/>
              <w:rPr>
                <w:rFonts w:ascii="宋体" w:hAnsi="宋体" w:cs="宋体"/>
                <w:color w:val="auto"/>
                <w:sz w:val="20"/>
                <w:szCs w:val="20"/>
                <w:highlight w:val="none"/>
              </w:rPr>
            </w:pPr>
          </w:p>
          <w:p w14:paraId="4E0F7AA4">
            <w:pPr>
              <w:spacing w:line="288" w:lineRule="auto"/>
              <w:rPr>
                <w:rFonts w:ascii="宋体" w:hAnsi="宋体" w:cs="宋体"/>
                <w:color w:val="auto"/>
                <w:sz w:val="20"/>
                <w:szCs w:val="20"/>
                <w:highlight w:val="none"/>
              </w:rPr>
            </w:pPr>
          </w:p>
          <w:p w14:paraId="68DB6BB5">
            <w:pPr>
              <w:spacing w:line="288" w:lineRule="auto"/>
              <w:rPr>
                <w:rFonts w:ascii="宋体" w:hAnsi="宋体" w:cs="宋体"/>
                <w:color w:val="auto"/>
                <w:sz w:val="20"/>
                <w:szCs w:val="20"/>
                <w:highlight w:val="none"/>
              </w:rPr>
            </w:pPr>
          </w:p>
          <w:p w14:paraId="55403540">
            <w:pPr>
              <w:spacing w:line="288" w:lineRule="auto"/>
              <w:rPr>
                <w:rFonts w:ascii="宋体" w:hAnsi="宋体" w:cs="宋体"/>
                <w:color w:val="auto"/>
                <w:sz w:val="20"/>
                <w:szCs w:val="20"/>
                <w:highlight w:val="none"/>
              </w:rPr>
            </w:pPr>
          </w:p>
          <w:p w14:paraId="6FF409AE">
            <w:pPr>
              <w:spacing w:line="288" w:lineRule="auto"/>
              <w:rPr>
                <w:rFonts w:ascii="宋体" w:hAnsi="宋体" w:cs="宋体"/>
                <w:color w:val="auto"/>
                <w:sz w:val="20"/>
                <w:szCs w:val="20"/>
                <w:highlight w:val="none"/>
              </w:rPr>
            </w:pPr>
          </w:p>
          <w:p w14:paraId="0B99EAA2">
            <w:pPr>
              <w:spacing w:line="288" w:lineRule="auto"/>
              <w:rPr>
                <w:rFonts w:ascii="宋体" w:hAnsi="宋体" w:cs="宋体"/>
                <w:color w:val="auto"/>
                <w:sz w:val="20"/>
                <w:szCs w:val="20"/>
                <w:highlight w:val="none"/>
              </w:rPr>
            </w:pPr>
          </w:p>
          <w:p w14:paraId="2D2D3B5E">
            <w:pPr>
              <w:spacing w:line="460" w:lineRule="exact"/>
              <w:jc w:val="left"/>
              <w:rPr>
                <w:rFonts w:ascii="宋体" w:hAnsi="宋体" w:cs="宋体"/>
                <w:color w:val="auto"/>
                <w:kern w:val="0"/>
                <w:sz w:val="20"/>
                <w:szCs w:val="20"/>
                <w:highlight w:val="none"/>
              </w:rPr>
            </w:pPr>
          </w:p>
          <w:p w14:paraId="6066447B">
            <w:pPr>
              <w:spacing w:line="288" w:lineRule="auto"/>
              <w:rPr>
                <w:rFonts w:ascii="宋体" w:hAnsi="宋体" w:cs="宋体"/>
                <w:color w:val="auto"/>
                <w:sz w:val="20"/>
                <w:szCs w:val="20"/>
                <w:highlight w:val="none"/>
              </w:rPr>
            </w:pPr>
            <w:r>
              <w:rPr>
                <w:rFonts w:hint="eastAsia" w:ascii="宋体" w:hAnsi="宋体" w:cs="宋体"/>
                <w:color w:val="auto"/>
                <w:sz w:val="20"/>
                <w:szCs w:val="20"/>
                <w:highlight w:val="none"/>
              </w:rPr>
              <w:t>高科、洲明、强力巨彩、蓝普、海信、京东方</w:t>
            </w:r>
          </w:p>
          <w:p w14:paraId="6DBD4CC1">
            <w:pPr>
              <w:spacing w:line="288" w:lineRule="auto"/>
              <w:rPr>
                <w:rFonts w:ascii="宋体" w:hAnsi="宋体" w:cs="宋体"/>
                <w:color w:val="auto"/>
                <w:sz w:val="20"/>
                <w:szCs w:val="20"/>
                <w:highlight w:val="none"/>
              </w:rPr>
            </w:pPr>
          </w:p>
          <w:p w14:paraId="01B6CA5E">
            <w:pPr>
              <w:spacing w:line="288" w:lineRule="auto"/>
              <w:rPr>
                <w:rFonts w:ascii="宋体" w:hAnsi="宋体" w:cs="宋体"/>
                <w:color w:val="auto"/>
                <w:sz w:val="20"/>
                <w:szCs w:val="20"/>
                <w:highlight w:val="none"/>
              </w:rPr>
            </w:pPr>
          </w:p>
          <w:p w14:paraId="38A20D90">
            <w:pPr>
              <w:spacing w:line="288" w:lineRule="auto"/>
              <w:rPr>
                <w:rFonts w:ascii="宋体" w:hAnsi="宋体" w:cs="宋体"/>
                <w:color w:val="auto"/>
                <w:sz w:val="20"/>
                <w:szCs w:val="20"/>
                <w:highlight w:val="none"/>
              </w:rPr>
            </w:pPr>
          </w:p>
          <w:p w14:paraId="780F8C92">
            <w:pPr>
              <w:spacing w:line="288" w:lineRule="auto"/>
              <w:rPr>
                <w:rFonts w:ascii="宋体" w:hAnsi="宋体" w:cs="宋体"/>
                <w:color w:val="auto"/>
                <w:sz w:val="20"/>
                <w:szCs w:val="20"/>
                <w:highlight w:val="none"/>
              </w:rPr>
            </w:pPr>
          </w:p>
          <w:p w14:paraId="5A3AA189">
            <w:pPr>
              <w:spacing w:line="288" w:lineRule="auto"/>
              <w:rPr>
                <w:rFonts w:ascii="宋体" w:hAnsi="宋体" w:cs="宋体"/>
                <w:color w:val="auto"/>
                <w:sz w:val="20"/>
                <w:szCs w:val="20"/>
                <w:highlight w:val="none"/>
              </w:rPr>
            </w:pPr>
          </w:p>
          <w:p w14:paraId="61BBCB6D">
            <w:pPr>
              <w:spacing w:line="288" w:lineRule="auto"/>
              <w:rPr>
                <w:rFonts w:ascii="宋体" w:hAnsi="宋体" w:cs="宋体"/>
                <w:color w:val="auto"/>
                <w:sz w:val="20"/>
                <w:szCs w:val="20"/>
                <w:highlight w:val="none"/>
              </w:rPr>
            </w:pPr>
          </w:p>
          <w:p w14:paraId="3F4C3A9A">
            <w:pPr>
              <w:spacing w:line="288" w:lineRule="auto"/>
              <w:rPr>
                <w:rFonts w:ascii="宋体" w:hAnsi="宋体" w:cs="宋体"/>
                <w:color w:val="auto"/>
                <w:sz w:val="20"/>
                <w:szCs w:val="20"/>
                <w:highlight w:val="none"/>
              </w:rPr>
            </w:pPr>
          </w:p>
          <w:p w14:paraId="5AA95BD5">
            <w:pPr>
              <w:spacing w:line="288" w:lineRule="auto"/>
              <w:rPr>
                <w:rFonts w:ascii="宋体" w:hAnsi="宋体" w:cs="宋体"/>
                <w:color w:val="auto"/>
                <w:sz w:val="20"/>
                <w:szCs w:val="20"/>
                <w:highlight w:val="none"/>
              </w:rPr>
            </w:pPr>
          </w:p>
          <w:p w14:paraId="30B38048">
            <w:pPr>
              <w:spacing w:line="288" w:lineRule="auto"/>
              <w:rPr>
                <w:rFonts w:ascii="宋体" w:hAnsi="宋体" w:cs="宋体"/>
                <w:color w:val="auto"/>
                <w:sz w:val="20"/>
                <w:szCs w:val="20"/>
                <w:highlight w:val="none"/>
              </w:rPr>
            </w:pPr>
          </w:p>
          <w:p w14:paraId="74F9A2A5">
            <w:pPr>
              <w:spacing w:line="288" w:lineRule="auto"/>
              <w:rPr>
                <w:rFonts w:ascii="宋体" w:hAnsi="宋体" w:cs="宋体"/>
                <w:color w:val="auto"/>
                <w:sz w:val="20"/>
                <w:szCs w:val="20"/>
                <w:highlight w:val="none"/>
              </w:rPr>
            </w:pPr>
          </w:p>
        </w:tc>
        <w:tc>
          <w:tcPr>
            <w:tcW w:w="1960" w:type="pct"/>
          </w:tcPr>
          <w:p w14:paraId="4F8F2276">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1.屏体尺寸宽度≥9.92米，高度≥3.62米</w:t>
            </w:r>
          </w:p>
          <w:p w14:paraId="3C7F0CA5">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2.点间距≤2.0mm；像素密度≥250000 点/平米，SMD三合一封装</w:t>
            </w:r>
          </w:p>
          <w:p w14:paraId="1323DBB0">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3.平整度≤0.2mm;拼接精度≤0.05mm, 水平相对错位等级≤5%;垂直相对错位等级≤5%</w:t>
            </w:r>
          </w:p>
          <w:p w14:paraId="3D608CD6">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4.亮度均匀 ≥98%,</w:t>
            </w:r>
          </w:p>
          <w:p w14:paraId="012CE6C2">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5.刷新率≥3840HZ</w:t>
            </w:r>
          </w:p>
          <w:p w14:paraId="7D7E6EFF">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6.亮度鉴别等级≥20</w:t>
            </w:r>
          </w:p>
          <w:p w14:paraId="3A6EB1A2">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7.最大亮度≥500cd/㎡；</w:t>
            </w:r>
          </w:p>
          <w:p w14:paraId="0BC750D8">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8.水平视角≥160°垂直视角≥160°；</w:t>
            </w:r>
          </w:p>
          <w:p w14:paraId="246477EA">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▲9.LED 显示屏符合 GB 21520-2023标准，能效一级，最大功耗≤400W/㎡；平均功耗≤ 85W/㎡；</w:t>
            </w:r>
          </w:p>
          <w:p w14:paraId="3CDB4A1D">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10.平均失效间隔工作时间≥100000h；使用寿命≥100000h</w:t>
            </w:r>
          </w:p>
          <w:p w14:paraId="3516F22B">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11.在常规温度下，LED显示屏供电电源的功率因数＞90%，，转换效率不小于＞70%，支持电源均流 DC4.2V-DC5V</w:t>
            </w:r>
          </w:p>
          <w:p w14:paraId="726CD5FC">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▲12.多个 LED 模组金属外壳与钢架一起接地，显示屏整体接地电阻不大于 1Ω</w:t>
            </w:r>
          </w:p>
          <w:p w14:paraId="1B16C7B3">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13.维护方式：支持后/前多种维护方式</w:t>
            </w:r>
          </w:p>
          <w:p w14:paraId="29DE7C1F">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14.支持单点检测逐点校正功能，单点亮度校正，单点颜色校正、单点色温可调。校正数据存储在模组中，更换模组可自动回读</w:t>
            </w:r>
          </w:p>
          <w:p w14:paraId="33CA1C3D">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15.视网膜蓝光危害：符合 GB/T 20145-2006 标准要求，蓝光视网膜危害应属无危害类</w:t>
            </w:r>
          </w:p>
          <w:p w14:paraId="22E4DC83">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▲16.产品水平燃烧试验满足 HB 等级；机械碰撞防护符合 IK06 要求</w:t>
            </w:r>
          </w:p>
          <w:p w14:paraId="388FE3C2">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17.灯驱合一，多层电路板设计，PCB 焊盘采用沉金工艺处理，无电感效应，不花屏，具备消隐、节能功能</w:t>
            </w:r>
          </w:p>
          <w:p w14:paraId="2E28E12E">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18.支持千兆以太网（RJ45 或光纤）连接，支持星型，网状型，分布式，树型等多种结构</w:t>
            </w:r>
          </w:p>
          <w:p w14:paraId="23C4ED6D">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19.支持PWM 灰阶控制技术提升低灰视觉效果；支持软件实现不同亮度情况下，灰度8-16bit任意设置 0-100%亮度时，8-16bits 任意灰度设直;</w:t>
            </w:r>
          </w:p>
          <w:p w14:paraId="36F4533B">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▲20.具有多点测温功能，防止温度过高造成局部颜色混乱、分离，提高屏体寿命</w:t>
            </w:r>
          </w:p>
          <w:p w14:paraId="13020C95">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▲21.谐波电流发射试验符合GB 17625.1-2022 电磁兼容 A 类设备限值要求，电压波动和闪烁变化符合GB/T 17625.2-2007 标准限值要求</w:t>
            </w:r>
          </w:p>
          <w:p w14:paraId="7893EDF7">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22.▲具有电源温度控制功能，避免电源因温度过高导致失效，可实时监测电源温度，超出预警温度直接发出报警指示，并锁定过温电源位置</w:t>
            </w:r>
          </w:p>
          <w:p w14:paraId="3AB91C76">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23.计算机控制，逐点一一对应，视频同步，实时显示</w:t>
            </w:r>
          </w:p>
          <w:p w14:paraId="15A17AC1">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24.支持 DVI、HDMI、VGA、SDI、S-Video、DP、网络流媒体等多种格式的信号输入至视频处理器</w:t>
            </w:r>
          </w:p>
          <w:p w14:paraId="328593B3">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▲25.支持任意非标准分辨率信号输入自适应，输出范围内进行缩放，实现最佳分辨率自动匹配，避免屏幕比例和黑边问题的复杂调试</w:t>
            </w:r>
          </w:p>
          <w:p w14:paraId="4311578D">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26.支持无信号输入自动熄屏待机，有信号输入</w:t>
            </w:r>
            <w:r>
              <w:rPr>
                <w:rFonts w:hint="eastAsia" w:ascii="宋体" w:hAnsi="宋体" w:cs="宋体"/>
                <w:color w:val="auto"/>
                <w:kern w:val="0"/>
                <w:sz w:val="20"/>
                <w:szCs w:val="20"/>
                <w:highlight w:val="none"/>
                <w:lang w:val="en-US" w:eastAsia="zh-CN"/>
              </w:rPr>
              <w:t>·</w:t>
            </w:r>
            <w:r>
              <w:rPr>
                <w:rFonts w:hint="eastAsia" w:ascii="宋体" w:hAnsi="宋体" w:cs="宋体"/>
                <w:color w:val="auto"/>
                <w:kern w:val="0"/>
                <w:sz w:val="20"/>
                <w:szCs w:val="20"/>
                <w:highlight w:val="none"/>
              </w:rPr>
              <w:t>自动唤醒功能</w:t>
            </w:r>
          </w:p>
          <w:p w14:paraId="41826781">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27.以上2-26项带“▲”项为重要参数项，</w:t>
            </w:r>
            <w:r>
              <w:rPr>
                <w:rFonts w:hint="eastAsia" w:ascii="宋体" w:hAnsi="宋体" w:cs="宋体"/>
                <w:color w:val="auto"/>
                <w:kern w:val="0"/>
                <w:sz w:val="20"/>
                <w:szCs w:val="20"/>
                <w:highlight w:val="none"/>
                <w:lang w:val="en-US" w:eastAsia="zh-CN"/>
              </w:rPr>
              <w:t>供货时</w:t>
            </w:r>
            <w:r>
              <w:rPr>
                <w:rFonts w:hint="eastAsia" w:ascii="宋体" w:hAnsi="宋体" w:cs="宋体"/>
                <w:color w:val="auto"/>
                <w:kern w:val="0"/>
                <w:sz w:val="20"/>
                <w:szCs w:val="20"/>
                <w:highlight w:val="none"/>
              </w:rPr>
              <w:t>需提供CNAS</w:t>
            </w:r>
            <w:r>
              <w:rPr>
                <w:rFonts w:hint="eastAsia" w:ascii="宋体" w:hAnsi="宋体" w:cs="宋体"/>
                <w:color w:val="auto"/>
                <w:kern w:val="0"/>
                <w:sz w:val="20"/>
                <w:szCs w:val="20"/>
                <w:highlight w:val="none"/>
                <w:lang w:val="en-US" w:eastAsia="zh-CN"/>
              </w:rPr>
              <w:t>或</w:t>
            </w:r>
            <w:r>
              <w:rPr>
                <w:rFonts w:hint="eastAsia" w:ascii="宋体" w:hAnsi="宋体" w:cs="宋体"/>
                <w:color w:val="auto"/>
                <w:kern w:val="0"/>
                <w:sz w:val="20"/>
                <w:szCs w:val="20"/>
                <w:highlight w:val="none"/>
              </w:rPr>
              <w:t>CMA认可的第三方检测报告复印件，并加盖原厂公章。</w:t>
            </w:r>
          </w:p>
          <w:p w14:paraId="7777C64B">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▲28.依据GB/T 20145-2006 灯和灯系统的光生物安全性，第4章曝辐限值和第5 章灯和灯系统的测量要求，产品测得结果按第6章节危害等级分类要求为无风险类，</w:t>
            </w:r>
            <w:r>
              <w:rPr>
                <w:rFonts w:hint="eastAsia" w:ascii="宋体" w:hAnsi="宋体" w:cs="宋体"/>
                <w:color w:val="auto"/>
                <w:kern w:val="0"/>
                <w:sz w:val="20"/>
                <w:szCs w:val="20"/>
                <w:highlight w:val="none"/>
                <w:lang w:val="en-US" w:eastAsia="zh-CN"/>
              </w:rPr>
              <w:t>供货时</w:t>
            </w:r>
            <w:r>
              <w:rPr>
                <w:rFonts w:hint="eastAsia" w:ascii="宋体" w:hAnsi="宋体" w:cs="宋体"/>
                <w:color w:val="auto"/>
                <w:kern w:val="0"/>
                <w:sz w:val="20"/>
                <w:szCs w:val="20"/>
                <w:highlight w:val="none"/>
              </w:rPr>
              <w:t>需提供CNAS</w:t>
            </w:r>
            <w:r>
              <w:rPr>
                <w:rFonts w:hint="eastAsia" w:ascii="宋体" w:hAnsi="宋体" w:cs="宋体"/>
                <w:color w:val="auto"/>
                <w:kern w:val="0"/>
                <w:sz w:val="20"/>
                <w:szCs w:val="20"/>
                <w:highlight w:val="none"/>
                <w:lang w:val="en-US" w:eastAsia="zh-CN"/>
              </w:rPr>
              <w:t>或</w:t>
            </w:r>
            <w:r>
              <w:rPr>
                <w:rFonts w:hint="eastAsia" w:ascii="宋体" w:hAnsi="宋体" w:cs="宋体"/>
                <w:color w:val="auto"/>
                <w:kern w:val="0"/>
                <w:sz w:val="20"/>
                <w:szCs w:val="20"/>
                <w:highlight w:val="none"/>
              </w:rPr>
              <w:t>CMA认可的第三方完整的光生物安检验报告复印件，并加盖原厂公章</w:t>
            </w:r>
          </w:p>
          <w:p w14:paraId="0A31B845">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29.▲为保证全方位安全性及稳定性保障，所投产品需依据BS476-7防火测试要求，防火等级不低于Class2等级，</w:t>
            </w:r>
            <w:r>
              <w:rPr>
                <w:rFonts w:hint="eastAsia" w:ascii="宋体" w:hAnsi="宋体" w:cs="宋体"/>
                <w:color w:val="auto"/>
                <w:kern w:val="0"/>
                <w:sz w:val="20"/>
                <w:szCs w:val="20"/>
                <w:highlight w:val="none"/>
                <w:lang w:val="en-US" w:eastAsia="zh-CN"/>
              </w:rPr>
              <w:t>供货时</w:t>
            </w:r>
            <w:r>
              <w:rPr>
                <w:rFonts w:hint="eastAsia" w:ascii="宋体" w:hAnsi="宋体" w:cs="宋体"/>
                <w:color w:val="auto"/>
                <w:kern w:val="0"/>
                <w:sz w:val="20"/>
                <w:szCs w:val="20"/>
                <w:highlight w:val="none"/>
              </w:rPr>
              <w:t>需提供CNAS</w:t>
            </w:r>
            <w:r>
              <w:rPr>
                <w:rFonts w:hint="eastAsia" w:ascii="宋体" w:hAnsi="宋体" w:cs="宋体"/>
                <w:color w:val="auto"/>
                <w:kern w:val="0"/>
                <w:sz w:val="20"/>
                <w:szCs w:val="20"/>
                <w:highlight w:val="none"/>
                <w:lang w:val="en-US" w:eastAsia="zh-CN"/>
              </w:rPr>
              <w:t>或</w:t>
            </w:r>
            <w:r>
              <w:rPr>
                <w:rFonts w:hint="eastAsia" w:ascii="宋体" w:hAnsi="宋体" w:cs="宋体"/>
                <w:color w:val="auto"/>
                <w:kern w:val="0"/>
                <w:sz w:val="20"/>
                <w:szCs w:val="20"/>
                <w:highlight w:val="none"/>
              </w:rPr>
              <w:t>CMA认可的第三方完整检验报告复印件，并加盖原厂公章</w:t>
            </w:r>
          </w:p>
          <w:p w14:paraId="4F2B583C">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▲30.所投LED显示屏须通过环保（Ⅱ型）、色彩品质A级认证，碳足迹核认证、</w:t>
            </w:r>
            <w:r>
              <w:rPr>
                <w:rFonts w:hint="eastAsia" w:ascii="宋体" w:hAnsi="宋体" w:cs="宋体"/>
                <w:color w:val="auto"/>
                <w:kern w:val="0"/>
                <w:sz w:val="20"/>
                <w:szCs w:val="20"/>
                <w:highlight w:val="none"/>
                <w:lang w:val="en-US" w:eastAsia="zh-CN"/>
              </w:rPr>
              <w:t>投标时</w:t>
            </w:r>
            <w:r>
              <w:rPr>
                <w:rFonts w:hint="eastAsia" w:ascii="宋体" w:hAnsi="宋体" w:cs="宋体"/>
                <w:color w:val="auto"/>
                <w:kern w:val="0"/>
                <w:sz w:val="20"/>
                <w:szCs w:val="20"/>
                <w:highlight w:val="none"/>
              </w:rPr>
              <w:t>提供相关认证证书复印件并加盖</w:t>
            </w:r>
            <w:r>
              <w:rPr>
                <w:rFonts w:hint="eastAsia" w:ascii="宋体" w:hAnsi="宋体" w:cs="宋体"/>
                <w:color w:val="auto"/>
                <w:kern w:val="0"/>
                <w:sz w:val="20"/>
                <w:szCs w:val="20"/>
                <w:highlight w:val="none"/>
                <w:lang w:val="en-US" w:eastAsia="zh-CN"/>
              </w:rPr>
              <w:t>投</w:t>
            </w:r>
            <w:r>
              <w:rPr>
                <w:rFonts w:hint="eastAsia" w:ascii="宋体" w:hAnsi="宋体" w:cs="宋体"/>
                <w:color w:val="auto"/>
                <w:kern w:val="0"/>
                <w:sz w:val="20"/>
                <w:szCs w:val="20"/>
                <w:highlight w:val="none"/>
              </w:rPr>
              <w:t>标人公司公章。</w:t>
            </w:r>
          </w:p>
          <w:p w14:paraId="48E9CB08">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▲31.所投产品生产厂商具备LED显示屏坏点与失控点侦测软件、小间距显示屏光学拼缝调整软件的计算机软件著作权登记证书，</w:t>
            </w:r>
            <w:r>
              <w:rPr>
                <w:rFonts w:hint="eastAsia" w:ascii="宋体" w:hAnsi="宋体" w:cs="宋体"/>
                <w:color w:val="auto"/>
                <w:kern w:val="0"/>
                <w:sz w:val="20"/>
                <w:szCs w:val="20"/>
                <w:highlight w:val="none"/>
                <w:lang w:val="en-US" w:eastAsia="zh-CN"/>
              </w:rPr>
              <w:t>投标时</w:t>
            </w:r>
            <w:r>
              <w:rPr>
                <w:rFonts w:hint="eastAsia" w:ascii="宋体" w:hAnsi="宋体" w:cs="宋体"/>
                <w:color w:val="auto"/>
                <w:kern w:val="0"/>
                <w:sz w:val="20"/>
                <w:szCs w:val="20"/>
                <w:highlight w:val="none"/>
              </w:rPr>
              <w:t>提供证书加盖</w:t>
            </w:r>
            <w:r>
              <w:rPr>
                <w:rFonts w:hint="eastAsia" w:ascii="宋体" w:hAnsi="宋体" w:cs="宋体"/>
                <w:color w:val="auto"/>
                <w:kern w:val="0"/>
                <w:sz w:val="20"/>
                <w:szCs w:val="20"/>
                <w:highlight w:val="none"/>
                <w:lang w:val="en-US" w:eastAsia="zh-CN"/>
              </w:rPr>
              <w:t>投</w:t>
            </w:r>
            <w:r>
              <w:rPr>
                <w:rFonts w:hint="eastAsia" w:ascii="宋体" w:hAnsi="宋体" w:cs="宋体"/>
                <w:color w:val="auto"/>
                <w:kern w:val="0"/>
                <w:sz w:val="20"/>
                <w:szCs w:val="20"/>
                <w:highlight w:val="none"/>
              </w:rPr>
              <w:t>标人公司公章。</w:t>
            </w:r>
          </w:p>
          <w:p w14:paraId="74111BE5">
            <w:pPr>
              <w:spacing w:line="460" w:lineRule="exact"/>
              <w:jc w:val="left"/>
              <w:rPr>
                <w:rFonts w:hint="eastAsia" w:ascii="宋体" w:hAnsi="宋体" w:cs="宋体"/>
                <w:color w:val="auto"/>
                <w:kern w:val="0"/>
                <w:sz w:val="20"/>
                <w:szCs w:val="20"/>
                <w:highlight w:val="none"/>
              </w:rPr>
            </w:pPr>
            <w:r>
              <w:rPr>
                <w:rFonts w:hint="eastAsia" w:ascii="宋体" w:hAnsi="宋体" w:cs="宋体"/>
                <w:color w:val="auto"/>
                <w:kern w:val="0"/>
                <w:sz w:val="20"/>
                <w:szCs w:val="20"/>
                <w:highlight w:val="none"/>
              </w:rPr>
              <w:t>▲32.为确保显示屏在安装使用过程中有完善的售后服务能力和履约能力，生产厂家须具有企业履约能力评价服务五A级认证证书以及售后服务体系完善程度评价七星级认证证书</w:t>
            </w:r>
          </w:p>
          <w:p w14:paraId="75677B7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r>
              <w:rPr>
                <w:rFonts w:hint="eastAsia" w:ascii="宋体" w:hAnsi="宋体" w:cs="宋体"/>
                <w:color w:val="auto"/>
                <w:kern w:val="0"/>
                <w:sz w:val="20"/>
                <w:szCs w:val="20"/>
                <w:highlight w:val="none"/>
                <w:lang w:val="en-US" w:eastAsia="zh-CN"/>
              </w:rPr>
              <w:t>3</w:t>
            </w:r>
            <w:r>
              <w:rPr>
                <w:rFonts w:hint="eastAsia" w:ascii="宋体" w:hAnsi="宋体" w:cs="宋体"/>
                <w:color w:val="auto"/>
                <w:kern w:val="0"/>
                <w:sz w:val="20"/>
                <w:szCs w:val="20"/>
                <w:highlight w:val="none"/>
              </w:rPr>
              <w:t>、</w:t>
            </w:r>
            <w:r>
              <w:rPr>
                <w:rFonts w:hint="eastAsia" w:ascii="宋体" w:hAnsi="宋体" w:cs="宋体"/>
                <w:color w:val="auto"/>
                <w:kern w:val="0"/>
                <w:sz w:val="20"/>
                <w:szCs w:val="20"/>
                <w:highlight w:val="none"/>
                <w:lang w:val="en-US" w:eastAsia="zh-CN"/>
              </w:rPr>
              <w:t>投标时</w:t>
            </w:r>
            <w:r>
              <w:rPr>
                <w:rFonts w:hint="eastAsia" w:ascii="宋体" w:hAnsi="宋体" w:cs="宋体"/>
                <w:color w:val="auto"/>
                <w:kern w:val="0"/>
                <w:sz w:val="20"/>
                <w:szCs w:val="20"/>
                <w:highlight w:val="none"/>
              </w:rPr>
              <w:t>提供竞标产品的CCC认证证书复印件、节能认证证书复印件并加盖</w:t>
            </w:r>
            <w:r>
              <w:rPr>
                <w:rFonts w:hint="eastAsia" w:ascii="宋体" w:hAnsi="宋体" w:cs="宋体"/>
                <w:color w:val="auto"/>
                <w:kern w:val="0"/>
                <w:sz w:val="20"/>
                <w:szCs w:val="20"/>
                <w:highlight w:val="none"/>
                <w:lang w:val="en-US" w:eastAsia="zh-CN"/>
              </w:rPr>
              <w:t>投</w:t>
            </w:r>
            <w:r>
              <w:rPr>
                <w:rFonts w:hint="eastAsia" w:ascii="宋体" w:hAnsi="宋体" w:cs="宋体"/>
                <w:color w:val="auto"/>
                <w:kern w:val="0"/>
                <w:sz w:val="20"/>
                <w:szCs w:val="20"/>
                <w:highlight w:val="none"/>
              </w:rPr>
              <w:t>标人公司公章</w:t>
            </w:r>
          </w:p>
          <w:p w14:paraId="33D4A95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r>
              <w:rPr>
                <w:rFonts w:hint="eastAsia" w:ascii="宋体" w:hAnsi="宋体" w:cs="宋体"/>
                <w:color w:val="auto"/>
                <w:kern w:val="0"/>
                <w:sz w:val="20"/>
                <w:szCs w:val="20"/>
                <w:highlight w:val="none"/>
                <w:lang w:val="en-US" w:eastAsia="zh-CN"/>
              </w:rPr>
              <w:t>4</w:t>
            </w:r>
            <w:r>
              <w:rPr>
                <w:rFonts w:hint="eastAsia" w:ascii="宋体" w:hAnsi="宋体" w:cs="宋体"/>
                <w:color w:val="auto"/>
                <w:kern w:val="0"/>
                <w:sz w:val="20"/>
                <w:szCs w:val="20"/>
                <w:highlight w:val="none"/>
              </w:rPr>
              <w:t>、</w:t>
            </w:r>
            <w:r>
              <w:rPr>
                <w:rFonts w:hint="eastAsia" w:ascii="宋体" w:hAnsi="宋体" w:cs="宋体"/>
                <w:color w:val="auto"/>
                <w:kern w:val="0"/>
                <w:sz w:val="20"/>
                <w:szCs w:val="20"/>
                <w:highlight w:val="none"/>
                <w:lang w:val="en-US" w:eastAsia="zh-CN"/>
              </w:rPr>
              <w:t>供货时</w:t>
            </w:r>
            <w:r>
              <w:rPr>
                <w:rFonts w:hint="eastAsia" w:ascii="宋体" w:hAnsi="宋体" w:cs="宋体"/>
                <w:color w:val="auto"/>
                <w:kern w:val="0"/>
                <w:sz w:val="20"/>
                <w:szCs w:val="20"/>
                <w:highlight w:val="none"/>
              </w:rPr>
              <w:t>必须提供原厂家授权书和售后服务承诺函。</w:t>
            </w:r>
          </w:p>
          <w:p w14:paraId="317ABA35">
            <w:pPr>
              <w:spacing w:line="460" w:lineRule="exact"/>
              <w:jc w:val="left"/>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rPr>
              <w:t>3</w:t>
            </w:r>
            <w:r>
              <w:rPr>
                <w:rFonts w:hint="eastAsia" w:ascii="宋体" w:hAnsi="宋体" w:cs="宋体"/>
                <w:color w:val="auto"/>
                <w:kern w:val="0"/>
                <w:sz w:val="20"/>
                <w:szCs w:val="20"/>
                <w:highlight w:val="none"/>
                <w:lang w:val="en-US" w:eastAsia="zh-CN"/>
              </w:rPr>
              <w:t>5</w:t>
            </w:r>
            <w:r>
              <w:rPr>
                <w:rFonts w:hint="eastAsia" w:ascii="宋体" w:hAnsi="宋体" w:cs="宋体"/>
                <w:color w:val="auto"/>
                <w:kern w:val="0"/>
                <w:sz w:val="20"/>
                <w:szCs w:val="20"/>
                <w:highlight w:val="none"/>
              </w:rPr>
              <w:t>、项目为交钥匙工程，需包含电源、接收卡、视频处理器、led播放软件、屏体结构等。</w:t>
            </w:r>
          </w:p>
        </w:tc>
        <w:tc>
          <w:tcPr>
            <w:tcW w:w="420" w:type="pct"/>
            <w:vAlign w:val="center"/>
          </w:tcPr>
          <w:p w14:paraId="7FF45BE7">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35.71</w:t>
            </w:r>
          </w:p>
        </w:tc>
        <w:tc>
          <w:tcPr>
            <w:tcW w:w="244" w:type="pct"/>
            <w:vAlign w:val="center"/>
          </w:tcPr>
          <w:p w14:paraId="109CA1B8">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w:t>
            </w:r>
          </w:p>
        </w:tc>
        <w:tc>
          <w:tcPr>
            <w:tcW w:w="481" w:type="pct"/>
            <w:vAlign w:val="center"/>
          </w:tcPr>
          <w:p w14:paraId="56EC4CC0">
            <w:pPr>
              <w:widowControl/>
              <w:jc w:val="center"/>
              <w:textAlignment w:val="center"/>
              <w:rPr>
                <w:rFonts w:ascii="黑体" w:hAnsi="宋体" w:eastAsia="黑体" w:cs="黑体"/>
                <w:b/>
                <w:bCs/>
                <w:color w:val="auto"/>
                <w:sz w:val="22"/>
                <w:highlight w:val="none"/>
              </w:rPr>
            </w:pPr>
            <w:r>
              <w:rPr>
                <w:rFonts w:hint="eastAsia" w:asciiTheme="minorEastAsia" w:hAnsiTheme="minorEastAsia" w:eastAsiaTheme="minorEastAsia" w:cstheme="minorEastAsia"/>
                <w:color w:val="auto"/>
                <w:sz w:val="22"/>
                <w:highlight w:val="none"/>
              </w:rPr>
              <w:t>3000</w:t>
            </w:r>
          </w:p>
        </w:tc>
        <w:tc>
          <w:tcPr>
            <w:tcW w:w="514" w:type="pct"/>
            <w:vAlign w:val="center"/>
          </w:tcPr>
          <w:p w14:paraId="57086055">
            <w:pPr>
              <w:widowControl/>
              <w:jc w:val="center"/>
              <w:textAlignment w:val="center"/>
              <w:rPr>
                <w:rFonts w:hint="eastAsia" w:ascii="黑体" w:hAnsi="宋体" w:cs="黑体" w:eastAsiaTheme="minorEastAsia"/>
                <w:color w:val="auto"/>
                <w:sz w:val="22"/>
                <w:highlight w:val="none"/>
                <w:lang w:eastAsia="zh-CN"/>
              </w:rPr>
            </w:pPr>
            <w:r>
              <w:rPr>
                <w:rFonts w:hint="eastAsia" w:asciiTheme="minorEastAsia" w:hAnsiTheme="minorEastAsia" w:eastAsiaTheme="minorEastAsia" w:cstheme="minorEastAsia"/>
                <w:color w:val="auto"/>
                <w:sz w:val="22"/>
                <w:highlight w:val="none"/>
              </w:rPr>
              <w:t>10713</w:t>
            </w:r>
            <w:r>
              <w:rPr>
                <w:rFonts w:hint="eastAsia" w:asciiTheme="minorEastAsia" w:hAnsiTheme="minorEastAsia" w:eastAsiaTheme="minorEastAsia" w:cstheme="minorEastAsia"/>
                <w:color w:val="auto"/>
                <w:sz w:val="22"/>
                <w:highlight w:val="none"/>
                <w:lang w:val="en-US" w:eastAsia="zh-CN"/>
              </w:rPr>
              <w:t>0</w:t>
            </w:r>
          </w:p>
        </w:tc>
      </w:tr>
      <w:tr w14:paraId="49F7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7B5CBE81">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361" w:type="pct"/>
            <w:vAlign w:val="center"/>
          </w:tcPr>
          <w:p w14:paraId="1E7233B5">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电源</w:t>
            </w:r>
          </w:p>
        </w:tc>
        <w:tc>
          <w:tcPr>
            <w:tcW w:w="772" w:type="pct"/>
            <w:vAlign w:val="center"/>
          </w:tcPr>
          <w:p w14:paraId="06BEE1F7">
            <w:pPr>
              <w:spacing w:line="288" w:lineRule="auto"/>
              <w:rPr>
                <w:rFonts w:ascii="宋体" w:hAnsi="宋体" w:cs="宋体"/>
                <w:color w:val="auto"/>
                <w:sz w:val="20"/>
                <w:szCs w:val="20"/>
                <w:highlight w:val="none"/>
              </w:rPr>
            </w:pPr>
            <w:r>
              <w:rPr>
                <w:rFonts w:hint="eastAsia" w:ascii="宋体" w:hAnsi="宋体" w:cs="宋体"/>
                <w:color w:val="auto"/>
                <w:sz w:val="20"/>
                <w:szCs w:val="20"/>
                <w:highlight w:val="none"/>
              </w:rPr>
              <w:t>高科、洲明、强力巨彩、蓝普、海信、京东方</w:t>
            </w:r>
          </w:p>
        </w:tc>
        <w:tc>
          <w:tcPr>
            <w:tcW w:w="1960" w:type="pct"/>
          </w:tcPr>
          <w:p w14:paraId="58D242A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1、输入电压范围：额定输入电压:200-240VAC, 50/60Hz 2. 5A 额定输出电压：5VDC, 40A；</w:t>
            </w:r>
          </w:p>
          <w:p w14:paraId="4AE3151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2、纹波和噪声：≤100mVp-p；</w:t>
            </w:r>
          </w:p>
          <w:p w14:paraId="486DDEF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3、过载保护：额定负载的110～150%范围内电源保护，去载恢复正常输出；</w:t>
            </w:r>
          </w:p>
          <w:p w14:paraId="3913E9B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4、短路保护：输出端短路时电源保护，输出关断，去掉短路恢复正常输出；</w:t>
            </w:r>
          </w:p>
          <w:p w14:paraId="6F2F87D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5、安全标准：符合GB4943-2011；</w:t>
            </w:r>
          </w:p>
          <w:p w14:paraId="1DAEEF5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6、绝缘电阻：I/P-O/P、I/P-FG、O/P-FG在500VDC条件下测试的绝缘电阻需&gt;100Ω；</w:t>
            </w:r>
          </w:p>
          <w:p w14:paraId="46B6FAE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传导干扰：受试产品放在高0.8m的绝缘木桌上，与人工电源网络之间的距离为0.8m，通过人工电源网络连接到公用电网，并与其它任何金属面或接地平板保持0.4m的距离。电源线的长度为1m，如果超过1m，则应将其超长部分平行于电源线方向，在电源线的中间位置来回折叠形成一个不超过0.4m的线束。依据标准要求，找出两个相线上的最大传导骚扰电压。检测频率范围150kHz到30MHz。检测接收机的带宽设置为9kHz。 要求测试后，在150kHz到30MHz测试到的准峰值和平均值都分别不能超过A级限值，检测结果符合要求；</w:t>
            </w:r>
          </w:p>
          <w:p w14:paraId="35CB486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辐射干扰：受试产品放置在离地0.8m的木桌上，转台360°旋转，检测天线从1m到4m之间移动以找到最大骚扰值。检测接收天线距受试产品最近距离为3m，检测天线应分别处于水平和垂直方向。检测频率范围30MHz到1GHz。检测接收机的带宽设置为120kHz。检测在966半电波暗室中进行。要求测试后，在30MHz到1000MHz测试到的峰值不能超过A级限值，检测结果符合要求；</w:t>
            </w:r>
          </w:p>
          <w:p w14:paraId="4B1700C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9、平均无故障工作时间（MTBF）：≥100,000小时；</w:t>
            </w:r>
          </w:p>
          <w:p w14:paraId="366D6F8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高温工作试验：1）试验前检查样品外观，产品功能是否正常；2）将样品置于温度为60℃的环境中，测试时间为12小时；3）试验后检查样品外观需无损坏，样品能正常工作。试验后样品外观无损坏，样品能正常工作；</w:t>
            </w:r>
          </w:p>
          <w:p w14:paraId="2B16CF5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低温工作试验：1）试验前检查样品外观，产品功能是否正常；2）将样品置于温度为-40℃的环境中，测试时间为12小时；3）试验后检查样品外观需无损坏，样品能正常工作。试验后样品外观无损坏，样品能正常工作。</w:t>
            </w:r>
          </w:p>
          <w:p w14:paraId="2111DCD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12、浪涌试验：在EUT的交流电源输入端口：线-线：电压峰值1kV，开路电压波形1.2/50µs；线-地：电压峰值 2kV，开路电压波形1.2/50µs；在EUT的电信端：电压峰值1kV，开路电压波形1.2/50µs；浪涌（冲击）电压施加在EUT的电源端口，并应在交流（直流）电压波零值和峰值的电压相位处同步加入，60秒钟一次，正、负极性各做5次。试验电压由低等级增加到规定的试验等级，较低等级均应满足要求。检测结果符合要求；</w:t>
            </w:r>
          </w:p>
          <w:p w14:paraId="5DC33E96">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以上1-12项</w:t>
            </w:r>
            <w:r>
              <w:rPr>
                <w:rFonts w:hint="eastAsia" w:ascii="宋体" w:hAnsi="宋体" w:cs="宋体"/>
                <w:color w:val="auto"/>
                <w:kern w:val="0"/>
                <w:sz w:val="20"/>
                <w:szCs w:val="20"/>
                <w:highlight w:val="none"/>
                <w:lang w:val="en-US" w:eastAsia="zh-CN"/>
              </w:rPr>
              <w:t>供货时</w:t>
            </w:r>
            <w:r>
              <w:rPr>
                <w:rFonts w:hint="eastAsia" w:ascii="宋体" w:hAnsi="宋体" w:cs="宋体"/>
                <w:color w:val="auto"/>
                <w:kern w:val="0"/>
                <w:sz w:val="20"/>
                <w:szCs w:val="20"/>
                <w:highlight w:val="none"/>
              </w:rPr>
              <w:t>需提供</w:t>
            </w:r>
            <w:r>
              <w:rPr>
                <w:rFonts w:hint="eastAsia" w:ascii="宋体" w:hAnsi="宋体" w:cs="宋体"/>
                <w:color w:val="auto"/>
                <w:kern w:val="0"/>
                <w:sz w:val="20"/>
                <w:szCs w:val="20"/>
                <w:highlight w:val="none"/>
                <w:lang w:val="en-US" w:eastAsia="zh-CN"/>
              </w:rPr>
              <w:t>产品</w:t>
            </w:r>
            <w:r>
              <w:rPr>
                <w:rFonts w:hint="eastAsia" w:ascii="宋体" w:hAnsi="宋体" w:cs="宋体"/>
                <w:color w:val="auto"/>
                <w:kern w:val="0"/>
                <w:sz w:val="20"/>
                <w:szCs w:val="20"/>
                <w:highlight w:val="none"/>
              </w:rPr>
              <w:t>检测报告并加盖原厂公章。</w:t>
            </w:r>
          </w:p>
          <w:p w14:paraId="5CD82E5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r>
              <w:rPr>
                <w:rFonts w:hint="eastAsia" w:ascii="宋体" w:hAnsi="宋体" w:cs="宋体"/>
                <w:strike w:val="0"/>
                <w:dstrike w:val="0"/>
                <w:color w:val="auto"/>
                <w:kern w:val="0"/>
                <w:sz w:val="20"/>
                <w:szCs w:val="20"/>
                <w:highlight w:val="none"/>
              </w:rPr>
              <w:t>LED显示屏模组与电源为同一品牌，</w:t>
            </w:r>
            <w:r>
              <w:rPr>
                <w:rFonts w:hint="eastAsia" w:ascii="宋体" w:hAnsi="宋体" w:cs="宋体"/>
                <w:strike w:val="0"/>
                <w:dstrike w:val="0"/>
                <w:color w:val="auto"/>
                <w:kern w:val="0"/>
                <w:sz w:val="20"/>
                <w:szCs w:val="20"/>
                <w:highlight w:val="none"/>
                <w:lang w:val="en-US" w:eastAsia="zh-CN"/>
              </w:rPr>
              <w:t xml:space="preserve"> 投标时</w:t>
            </w:r>
            <w:r>
              <w:rPr>
                <w:rFonts w:hint="eastAsia" w:ascii="宋体" w:hAnsi="宋体" w:cs="宋体"/>
                <w:color w:val="auto"/>
                <w:kern w:val="0"/>
                <w:sz w:val="20"/>
                <w:szCs w:val="20"/>
                <w:highlight w:val="none"/>
              </w:rPr>
              <w:t>提供CCC证书并加盖</w:t>
            </w:r>
            <w:r>
              <w:rPr>
                <w:rFonts w:hint="eastAsia" w:ascii="宋体" w:hAnsi="宋体" w:cs="宋体"/>
                <w:color w:val="auto"/>
                <w:kern w:val="0"/>
                <w:sz w:val="20"/>
                <w:szCs w:val="20"/>
                <w:highlight w:val="none"/>
                <w:lang w:val="en-US" w:eastAsia="zh-CN"/>
              </w:rPr>
              <w:t>投</w:t>
            </w:r>
            <w:r>
              <w:rPr>
                <w:rFonts w:hint="eastAsia" w:ascii="宋体" w:hAnsi="宋体" w:cs="宋体"/>
                <w:color w:val="auto"/>
                <w:kern w:val="0"/>
                <w:sz w:val="20"/>
                <w:szCs w:val="20"/>
                <w:highlight w:val="none"/>
              </w:rPr>
              <w:t>标人公司</w:t>
            </w:r>
            <w:r>
              <w:rPr>
                <w:rFonts w:hint="eastAsia" w:ascii="宋体" w:hAnsi="宋体" w:cs="宋体"/>
                <w:strike w:val="0"/>
                <w:dstrike w:val="0"/>
                <w:color w:val="auto"/>
                <w:kern w:val="0"/>
                <w:sz w:val="20"/>
                <w:szCs w:val="20"/>
                <w:highlight w:val="none"/>
              </w:rPr>
              <w:t>公章。</w:t>
            </w:r>
          </w:p>
        </w:tc>
        <w:tc>
          <w:tcPr>
            <w:tcW w:w="420" w:type="pct"/>
            <w:vAlign w:val="center"/>
          </w:tcPr>
          <w:p w14:paraId="61EABAB7">
            <w:pPr>
              <w:widowControl/>
              <w:jc w:val="center"/>
              <w:textAlignment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rPr>
              <w:t>11</w:t>
            </w:r>
            <w:r>
              <w:rPr>
                <w:rFonts w:hint="eastAsia" w:ascii="宋体" w:hAnsi="宋体" w:cs="宋体"/>
                <w:color w:val="auto"/>
                <w:sz w:val="20"/>
                <w:szCs w:val="20"/>
                <w:highlight w:val="none"/>
                <w:lang w:val="en-US" w:eastAsia="zh-CN"/>
              </w:rPr>
              <w:t>7</w:t>
            </w:r>
          </w:p>
        </w:tc>
        <w:tc>
          <w:tcPr>
            <w:tcW w:w="244" w:type="pct"/>
            <w:vAlign w:val="center"/>
          </w:tcPr>
          <w:p w14:paraId="5FEFE6DD">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个</w:t>
            </w:r>
          </w:p>
        </w:tc>
        <w:tc>
          <w:tcPr>
            <w:tcW w:w="481" w:type="pct"/>
            <w:vAlign w:val="center"/>
          </w:tcPr>
          <w:p w14:paraId="304D81A6">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60</w:t>
            </w:r>
          </w:p>
        </w:tc>
        <w:tc>
          <w:tcPr>
            <w:tcW w:w="514" w:type="pct"/>
            <w:vAlign w:val="center"/>
          </w:tcPr>
          <w:p w14:paraId="75D7B741">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7020</w:t>
            </w:r>
          </w:p>
        </w:tc>
      </w:tr>
      <w:tr w14:paraId="4092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37ACC605">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361" w:type="pct"/>
            <w:vAlign w:val="center"/>
          </w:tcPr>
          <w:p w14:paraId="56F0822C">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接收卡</w:t>
            </w:r>
          </w:p>
        </w:tc>
        <w:tc>
          <w:tcPr>
            <w:tcW w:w="772" w:type="pct"/>
            <w:vAlign w:val="center"/>
          </w:tcPr>
          <w:p w14:paraId="319998D1">
            <w:pPr>
              <w:spacing w:line="288" w:lineRule="auto"/>
              <w:rPr>
                <w:rFonts w:ascii="宋体" w:hAnsi="宋体" w:cs="宋体"/>
                <w:color w:val="auto"/>
                <w:sz w:val="20"/>
                <w:szCs w:val="20"/>
                <w:highlight w:val="none"/>
              </w:rPr>
            </w:pPr>
            <w:bookmarkStart w:id="0" w:name="OLE_LINK3"/>
            <w:bookmarkStart w:id="1" w:name="OLE_LINK4"/>
            <w:bookmarkStart w:id="2" w:name="OLE_LINK1"/>
            <w:r>
              <w:rPr>
                <w:rFonts w:hint="eastAsia" w:ascii="宋体" w:hAnsi="宋体" w:cs="宋体"/>
                <w:color w:val="auto"/>
                <w:sz w:val="20"/>
                <w:szCs w:val="20"/>
                <w:highlight w:val="none"/>
              </w:rPr>
              <w:t>强力巨彩、灵星雨、卡莱特</w:t>
            </w:r>
            <w:bookmarkEnd w:id="0"/>
            <w:bookmarkEnd w:id="1"/>
            <w:r>
              <w:rPr>
                <w:rFonts w:hint="eastAsia" w:ascii="宋体" w:hAnsi="宋体" w:cs="宋体"/>
                <w:color w:val="auto"/>
                <w:sz w:val="20"/>
                <w:szCs w:val="20"/>
                <w:highlight w:val="none"/>
              </w:rPr>
              <w:t>、视睿讯</w:t>
            </w:r>
            <w:bookmarkEnd w:id="2"/>
            <w:r>
              <w:rPr>
                <w:rFonts w:hint="eastAsia" w:ascii="宋体" w:hAnsi="宋体" w:cs="宋体"/>
                <w:color w:val="auto"/>
                <w:sz w:val="20"/>
                <w:szCs w:val="20"/>
                <w:highlight w:val="none"/>
              </w:rPr>
              <w:t>、海信</w:t>
            </w:r>
          </w:p>
        </w:tc>
        <w:tc>
          <w:tcPr>
            <w:tcW w:w="1960" w:type="pct"/>
          </w:tcPr>
          <w:p w14:paraId="1795104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(1)具有5V防反接保护功能，防范电源反接伤害。</w:t>
            </w:r>
          </w:p>
          <w:p w14:paraId="13752BF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(2)支持智能向导设置，用户跟随软件提示即可完成操作，便于完成模组的点亮。</w:t>
            </w:r>
          </w:p>
          <w:p w14:paraId="2475103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(3)单卡具备16个HUB75E端口，最大支持32组RGB数据。</w:t>
            </w:r>
          </w:p>
          <w:p w14:paraId="2B22F42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★(5)支持3D显示功能，配合3D发送控制器或3D图像处理器可使屏幕具备3D显示效果。</w:t>
            </w:r>
          </w:p>
          <w:p w14:paraId="766E0901">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(6)支持多种传统恒流芯片、双锁存恒流芯片、PWM恒流芯片、串行恒流芯片。</w:t>
            </w:r>
          </w:p>
          <w:p w14:paraId="17FE005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(7)支持普通138译码和串行译码。</w:t>
            </w:r>
          </w:p>
          <w:p w14:paraId="7BC897E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(8)支持数据偏移，支持灯板抽点、抽行、非规则走线，满足异形屏带载。</w:t>
            </w:r>
          </w:p>
          <w:p w14:paraId="55307D3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(9)支持独立Gamma校正，RGB三种颜色数据可独立调整。</w:t>
            </w:r>
          </w:p>
          <w:p w14:paraId="705745E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(10)支持逐点校正。</w:t>
            </w:r>
          </w:p>
          <w:p w14:paraId="5153201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(11)支持多个FLASH的逐点校正系数存储及加载。</w:t>
            </w:r>
          </w:p>
          <w:p w14:paraId="498A7F9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(12)支持亮度和色度校正，。</w:t>
            </w:r>
          </w:p>
          <w:p w14:paraId="54C51DA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(13)支持修缝操作。</w:t>
            </w:r>
          </w:p>
          <w:p w14:paraId="688DA02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(14)支持OSD显示功能。</w:t>
            </w:r>
          </w:p>
          <w:p w14:paraId="5E89C03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★(15)支持HDR数据显示。</w:t>
            </w:r>
          </w:p>
          <w:p w14:paraId="6DC0F90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(16)支持数据双备份显示功能。</w:t>
            </w:r>
          </w:p>
          <w:p w14:paraId="00FAE62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(17)支持温度检测和电压检测。</w:t>
            </w:r>
          </w:p>
          <w:p w14:paraId="784A131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★(18)支持一键回读功能，通过软件一键回读接收卡配置信息，方便设备维护。</w:t>
            </w:r>
          </w:p>
          <w:p w14:paraId="532F89F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(19)支持用户自定义数据包的透传功能。</w:t>
            </w:r>
          </w:p>
          <w:p w14:paraId="3A89C0A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(20)提供外部SPIslave供外部MCU使用。</w:t>
            </w:r>
          </w:p>
          <w:p w14:paraId="73C5517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★(21)支持预存画面显示功能。</w:t>
            </w:r>
          </w:p>
          <w:p w14:paraId="3E5AA3C9">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(22)支持KEY按键产生内部测试图像。</w:t>
            </w:r>
          </w:p>
          <w:p w14:paraId="2DAA692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(23)支持MDIO对PHY进行配置。</w:t>
            </w:r>
          </w:p>
          <w:p w14:paraId="4B741A2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(24)最大支持128级级联。                                                                                                                                            ★(25)接收卡无需固件升级，即可支持最新驱动芯片。</w:t>
            </w:r>
          </w:p>
        </w:tc>
        <w:tc>
          <w:tcPr>
            <w:tcW w:w="420" w:type="pct"/>
            <w:vAlign w:val="center"/>
          </w:tcPr>
          <w:p w14:paraId="2DFD78EE">
            <w:pPr>
              <w:widowControl/>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64</w:t>
            </w:r>
          </w:p>
        </w:tc>
        <w:tc>
          <w:tcPr>
            <w:tcW w:w="244" w:type="pct"/>
            <w:vAlign w:val="center"/>
          </w:tcPr>
          <w:p w14:paraId="69D1D8BE">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张</w:t>
            </w:r>
          </w:p>
        </w:tc>
        <w:tc>
          <w:tcPr>
            <w:tcW w:w="481" w:type="pct"/>
            <w:vAlign w:val="center"/>
          </w:tcPr>
          <w:p w14:paraId="48D18946">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120</w:t>
            </w:r>
          </w:p>
        </w:tc>
        <w:tc>
          <w:tcPr>
            <w:tcW w:w="514" w:type="pct"/>
            <w:vAlign w:val="center"/>
          </w:tcPr>
          <w:p w14:paraId="3900EDB0">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7680</w:t>
            </w:r>
          </w:p>
        </w:tc>
      </w:tr>
      <w:tr w14:paraId="3203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6D053F64">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361" w:type="pct"/>
            <w:vAlign w:val="center"/>
          </w:tcPr>
          <w:p w14:paraId="396435A4">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视频处理器</w:t>
            </w:r>
          </w:p>
        </w:tc>
        <w:tc>
          <w:tcPr>
            <w:tcW w:w="772" w:type="pct"/>
            <w:vAlign w:val="center"/>
          </w:tcPr>
          <w:p w14:paraId="1EA8CEE5">
            <w:pPr>
              <w:spacing w:line="288" w:lineRule="auto"/>
              <w:rPr>
                <w:rFonts w:ascii="宋体" w:hAnsi="宋体" w:cs="宋体"/>
                <w:color w:val="auto"/>
                <w:sz w:val="20"/>
                <w:szCs w:val="20"/>
                <w:highlight w:val="none"/>
              </w:rPr>
            </w:pPr>
            <w:r>
              <w:rPr>
                <w:rFonts w:hint="eastAsia" w:ascii="宋体" w:hAnsi="宋体" w:cs="宋体"/>
                <w:color w:val="auto"/>
                <w:sz w:val="20"/>
                <w:szCs w:val="20"/>
                <w:highlight w:val="none"/>
              </w:rPr>
              <w:t>强力巨彩、灵星雨、卡莱特、视睿讯、海信</w:t>
            </w:r>
          </w:p>
        </w:tc>
        <w:tc>
          <w:tcPr>
            <w:tcW w:w="1960" w:type="pct"/>
          </w:tcPr>
          <w:p w14:paraId="4E80BAE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（1）支持预览回显，所见即所得；</w:t>
            </w:r>
          </w:p>
          <w:p w14:paraId="58A4928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 支持丰富的信号接口，包括HDMI2.0×1，DP1.2×1，HDMI1.3×4，3.5mm音频×1，3D-NI×1，3D-OUT×1，RJ45×12；</w:t>
            </w:r>
          </w:p>
          <w:p w14:paraId="6574AA7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（3）最大输入分辨率7680×1080@60Hz，分辨率可任意自定义；</w:t>
            </w:r>
          </w:p>
          <w:p w14:paraId="0550A0E7">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（4） 最大带载1040万像素点，单个网口带载宽可达3840像素，高可达3840像素；</w:t>
            </w:r>
          </w:p>
          <w:p w14:paraId="0D8F48A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（5）支持视频源任意切换，可根据显示屏分辨率对输入图像进行拼接、缩放；</w:t>
            </w:r>
          </w:p>
          <w:p w14:paraId="125F51F2">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（6）最大规模支持8画面显示，位置、大小可自由调节；</w:t>
            </w:r>
          </w:p>
          <w:p w14:paraId="477CA59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（7）支持HDR10高动态范围显示；</w:t>
            </w:r>
          </w:p>
          <w:p w14:paraId="2B276BCA">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（8）支持画面回显，通过上位机软件可以实时预览输入输出画面，所见即所得；</w:t>
            </w:r>
          </w:p>
          <w:p w14:paraId="72A7068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（9）支持主动式3D立体显示(连续帧格式、上下格式、左右格式)；</w:t>
            </w:r>
          </w:p>
          <w:p w14:paraId="4905F7A8">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（10）支持偏振光3D立体显示；</w:t>
            </w:r>
          </w:p>
          <w:p w14:paraId="2CD4B15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（11）支持独立3.5mm音频输入输出，也能够将视频内嵌的音频分离开；</w:t>
            </w:r>
          </w:p>
          <w:p w14:paraId="1191955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（12）网口输出支持模拟音频，通过多功能卡将音频解出；</w:t>
            </w:r>
          </w:p>
          <w:p w14:paraId="2BCCFF5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（13）支持连续帧3D同步翻转；</w:t>
            </w:r>
          </w:p>
          <w:p w14:paraId="56E0C91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（14） 支持超高清4K@60Hz视频信号处理；</w:t>
            </w:r>
          </w:p>
          <w:p w14:paraId="4E7388DD">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（15） 支持手持终端控制（app)；</w:t>
            </w:r>
          </w:p>
          <w:p w14:paraId="0087515B">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（16）支持输入源热备份；</w:t>
            </w:r>
          </w:p>
          <w:p w14:paraId="2F2C658E">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（17）支持对LED显示屏的亮度调节；</w:t>
            </w:r>
          </w:p>
          <w:p w14:paraId="3C26FFDC">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（18）支持异形拼接，任意走线，打破传统规则；</w:t>
            </w:r>
          </w:p>
          <w:p w14:paraId="695F1E4F">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（19）支持RS232、TCP/IP中控协议控制；</w:t>
            </w:r>
          </w:p>
          <w:p w14:paraId="1551F415">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（20）支持故障检测，方便就医参考；</w:t>
            </w:r>
          </w:p>
          <w:p w14:paraId="26DA91C0">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（21） 支持输入信号EDID管理；</w:t>
            </w:r>
          </w:p>
          <w:p w14:paraId="268FDBE4">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（22） 支持软硬件同时操作；</w:t>
            </w:r>
          </w:p>
          <w:p w14:paraId="5DFE8B63">
            <w:pPr>
              <w:spacing w:line="460" w:lineRule="exact"/>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（23）</w:t>
            </w:r>
            <w:r>
              <w:rPr>
                <w:rFonts w:hint="eastAsia" w:ascii="宋体" w:hAnsi="宋体" w:cs="宋体"/>
                <w:color w:val="auto"/>
                <w:kern w:val="0"/>
                <w:sz w:val="20"/>
                <w:szCs w:val="20"/>
                <w:highlight w:val="none"/>
                <w:lang w:val="en-US" w:eastAsia="zh-CN"/>
              </w:rPr>
              <w:t>投标时</w:t>
            </w:r>
            <w:r>
              <w:rPr>
                <w:rFonts w:hint="eastAsia" w:ascii="宋体" w:hAnsi="宋体" w:cs="宋体"/>
                <w:color w:val="auto"/>
                <w:kern w:val="0"/>
                <w:sz w:val="20"/>
                <w:szCs w:val="20"/>
                <w:highlight w:val="none"/>
              </w:rPr>
              <w:t>提供控制系统系列的 3C 认证证书，并加盖</w:t>
            </w:r>
            <w:r>
              <w:rPr>
                <w:rFonts w:hint="eastAsia" w:ascii="宋体" w:hAnsi="宋体" w:cs="宋体"/>
                <w:color w:val="auto"/>
                <w:kern w:val="0"/>
                <w:sz w:val="20"/>
                <w:szCs w:val="20"/>
                <w:highlight w:val="none"/>
                <w:lang w:val="en-US" w:eastAsia="zh-CN"/>
              </w:rPr>
              <w:t>投</w:t>
            </w:r>
            <w:r>
              <w:rPr>
                <w:rFonts w:hint="eastAsia" w:ascii="宋体" w:hAnsi="宋体" w:cs="宋体"/>
                <w:color w:val="auto"/>
                <w:kern w:val="0"/>
                <w:sz w:val="20"/>
                <w:szCs w:val="20"/>
                <w:highlight w:val="none"/>
              </w:rPr>
              <w:t>标人公司公章；</w:t>
            </w:r>
          </w:p>
        </w:tc>
        <w:tc>
          <w:tcPr>
            <w:tcW w:w="420" w:type="pct"/>
            <w:vAlign w:val="center"/>
          </w:tcPr>
          <w:p w14:paraId="24C0D188">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48260DC8">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台</w:t>
            </w:r>
          </w:p>
        </w:tc>
        <w:tc>
          <w:tcPr>
            <w:tcW w:w="481" w:type="pct"/>
            <w:vAlign w:val="center"/>
          </w:tcPr>
          <w:p w14:paraId="0EAC8EDD">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11640</w:t>
            </w:r>
          </w:p>
        </w:tc>
        <w:tc>
          <w:tcPr>
            <w:tcW w:w="514" w:type="pct"/>
            <w:vAlign w:val="center"/>
          </w:tcPr>
          <w:p w14:paraId="3EF64F4B">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lang w:val="en-US" w:eastAsia="zh-CN"/>
              </w:rPr>
              <w:t>11640</w:t>
            </w:r>
          </w:p>
        </w:tc>
      </w:tr>
      <w:tr w14:paraId="4A70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2BE87ED0">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361" w:type="pct"/>
            <w:vAlign w:val="center"/>
          </w:tcPr>
          <w:p w14:paraId="3B704A7F">
            <w:pPr>
              <w:spacing w:line="288" w:lineRule="auto"/>
              <w:rPr>
                <w:rFonts w:ascii="宋体" w:hAnsi="宋体" w:cs="宋体"/>
                <w:color w:val="auto"/>
                <w:sz w:val="20"/>
                <w:szCs w:val="20"/>
                <w:highlight w:val="none"/>
              </w:rPr>
            </w:pPr>
            <w:r>
              <w:rPr>
                <w:rFonts w:hint="eastAsia" w:ascii="宋体" w:hAnsi="宋体" w:cs="宋体"/>
                <w:color w:val="auto"/>
                <w:sz w:val="20"/>
                <w:szCs w:val="20"/>
                <w:highlight w:val="none"/>
              </w:rPr>
              <w:t>LED播放软件</w:t>
            </w:r>
          </w:p>
        </w:tc>
        <w:tc>
          <w:tcPr>
            <w:tcW w:w="772" w:type="pct"/>
            <w:vAlign w:val="center"/>
          </w:tcPr>
          <w:p w14:paraId="586F237F">
            <w:pPr>
              <w:spacing w:line="288" w:lineRule="auto"/>
              <w:rPr>
                <w:rFonts w:ascii="宋体" w:hAnsi="宋体" w:cs="宋体"/>
                <w:color w:val="auto"/>
                <w:sz w:val="20"/>
                <w:szCs w:val="20"/>
                <w:highlight w:val="none"/>
              </w:rPr>
            </w:pPr>
            <w:r>
              <w:rPr>
                <w:rFonts w:hint="eastAsia" w:ascii="宋体" w:hAnsi="宋体" w:cs="宋体"/>
                <w:color w:val="auto"/>
                <w:sz w:val="20"/>
                <w:szCs w:val="20"/>
                <w:highlight w:val="none"/>
              </w:rPr>
              <w:t>强力巨彩、灵星雨、卡莱特、视睿讯、海信</w:t>
            </w:r>
          </w:p>
        </w:tc>
        <w:tc>
          <w:tcPr>
            <w:tcW w:w="1960" w:type="pct"/>
            <w:vAlign w:val="center"/>
          </w:tcPr>
          <w:p w14:paraId="789FBFF3">
            <w:pPr>
              <w:spacing w:line="460" w:lineRule="exact"/>
              <w:rPr>
                <w:rFonts w:ascii="宋体" w:hAnsi="宋体" w:cs="宋体"/>
                <w:color w:val="auto"/>
                <w:kern w:val="0"/>
                <w:sz w:val="20"/>
                <w:szCs w:val="20"/>
                <w:highlight w:val="none"/>
              </w:rPr>
            </w:pPr>
            <w:r>
              <w:rPr>
                <w:rFonts w:hint="eastAsia" w:ascii="宋体" w:hAnsi="宋体" w:cs="宋体"/>
                <w:color w:val="auto"/>
                <w:kern w:val="0"/>
                <w:sz w:val="20"/>
                <w:szCs w:val="20"/>
                <w:highlight w:val="none"/>
              </w:rPr>
              <w:t>全彩控制软件</w:t>
            </w:r>
          </w:p>
        </w:tc>
        <w:tc>
          <w:tcPr>
            <w:tcW w:w="420" w:type="pct"/>
            <w:vAlign w:val="center"/>
          </w:tcPr>
          <w:p w14:paraId="7CB02344">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0AD89273">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套</w:t>
            </w:r>
          </w:p>
        </w:tc>
        <w:tc>
          <w:tcPr>
            <w:tcW w:w="481" w:type="pct"/>
            <w:vAlign w:val="center"/>
          </w:tcPr>
          <w:p w14:paraId="5CB70825">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1000</w:t>
            </w:r>
          </w:p>
        </w:tc>
        <w:tc>
          <w:tcPr>
            <w:tcW w:w="514" w:type="pct"/>
            <w:vAlign w:val="center"/>
          </w:tcPr>
          <w:p w14:paraId="69DF6C70">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1000</w:t>
            </w:r>
          </w:p>
        </w:tc>
      </w:tr>
      <w:tr w14:paraId="566BD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3A7AE328">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361" w:type="pct"/>
            <w:vAlign w:val="center"/>
          </w:tcPr>
          <w:p w14:paraId="10384B60">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屏体结构及辅材安装、拆除旧屏</w:t>
            </w:r>
          </w:p>
        </w:tc>
        <w:tc>
          <w:tcPr>
            <w:tcW w:w="772" w:type="pct"/>
            <w:vAlign w:val="center"/>
          </w:tcPr>
          <w:p w14:paraId="2610DA44">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定制</w:t>
            </w:r>
          </w:p>
        </w:tc>
        <w:tc>
          <w:tcPr>
            <w:tcW w:w="1960" w:type="pct"/>
          </w:tcPr>
          <w:p w14:paraId="5DBAB60B">
            <w:pPr>
              <w:spacing w:line="460" w:lineRule="exact"/>
              <w:jc w:val="left"/>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rPr>
              <w:t>含钢结构、定制包边等。含钢结构、黑钛金不锈钢包边 ，拼接效果好，安装简单，美观轻巧。屏体安装调试。钢结构和屏体的安装，显示屏调试及培训。内部线材，屏幕背面封板、拆除原来的屏幕、运输、配套网线从控制电脑拉到安装屏幕位置处（6类网线）、电源线</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lang w:val="en-US" w:eastAsia="zh-CN"/>
              </w:rPr>
              <w:t>HDMI光纤高清线、设备机柜等，线材长度按场地实际需要提供。</w:t>
            </w:r>
          </w:p>
        </w:tc>
        <w:tc>
          <w:tcPr>
            <w:tcW w:w="420" w:type="pct"/>
            <w:vAlign w:val="center"/>
          </w:tcPr>
          <w:p w14:paraId="1E03B830">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3D1A3800">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项</w:t>
            </w:r>
          </w:p>
        </w:tc>
        <w:tc>
          <w:tcPr>
            <w:tcW w:w="481" w:type="pct"/>
            <w:vAlign w:val="center"/>
          </w:tcPr>
          <w:p w14:paraId="477014AB">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28453</w:t>
            </w:r>
          </w:p>
        </w:tc>
        <w:tc>
          <w:tcPr>
            <w:tcW w:w="514" w:type="pct"/>
            <w:vAlign w:val="center"/>
          </w:tcPr>
          <w:p w14:paraId="70F14E77">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28453</w:t>
            </w:r>
          </w:p>
        </w:tc>
      </w:tr>
      <w:tr w14:paraId="36A1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22AD5800">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361" w:type="pct"/>
            <w:vAlign w:val="center"/>
          </w:tcPr>
          <w:p w14:paraId="0F2512B7">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多功能卡</w:t>
            </w:r>
          </w:p>
        </w:tc>
        <w:tc>
          <w:tcPr>
            <w:tcW w:w="772" w:type="pct"/>
            <w:vAlign w:val="center"/>
          </w:tcPr>
          <w:p w14:paraId="4266E1F0">
            <w:pPr>
              <w:spacing w:line="288" w:lineRule="auto"/>
              <w:rPr>
                <w:rFonts w:ascii="宋体" w:hAnsi="宋体" w:cs="宋体"/>
                <w:color w:val="auto"/>
                <w:sz w:val="20"/>
                <w:szCs w:val="20"/>
                <w:highlight w:val="none"/>
              </w:rPr>
            </w:pPr>
            <w:r>
              <w:rPr>
                <w:rFonts w:hint="eastAsia" w:ascii="宋体" w:hAnsi="宋体" w:cs="宋体"/>
                <w:color w:val="auto"/>
                <w:sz w:val="20"/>
                <w:szCs w:val="20"/>
                <w:highlight w:val="none"/>
              </w:rPr>
              <w:t>强力巨彩、视睿讯、新视通、微成炬、海信</w:t>
            </w:r>
          </w:p>
        </w:tc>
        <w:tc>
          <w:tcPr>
            <w:tcW w:w="1960" w:type="pct"/>
            <w:vAlign w:val="center"/>
          </w:tcPr>
          <w:p w14:paraId="63E7CDB8">
            <w:pPr>
              <w:spacing w:line="460" w:lineRule="exac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远程启动</w:t>
            </w:r>
          </w:p>
        </w:tc>
        <w:tc>
          <w:tcPr>
            <w:tcW w:w="420" w:type="pct"/>
            <w:vAlign w:val="center"/>
          </w:tcPr>
          <w:p w14:paraId="12C1081C">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6EC20FDB">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套</w:t>
            </w:r>
          </w:p>
        </w:tc>
        <w:tc>
          <w:tcPr>
            <w:tcW w:w="481" w:type="pct"/>
            <w:vAlign w:val="center"/>
          </w:tcPr>
          <w:p w14:paraId="50D01DF9">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800</w:t>
            </w:r>
          </w:p>
        </w:tc>
        <w:tc>
          <w:tcPr>
            <w:tcW w:w="514" w:type="pct"/>
            <w:vAlign w:val="center"/>
          </w:tcPr>
          <w:p w14:paraId="3336FDD5">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800</w:t>
            </w:r>
          </w:p>
        </w:tc>
      </w:tr>
      <w:tr w14:paraId="797D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780D3A0A">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361" w:type="pct"/>
            <w:vAlign w:val="center"/>
          </w:tcPr>
          <w:p w14:paraId="42EC1E14">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配电箱</w:t>
            </w:r>
          </w:p>
        </w:tc>
        <w:tc>
          <w:tcPr>
            <w:tcW w:w="772" w:type="pct"/>
            <w:vAlign w:val="center"/>
          </w:tcPr>
          <w:p w14:paraId="48C7589E">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定制</w:t>
            </w:r>
          </w:p>
        </w:tc>
        <w:tc>
          <w:tcPr>
            <w:tcW w:w="1960" w:type="pct"/>
          </w:tcPr>
          <w:p w14:paraId="6EEA87B1">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常规40KW的电箱配置</w:t>
            </w:r>
          </w:p>
          <w:p w14:paraId="40127F84">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（1）主空开3PD85A</w:t>
            </w:r>
          </w:p>
          <w:p w14:paraId="32497553">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（2）接触器4个2510型号</w:t>
            </w:r>
          </w:p>
          <w:p w14:paraId="1933AB67">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（3）12路输出（12个2PD32A空开实现过流保护）每路不能超过4KW</w:t>
            </w:r>
          </w:p>
          <w:p w14:paraId="56AE586C">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（4）4P（20-40KA）避雷浪涌</w:t>
            </w:r>
          </w:p>
          <w:p w14:paraId="44B40806">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（5）多功能维修插座</w:t>
            </w:r>
          </w:p>
          <w:p w14:paraId="15E12FE8">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（6）维修漏电保护开关</w:t>
            </w:r>
          </w:p>
          <w:p w14:paraId="6A507970">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（7）十位接线端子</w:t>
            </w:r>
          </w:p>
          <w:p w14:paraId="09BC1ACE">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（8）2个中间继电器（兼容定时开关及多空能卡、远程自动控制）</w:t>
            </w:r>
          </w:p>
          <w:p w14:paraId="330F62B7">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（9） 三档转换开关（手动、自动、停止）</w:t>
            </w:r>
          </w:p>
          <w:p w14:paraId="1BF6918F">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 xml:space="preserve">（10） 三个指示灯（自动指示、手动指示、电源指示）。                  </w:t>
            </w:r>
          </w:p>
        </w:tc>
        <w:tc>
          <w:tcPr>
            <w:tcW w:w="420" w:type="pct"/>
            <w:vAlign w:val="center"/>
          </w:tcPr>
          <w:p w14:paraId="2441FAE9">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5066E812">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套</w:t>
            </w:r>
          </w:p>
        </w:tc>
        <w:tc>
          <w:tcPr>
            <w:tcW w:w="481" w:type="pct"/>
            <w:vAlign w:val="center"/>
          </w:tcPr>
          <w:p w14:paraId="668CCDA6">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2500</w:t>
            </w:r>
          </w:p>
        </w:tc>
        <w:tc>
          <w:tcPr>
            <w:tcW w:w="514" w:type="pct"/>
            <w:vAlign w:val="center"/>
          </w:tcPr>
          <w:p w14:paraId="1FBEBE69">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2500</w:t>
            </w:r>
          </w:p>
        </w:tc>
      </w:tr>
      <w:tr w14:paraId="5335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4C7D4AEC">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361" w:type="pct"/>
            <w:vAlign w:val="center"/>
          </w:tcPr>
          <w:p w14:paraId="146FA8A8">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一拖四无线短杆话筒</w:t>
            </w:r>
          </w:p>
        </w:tc>
        <w:tc>
          <w:tcPr>
            <w:tcW w:w="772" w:type="pct"/>
            <w:vAlign w:val="center"/>
          </w:tcPr>
          <w:p w14:paraId="1AA40908">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湖山、舒尔、kaxisaier、比丽普</w:t>
            </w:r>
          </w:p>
        </w:tc>
        <w:tc>
          <w:tcPr>
            <w:tcW w:w="1960" w:type="pct"/>
          </w:tcPr>
          <w:p w14:paraId="5581F4F9">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1、载波频段: UHF530-699.75MHZ（常规：600.000MHZ-699.75MHZ）</w:t>
            </w:r>
          </w:p>
          <w:p w14:paraId="18D00555">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 xml:space="preserve">2、单机频带宽度 :50 MHz </w:t>
            </w:r>
          </w:p>
          <w:p w14:paraId="57E1B691">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3、单机频道数量：400个</w:t>
            </w:r>
          </w:p>
          <w:p w14:paraId="5B44C28B">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4、频率间隔：250KHz</w:t>
            </w:r>
          </w:p>
          <w:p w14:paraId="7607E4E7">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5、音频灵敏度: -48±3dB</w:t>
            </w:r>
          </w:p>
          <w:p w14:paraId="44F73769">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6、综合S/N比 : &gt;100dB(A)</w:t>
            </w:r>
          </w:p>
          <w:p w14:paraId="6943AA24">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 xml:space="preserve">7、指向性频响曲线：300-2000Hz≤-8dB </w:t>
            </w:r>
          </w:p>
          <w:p w14:paraId="002A264D">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 xml:space="preserve">8、综合T.H.D. :&lt;0.5%@1kHz </w:t>
            </w:r>
          </w:p>
          <w:p w14:paraId="4BBE8734">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 xml:space="preserve">9、频率响应 : 65Hz-15kHz  </w:t>
            </w:r>
          </w:p>
          <w:p w14:paraId="732E1F32">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10、天线：50Ω/TNC，支持天线环路输出</w:t>
            </w:r>
          </w:p>
          <w:p w14:paraId="4247B403">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11、发射器拾音头：超指向型电容</w:t>
            </w:r>
          </w:p>
          <w:p w14:paraId="6064BAC4">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12、发射器供电方式：两节AA电池或锂电池</w:t>
            </w:r>
          </w:p>
          <w:p w14:paraId="6693513A">
            <w:pPr>
              <w:spacing w:line="460" w:lineRule="exact"/>
              <w:jc w:val="left"/>
              <w:rPr>
                <w:rFonts w:ascii="宋体" w:hAnsi="宋体" w:cs="宋体"/>
                <w:bCs/>
                <w:color w:val="auto"/>
                <w:kern w:val="0"/>
                <w:sz w:val="20"/>
                <w:szCs w:val="20"/>
                <w:highlight w:val="none"/>
              </w:rPr>
            </w:pPr>
            <w:r>
              <w:rPr>
                <w:rFonts w:hint="eastAsia" w:ascii="宋体" w:hAnsi="宋体" w:cs="宋体"/>
                <w:bCs/>
                <w:color w:val="auto"/>
                <w:kern w:val="0"/>
                <w:sz w:val="20"/>
                <w:szCs w:val="20"/>
                <w:highlight w:val="none"/>
              </w:rPr>
              <w:t>13、电池寿命：约8小时（发射器功率为高功率）</w:t>
            </w:r>
          </w:p>
        </w:tc>
        <w:tc>
          <w:tcPr>
            <w:tcW w:w="420" w:type="pct"/>
            <w:vAlign w:val="center"/>
          </w:tcPr>
          <w:p w14:paraId="1046F50E">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15DB8E10">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套</w:t>
            </w:r>
          </w:p>
        </w:tc>
        <w:tc>
          <w:tcPr>
            <w:tcW w:w="481" w:type="pct"/>
            <w:vAlign w:val="center"/>
          </w:tcPr>
          <w:p w14:paraId="63A66C14">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3000</w:t>
            </w:r>
          </w:p>
        </w:tc>
        <w:tc>
          <w:tcPr>
            <w:tcW w:w="514" w:type="pct"/>
            <w:vAlign w:val="center"/>
          </w:tcPr>
          <w:p w14:paraId="289E00D5">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3000</w:t>
            </w:r>
          </w:p>
        </w:tc>
      </w:tr>
      <w:tr w14:paraId="605E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03AE009E">
            <w:pPr>
              <w:spacing w:line="288" w:lineRule="auto"/>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rPr>
              <w:t>1</w:t>
            </w:r>
            <w:r>
              <w:rPr>
                <w:rFonts w:hint="eastAsia" w:ascii="宋体" w:hAnsi="宋体" w:cs="宋体"/>
                <w:color w:val="auto"/>
                <w:sz w:val="20"/>
                <w:szCs w:val="20"/>
                <w:highlight w:val="none"/>
                <w:lang w:val="en-US" w:eastAsia="zh-CN"/>
              </w:rPr>
              <w:t>0</w:t>
            </w:r>
          </w:p>
        </w:tc>
        <w:tc>
          <w:tcPr>
            <w:tcW w:w="361" w:type="pct"/>
            <w:vAlign w:val="center"/>
          </w:tcPr>
          <w:p w14:paraId="44E75F71">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室内单红色LED显示屏</w:t>
            </w:r>
          </w:p>
        </w:tc>
        <w:tc>
          <w:tcPr>
            <w:tcW w:w="772" w:type="pct"/>
            <w:vAlign w:val="center"/>
          </w:tcPr>
          <w:p w14:paraId="2BDB5F16">
            <w:pPr>
              <w:spacing w:line="288" w:lineRule="auto"/>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翔宇兴博 、</w:t>
            </w:r>
          </w:p>
          <w:p w14:paraId="1CDD73E8">
            <w:pPr>
              <w:spacing w:line="288" w:lineRule="auto"/>
              <w:jc w:val="left"/>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德万鸿、</w:t>
            </w:r>
          </w:p>
          <w:p w14:paraId="7932B3B4">
            <w:pPr>
              <w:spacing w:line="288" w:lineRule="auto"/>
              <w:jc w:val="left"/>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彩虹</w:t>
            </w:r>
          </w:p>
        </w:tc>
        <w:tc>
          <w:tcPr>
            <w:tcW w:w="1960" w:type="pct"/>
          </w:tcPr>
          <w:p w14:paraId="4452B64C">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1、点间距：4.75mm；                                         </w:t>
            </w:r>
          </w:p>
          <w:p w14:paraId="20F9C941">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2、模组分辨论:64点×32点，                                                                                  3、模组尺寸：304mm×152mm；                               </w:t>
            </w:r>
          </w:p>
          <w:p w14:paraId="3614D9D2">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4、发光点颜色：1R；                                                 </w:t>
            </w:r>
          </w:p>
          <w:p w14:paraId="41ACF7E7">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5、密度：44321点/ ㎡；                                     </w:t>
            </w:r>
          </w:p>
          <w:p w14:paraId="3CAC7AF5">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6、亮度：≥500cd/㎡；                                    </w:t>
            </w:r>
          </w:p>
          <w:p w14:paraId="16421A4C">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7、屏幕水平视角：140±10 度；                            </w:t>
            </w:r>
          </w:p>
          <w:p w14:paraId="31093254">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8、屏幕垂直视角：140±10 度；                          </w:t>
            </w:r>
          </w:p>
          <w:p w14:paraId="671EB851">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9、最佳视距≥5m；                                       </w:t>
            </w:r>
          </w:p>
          <w:p w14:paraId="4A7A5BCF">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10、盲点率：小于万分之一；                               </w:t>
            </w:r>
          </w:p>
          <w:p w14:paraId="0E576D32">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11、每平方模组最大功率：≤160W/㎡                           </w:t>
            </w:r>
          </w:p>
          <w:p w14:paraId="21469FA7">
            <w:pPr>
              <w:spacing w:line="288" w:lineRule="auto"/>
              <w:jc w:val="left"/>
              <w:rPr>
                <w:rFonts w:ascii="宋体" w:hAnsi="宋体" w:cs="宋体"/>
                <w:color w:val="auto"/>
                <w:sz w:val="24"/>
                <w:szCs w:val="24"/>
                <w:highlight w:val="none"/>
              </w:rPr>
            </w:pPr>
            <w:r>
              <w:rPr>
                <w:rFonts w:hint="eastAsia" w:ascii="宋体" w:hAnsi="宋体" w:cs="宋体"/>
                <w:color w:val="auto"/>
                <w:sz w:val="20"/>
                <w:szCs w:val="20"/>
                <w:highlight w:val="none"/>
              </w:rPr>
              <w:t xml:space="preserve">12、平均无故障时间 ≥10000小时；  </w:t>
            </w:r>
          </w:p>
        </w:tc>
        <w:tc>
          <w:tcPr>
            <w:tcW w:w="420" w:type="pct"/>
            <w:vAlign w:val="center"/>
          </w:tcPr>
          <w:p w14:paraId="3EAF8CE0">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6.14</w:t>
            </w:r>
          </w:p>
        </w:tc>
        <w:tc>
          <w:tcPr>
            <w:tcW w:w="244" w:type="pct"/>
            <w:vAlign w:val="center"/>
          </w:tcPr>
          <w:p w14:paraId="09393101">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w:t>
            </w:r>
          </w:p>
        </w:tc>
        <w:tc>
          <w:tcPr>
            <w:tcW w:w="481" w:type="pct"/>
            <w:vAlign w:val="center"/>
          </w:tcPr>
          <w:p w14:paraId="0384E242">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900</w:t>
            </w:r>
          </w:p>
        </w:tc>
        <w:tc>
          <w:tcPr>
            <w:tcW w:w="514" w:type="pct"/>
            <w:vAlign w:val="center"/>
          </w:tcPr>
          <w:p w14:paraId="2DD4FB30">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5526</w:t>
            </w:r>
          </w:p>
        </w:tc>
      </w:tr>
      <w:tr w14:paraId="216A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6FE6711D">
            <w:pPr>
              <w:spacing w:line="288" w:lineRule="auto"/>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rPr>
              <w:t>1</w:t>
            </w:r>
            <w:r>
              <w:rPr>
                <w:rFonts w:hint="eastAsia" w:ascii="宋体" w:hAnsi="宋体" w:cs="宋体"/>
                <w:color w:val="auto"/>
                <w:sz w:val="20"/>
                <w:szCs w:val="20"/>
                <w:highlight w:val="none"/>
                <w:lang w:val="en-US" w:eastAsia="zh-CN"/>
              </w:rPr>
              <w:t>1</w:t>
            </w:r>
          </w:p>
        </w:tc>
        <w:tc>
          <w:tcPr>
            <w:tcW w:w="361" w:type="pct"/>
            <w:vAlign w:val="center"/>
          </w:tcPr>
          <w:p w14:paraId="6E5AFE4D">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异步控制卡</w:t>
            </w:r>
          </w:p>
        </w:tc>
        <w:tc>
          <w:tcPr>
            <w:tcW w:w="772" w:type="pct"/>
            <w:vAlign w:val="center"/>
          </w:tcPr>
          <w:p w14:paraId="60071C7D">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中航、仰邦、瑞合信</w:t>
            </w:r>
          </w:p>
        </w:tc>
        <w:tc>
          <w:tcPr>
            <w:tcW w:w="1960" w:type="pct"/>
          </w:tcPr>
          <w:p w14:paraId="39AAE193">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1、适用于中小全彩屏、门楣屏和信息动态刷新屏</w:t>
            </w:r>
          </w:p>
          <w:p w14:paraId="19220831">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 xml:space="preserve">2、40℃～80℃环境温度，3.5V-5.5V宽电压，7*24小时不断电，≤0.3%故障率。          </w:t>
            </w:r>
            <w:r>
              <w:rPr>
                <w:rFonts w:hint="eastAsia" w:ascii="宋体" w:hAnsi="宋体" w:cs="宋体"/>
                <w:color w:val="auto"/>
                <w:sz w:val="20"/>
                <w:szCs w:val="20"/>
                <w:highlight w:val="none"/>
                <w:lang w:val="en-US" w:eastAsia="zh-CN"/>
              </w:rPr>
              <w:t xml:space="preserve">          </w:t>
            </w:r>
            <w:r>
              <w:rPr>
                <w:rFonts w:hint="eastAsia" w:ascii="宋体" w:hAnsi="宋体" w:cs="宋体"/>
                <w:color w:val="auto"/>
                <w:sz w:val="20"/>
                <w:szCs w:val="20"/>
                <w:highlight w:val="none"/>
              </w:rPr>
              <w:t xml:space="preserve">   3、支持虚拟像素和实像素，支持扩展板，可接1块普通hub板，兼容户内户外模组。</w:t>
            </w:r>
          </w:p>
          <w:p w14:paraId="68739077">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4、智能设置参数软件。</w:t>
            </w:r>
          </w:p>
          <w:p w14:paraId="5B730955">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5、网络接口和U盘接口两种更新节目方式。</w:t>
            </w:r>
          </w:p>
          <w:p w14:paraId="5EBDCFFB">
            <w:pPr>
              <w:spacing w:line="288" w:lineRule="auto"/>
              <w:jc w:val="left"/>
              <w:rPr>
                <w:rFonts w:ascii="宋体" w:hAnsi="宋体" w:cs="宋体"/>
                <w:color w:val="auto"/>
                <w:sz w:val="20"/>
                <w:szCs w:val="20"/>
                <w:highlight w:val="none"/>
              </w:rPr>
            </w:pPr>
            <w:r>
              <w:rPr>
                <w:rFonts w:hint="eastAsia" w:ascii="宋体" w:hAnsi="宋体" w:cs="宋体"/>
                <w:color w:val="auto"/>
                <w:sz w:val="20"/>
                <w:szCs w:val="20"/>
                <w:highlight w:val="none"/>
              </w:rPr>
              <w:t>6、多区域软件，易学易用。</w:t>
            </w:r>
          </w:p>
        </w:tc>
        <w:tc>
          <w:tcPr>
            <w:tcW w:w="420" w:type="pct"/>
            <w:vAlign w:val="center"/>
          </w:tcPr>
          <w:p w14:paraId="4A317CFC">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434C693A">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张</w:t>
            </w:r>
          </w:p>
        </w:tc>
        <w:tc>
          <w:tcPr>
            <w:tcW w:w="481" w:type="pct"/>
            <w:vAlign w:val="center"/>
          </w:tcPr>
          <w:p w14:paraId="1C80A1C9">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600</w:t>
            </w:r>
          </w:p>
        </w:tc>
        <w:tc>
          <w:tcPr>
            <w:tcW w:w="514" w:type="pct"/>
            <w:vAlign w:val="center"/>
          </w:tcPr>
          <w:p w14:paraId="216DB877">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600</w:t>
            </w:r>
          </w:p>
        </w:tc>
      </w:tr>
      <w:tr w14:paraId="4990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0B1A1E5D">
            <w:pPr>
              <w:spacing w:line="288" w:lineRule="auto"/>
              <w:jc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rPr>
              <w:t>1</w:t>
            </w:r>
            <w:r>
              <w:rPr>
                <w:rFonts w:hint="eastAsia" w:ascii="宋体" w:hAnsi="宋体" w:cs="宋体"/>
                <w:color w:val="auto"/>
                <w:sz w:val="20"/>
                <w:szCs w:val="20"/>
                <w:highlight w:val="none"/>
                <w:lang w:val="en-US" w:eastAsia="zh-CN"/>
              </w:rPr>
              <w:t>2</w:t>
            </w:r>
          </w:p>
        </w:tc>
        <w:tc>
          <w:tcPr>
            <w:tcW w:w="361" w:type="pct"/>
            <w:vAlign w:val="center"/>
          </w:tcPr>
          <w:p w14:paraId="09176B28">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控制软件</w:t>
            </w:r>
          </w:p>
        </w:tc>
        <w:tc>
          <w:tcPr>
            <w:tcW w:w="772" w:type="pct"/>
            <w:vAlign w:val="center"/>
          </w:tcPr>
          <w:p w14:paraId="5EEE2594">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配套</w:t>
            </w:r>
          </w:p>
        </w:tc>
        <w:tc>
          <w:tcPr>
            <w:tcW w:w="1960" w:type="pct"/>
          </w:tcPr>
          <w:p w14:paraId="69ED2AA7">
            <w:pPr>
              <w:spacing w:line="288" w:lineRule="auto"/>
              <w:jc w:val="left"/>
              <w:rPr>
                <w:rFonts w:ascii="宋体" w:hAnsi="宋体" w:cs="宋体"/>
                <w:color w:val="auto"/>
                <w:sz w:val="24"/>
                <w:szCs w:val="24"/>
                <w:highlight w:val="none"/>
              </w:rPr>
            </w:pPr>
            <w:r>
              <w:rPr>
                <w:rFonts w:hint="eastAsia" w:ascii="宋体" w:hAnsi="宋体" w:cs="宋体"/>
                <w:color w:val="auto"/>
                <w:sz w:val="20"/>
                <w:szCs w:val="20"/>
                <w:highlight w:val="none"/>
              </w:rPr>
              <w:t>不限客户端安装数量和安装次数，终身免费使用并且可以升级</w:t>
            </w:r>
          </w:p>
        </w:tc>
        <w:tc>
          <w:tcPr>
            <w:tcW w:w="420" w:type="pct"/>
            <w:vAlign w:val="center"/>
          </w:tcPr>
          <w:p w14:paraId="189EA605">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7797877A">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套</w:t>
            </w:r>
          </w:p>
        </w:tc>
        <w:tc>
          <w:tcPr>
            <w:tcW w:w="481" w:type="pct"/>
            <w:vAlign w:val="center"/>
          </w:tcPr>
          <w:p w14:paraId="5B856656">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600</w:t>
            </w:r>
          </w:p>
        </w:tc>
        <w:tc>
          <w:tcPr>
            <w:tcW w:w="514" w:type="pct"/>
            <w:vAlign w:val="center"/>
          </w:tcPr>
          <w:p w14:paraId="5C49645F">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600</w:t>
            </w:r>
          </w:p>
        </w:tc>
      </w:tr>
      <w:tr w14:paraId="649D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4C60D6F3">
            <w:pPr>
              <w:spacing w:line="288" w:lineRule="auto"/>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rPr>
              <w:t>1</w:t>
            </w:r>
            <w:r>
              <w:rPr>
                <w:rFonts w:hint="eastAsia" w:ascii="宋体" w:hAnsi="宋体" w:cs="宋体"/>
                <w:color w:val="auto"/>
                <w:sz w:val="20"/>
                <w:szCs w:val="20"/>
                <w:highlight w:val="none"/>
                <w:lang w:val="en-US" w:eastAsia="zh-CN"/>
              </w:rPr>
              <w:t>3</w:t>
            </w:r>
          </w:p>
        </w:tc>
        <w:tc>
          <w:tcPr>
            <w:tcW w:w="361" w:type="pct"/>
            <w:vAlign w:val="center"/>
          </w:tcPr>
          <w:p w14:paraId="5B08AEEC">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电源</w:t>
            </w:r>
          </w:p>
        </w:tc>
        <w:tc>
          <w:tcPr>
            <w:tcW w:w="772" w:type="pct"/>
            <w:vAlign w:val="center"/>
          </w:tcPr>
          <w:p w14:paraId="2C4EB1D0">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5V 40A</w:t>
            </w:r>
          </w:p>
        </w:tc>
        <w:tc>
          <w:tcPr>
            <w:tcW w:w="1960" w:type="pct"/>
            <w:vAlign w:val="center"/>
          </w:tcPr>
          <w:p w14:paraId="7BE7B749">
            <w:pPr>
              <w:spacing w:line="288" w:lineRule="auto"/>
              <w:rPr>
                <w:rFonts w:ascii="宋体" w:hAnsi="宋体" w:cs="宋体"/>
                <w:color w:val="auto"/>
                <w:sz w:val="24"/>
                <w:szCs w:val="24"/>
                <w:highlight w:val="none"/>
              </w:rPr>
            </w:pPr>
            <w:r>
              <w:rPr>
                <w:rFonts w:ascii="宋体" w:hAnsi="宋体" w:cs="宋体"/>
                <w:color w:val="auto"/>
                <w:sz w:val="20"/>
                <w:szCs w:val="20"/>
                <w:highlight w:val="none"/>
              </w:rPr>
              <w:t>5V 40A 200W</w:t>
            </w:r>
          </w:p>
        </w:tc>
        <w:tc>
          <w:tcPr>
            <w:tcW w:w="420" w:type="pct"/>
            <w:vAlign w:val="center"/>
          </w:tcPr>
          <w:p w14:paraId="241595F7">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12</w:t>
            </w:r>
          </w:p>
        </w:tc>
        <w:tc>
          <w:tcPr>
            <w:tcW w:w="244" w:type="pct"/>
            <w:vAlign w:val="center"/>
          </w:tcPr>
          <w:p w14:paraId="2D24004E">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台</w:t>
            </w:r>
          </w:p>
        </w:tc>
        <w:tc>
          <w:tcPr>
            <w:tcW w:w="481" w:type="pct"/>
            <w:vAlign w:val="center"/>
          </w:tcPr>
          <w:p w14:paraId="0E7B1013">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60</w:t>
            </w:r>
          </w:p>
        </w:tc>
        <w:tc>
          <w:tcPr>
            <w:tcW w:w="514" w:type="pct"/>
            <w:vAlign w:val="center"/>
          </w:tcPr>
          <w:p w14:paraId="41F5B6BA">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720</w:t>
            </w:r>
          </w:p>
        </w:tc>
      </w:tr>
      <w:tr w14:paraId="7C1E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1F5DA4FB">
            <w:pPr>
              <w:spacing w:line="288" w:lineRule="auto"/>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rPr>
              <w:t>1</w:t>
            </w:r>
            <w:r>
              <w:rPr>
                <w:rFonts w:hint="eastAsia" w:ascii="宋体" w:hAnsi="宋体" w:cs="宋体"/>
                <w:color w:val="auto"/>
                <w:sz w:val="20"/>
                <w:szCs w:val="20"/>
                <w:highlight w:val="none"/>
                <w:lang w:val="en-US" w:eastAsia="zh-CN"/>
              </w:rPr>
              <w:t>4</w:t>
            </w:r>
          </w:p>
        </w:tc>
        <w:tc>
          <w:tcPr>
            <w:tcW w:w="361" w:type="pct"/>
            <w:vAlign w:val="center"/>
          </w:tcPr>
          <w:p w14:paraId="550088EC">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屏体结构及辅材安装、拆旧屏</w:t>
            </w:r>
          </w:p>
        </w:tc>
        <w:tc>
          <w:tcPr>
            <w:tcW w:w="772" w:type="pct"/>
            <w:vAlign w:val="center"/>
          </w:tcPr>
          <w:p w14:paraId="7F74DC0C">
            <w:pPr>
              <w:spacing w:line="288" w:lineRule="auto"/>
              <w:jc w:val="center"/>
              <w:rPr>
                <w:rFonts w:ascii="宋体" w:hAnsi="宋体" w:cs="宋体"/>
                <w:color w:val="auto"/>
                <w:sz w:val="20"/>
                <w:szCs w:val="20"/>
                <w:highlight w:val="none"/>
              </w:rPr>
            </w:pPr>
            <w:r>
              <w:rPr>
                <w:rFonts w:hint="eastAsia" w:ascii="宋体" w:hAnsi="宋体" w:cs="宋体"/>
                <w:color w:val="auto"/>
                <w:sz w:val="20"/>
                <w:szCs w:val="20"/>
                <w:highlight w:val="none"/>
              </w:rPr>
              <w:t>定制</w:t>
            </w:r>
          </w:p>
        </w:tc>
        <w:tc>
          <w:tcPr>
            <w:tcW w:w="1960" w:type="pct"/>
            <w:vAlign w:val="center"/>
          </w:tcPr>
          <w:p w14:paraId="181CF8D3">
            <w:pPr>
              <w:rPr>
                <w:rFonts w:ascii="宋体" w:hAnsi="宋体" w:cs="宋体"/>
                <w:color w:val="auto"/>
                <w:sz w:val="24"/>
                <w:szCs w:val="24"/>
                <w:highlight w:val="none"/>
              </w:rPr>
            </w:pPr>
            <w:r>
              <w:rPr>
                <w:rFonts w:hint="eastAsia" w:ascii="宋体" w:hAnsi="宋体" w:cs="宋体"/>
                <w:color w:val="auto"/>
                <w:sz w:val="20"/>
                <w:szCs w:val="20"/>
                <w:highlight w:val="none"/>
              </w:rPr>
              <w:t>屏体内部线材、主电源线及线槽、网线、9045黑色铝合金框架、屏体安装调试</w:t>
            </w:r>
          </w:p>
        </w:tc>
        <w:tc>
          <w:tcPr>
            <w:tcW w:w="420" w:type="pct"/>
            <w:vAlign w:val="center"/>
          </w:tcPr>
          <w:p w14:paraId="3E3CF72F">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193DA9F2">
            <w:pPr>
              <w:widowControl/>
              <w:jc w:val="center"/>
              <w:textAlignment w:val="center"/>
              <w:rPr>
                <w:rFonts w:ascii="宋体" w:hAnsi="宋体" w:cs="宋体"/>
                <w:color w:val="auto"/>
                <w:sz w:val="20"/>
                <w:szCs w:val="20"/>
                <w:highlight w:val="none"/>
              </w:rPr>
            </w:pPr>
            <w:r>
              <w:rPr>
                <w:rFonts w:hint="eastAsia" w:ascii="宋体" w:hAnsi="宋体" w:cs="宋体"/>
                <w:color w:val="auto"/>
                <w:sz w:val="20"/>
                <w:szCs w:val="20"/>
                <w:highlight w:val="none"/>
              </w:rPr>
              <w:t>套</w:t>
            </w:r>
          </w:p>
        </w:tc>
        <w:tc>
          <w:tcPr>
            <w:tcW w:w="481" w:type="pct"/>
            <w:vAlign w:val="center"/>
          </w:tcPr>
          <w:p w14:paraId="078A9306">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2900</w:t>
            </w:r>
          </w:p>
        </w:tc>
        <w:tc>
          <w:tcPr>
            <w:tcW w:w="514" w:type="pct"/>
            <w:vAlign w:val="center"/>
          </w:tcPr>
          <w:p w14:paraId="7111696D">
            <w:pPr>
              <w:widowControl/>
              <w:jc w:val="center"/>
              <w:textAlignment w:val="center"/>
              <w:rPr>
                <w:rFonts w:asciiTheme="minorEastAsia" w:hAnsiTheme="minorEastAsia" w:eastAsiaTheme="minorEastAsia" w:cstheme="minorEastAsia"/>
                <w:color w:val="auto"/>
                <w:sz w:val="22"/>
                <w:highlight w:val="none"/>
              </w:rPr>
            </w:pPr>
            <w:r>
              <w:rPr>
                <w:rFonts w:hint="eastAsia" w:asciiTheme="minorEastAsia" w:hAnsiTheme="minorEastAsia" w:eastAsiaTheme="minorEastAsia" w:cstheme="minorEastAsia"/>
                <w:color w:val="auto"/>
                <w:sz w:val="22"/>
                <w:highlight w:val="none"/>
              </w:rPr>
              <w:t>2900</w:t>
            </w:r>
          </w:p>
        </w:tc>
      </w:tr>
      <w:tr w14:paraId="5E78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4" w:type="pct"/>
            <w:vAlign w:val="center"/>
          </w:tcPr>
          <w:p w14:paraId="79671638">
            <w:pPr>
              <w:spacing w:line="288" w:lineRule="auto"/>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rPr>
              <w:t>1</w:t>
            </w:r>
            <w:r>
              <w:rPr>
                <w:rFonts w:hint="eastAsia" w:ascii="宋体" w:hAnsi="宋体" w:cs="宋体"/>
                <w:color w:val="auto"/>
                <w:sz w:val="20"/>
                <w:szCs w:val="20"/>
                <w:highlight w:val="none"/>
                <w:lang w:val="en-US" w:eastAsia="zh-CN"/>
              </w:rPr>
              <w:t>5</w:t>
            </w:r>
          </w:p>
        </w:tc>
        <w:tc>
          <w:tcPr>
            <w:tcW w:w="361" w:type="pct"/>
            <w:vAlign w:val="center"/>
          </w:tcPr>
          <w:p w14:paraId="58D4A960">
            <w:pPr>
              <w:spacing w:line="288"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无线</w:t>
            </w:r>
          </w:p>
          <w:p w14:paraId="1CE2DE4E">
            <w:pPr>
              <w:spacing w:line="288"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矩阵</w:t>
            </w:r>
          </w:p>
        </w:tc>
        <w:tc>
          <w:tcPr>
            <w:tcW w:w="772" w:type="pct"/>
            <w:vAlign w:val="center"/>
          </w:tcPr>
          <w:p w14:paraId="1743B0FF">
            <w:pPr>
              <w:spacing w:line="288" w:lineRule="auto"/>
              <w:jc w:val="center"/>
              <w:rPr>
                <w:rFonts w:hint="eastAsia" w:ascii="宋体" w:hAnsi="宋体" w:cs="宋体"/>
                <w:color w:val="auto"/>
                <w:sz w:val="20"/>
                <w:szCs w:val="20"/>
                <w:highlight w:val="none"/>
              </w:rPr>
            </w:pPr>
            <w:r>
              <w:rPr>
                <w:rFonts w:hint="eastAsia" w:ascii="宋体" w:hAnsi="宋体" w:cs="宋体"/>
                <w:color w:val="auto"/>
                <w:sz w:val="20"/>
                <w:szCs w:val="20"/>
                <w:highlight w:val="none"/>
              </w:rPr>
              <w:t>华为、东信同邦、极域</w:t>
            </w:r>
          </w:p>
        </w:tc>
        <w:tc>
          <w:tcPr>
            <w:tcW w:w="1960" w:type="pct"/>
            <w:vAlign w:val="center"/>
          </w:tcPr>
          <w:p w14:paraId="1F15502E">
            <w:pPr>
              <w:rPr>
                <w:rFonts w:hint="eastAsia" w:ascii="宋体" w:hAnsi="宋体" w:cs="宋体"/>
                <w:b/>
                <w:bCs/>
                <w:color w:val="auto"/>
                <w:sz w:val="20"/>
                <w:szCs w:val="20"/>
                <w:highlight w:val="none"/>
              </w:rPr>
            </w:pPr>
            <w:r>
              <w:rPr>
                <w:rFonts w:hint="eastAsia" w:ascii="宋体" w:hAnsi="宋体" w:cs="宋体"/>
                <w:b/>
                <w:bCs/>
                <w:color w:val="auto"/>
                <w:sz w:val="20"/>
                <w:szCs w:val="20"/>
                <w:highlight w:val="none"/>
              </w:rPr>
              <w:t>一、硬件部分：</w:t>
            </w:r>
          </w:p>
          <w:p w14:paraId="1822E32A">
            <w:pPr>
              <w:rPr>
                <w:rFonts w:hint="eastAsia" w:ascii="宋体" w:hAnsi="宋体" w:cs="宋体"/>
                <w:color w:val="auto"/>
                <w:sz w:val="20"/>
                <w:szCs w:val="20"/>
                <w:highlight w:val="none"/>
              </w:rPr>
            </w:pPr>
            <w:r>
              <w:rPr>
                <w:rFonts w:hint="eastAsia" w:ascii="宋体" w:hAnsi="宋体" w:cs="宋体"/>
                <w:color w:val="auto"/>
                <w:sz w:val="20"/>
                <w:szCs w:val="20"/>
                <w:highlight w:val="none"/>
              </w:rPr>
              <w:t>1、主机采用OPS电脑模块与高密度无线AP一体化成型设计：CPU采用X86架构；操作系统采用当今主流移动设备（智能手机及平板电脑）的嵌入式操作系统即谷歌Android、苹果IOS、微软WP或华为HarmonyOS操作系统；内置高密度无线AP，其中内置高密度无线AP采用内置天线，无外置裸露天线，WiFi支持：IEEE 802.11 a/b/g/n/ac，工作频段：2.4GHz和5GHz，最大无线速率：1.3Gbps，移动终端设备流畅互动不掉线、屏幕广播流畅无延时、高清视频播放全同步；</w:t>
            </w:r>
          </w:p>
          <w:p w14:paraId="42F1753F">
            <w:pPr>
              <w:rPr>
                <w:rFonts w:hint="eastAsia" w:ascii="宋体" w:hAnsi="宋体" w:cs="宋体"/>
                <w:color w:val="auto"/>
                <w:sz w:val="20"/>
                <w:szCs w:val="20"/>
                <w:highlight w:val="none"/>
              </w:rPr>
            </w:pPr>
            <w:r>
              <w:rPr>
                <w:rFonts w:hint="eastAsia" w:ascii="宋体" w:hAnsi="宋体" w:cs="宋体"/>
                <w:color w:val="auto"/>
                <w:sz w:val="20"/>
                <w:szCs w:val="20"/>
                <w:highlight w:val="none"/>
              </w:rPr>
              <w:t>2无线交换：wifi支持IEEE 802.11 a/b/g/n/ac，工作频段：2.4GHz(2.412 GHz ~2.472 GHz)；5GHz(5.180 GHz ~5.8025GHz)；工作信道：2.4GHz （1~13），5GHz（36、40、44、48、149、153、157、161、165）；无线速率(最大)：11g 54Mbps、11n 300Mbps、11ac 866Gbps；调制技术：BPSK、QPSK、16-QAM、64-QAM、256-QAM；发射功率（最大）：2.4GHz 20dBm、5GHz 30dBm；可调功率粒度：1dBm。</w:t>
            </w:r>
          </w:p>
          <w:p w14:paraId="65EF0A56">
            <w:pPr>
              <w:rPr>
                <w:rFonts w:hint="eastAsia" w:ascii="宋体" w:hAnsi="宋体" w:cs="宋体"/>
                <w:color w:val="auto"/>
                <w:sz w:val="20"/>
                <w:szCs w:val="20"/>
                <w:highlight w:val="none"/>
              </w:rPr>
            </w:pPr>
            <w:r>
              <w:rPr>
                <w:rFonts w:hint="eastAsia" w:ascii="宋体" w:hAnsi="宋体" w:cs="宋体"/>
                <w:color w:val="auto"/>
                <w:sz w:val="20"/>
                <w:szCs w:val="20"/>
                <w:highlight w:val="none"/>
              </w:rPr>
              <w:t>★3、主机接口：电源键 *1，录制键 *1；内置具备至少3个10/100/1000Mbps以太网RJ45数据接口，支持WAN口外接网线接入互联网，或LAN口外接网线输出网络数据；具备至少3个USB Type-A接口，支持U盘、鼠标、键盘、摄像头的接入；具备至少1个USB Type-B接口；具备至少1个HDMI输入接口，支持电脑、摄像头、实物展台等外部设备的有线接入；具备至少1个HDMI输出接口，HDMI接口视频输入输出支持4K60FPS，HDMI输出适配：支持多种显示分辨率，主机可自动适配HDMI外接的大屏端分辨率，最高支持3840*2160分辨率；具备至少一路音频输入接口和一路音频输出接口，且采用通用3.5音频接口设计（投标时提供主机所有接口实物图片）</w:t>
            </w:r>
          </w:p>
          <w:p w14:paraId="4E840434">
            <w:pPr>
              <w:rPr>
                <w:rFonts w:hint="eastAsia" w:ascii="宋体" w:hAnsi="宋体" w:cs="宋体"/>
                <w:color w:val="auto"/>
                <w:sz w:val="20"/>
                <w:szCs w:val="20"/>
                <w:highlight w:val="none"/>
              </w:rPr>
            </w:pPr>
            <w:r>
              <w:rPr>
                <w:rFonts w:hint="eastAsia" w:ascii="宋体" w:hAnsi="宋体" w:cs="宋体"/>
                <w:color w:val="auto"/>
                <w:sz w:val="20"/>
                <w:szCs w:val="20"/>
                <w:highlight w:val="none"/>
              </w:rPr>
              <w:t>4、主机尺寸：长≤280mm、宽≤250mm、厚≤70mm；重量≤1.5KG。</w:t>
            </w:r>
          </w:p>
          <w:p w14:paraId="3F9F4731">
            <w:pPr>
              <w:rPr>
                <w:rFonts w:ascii="宋体" w:hAnsi="宋体" w:cs="宋体"/>
                <w:color w:val="auto"/>
                <w:sz w:val="20"/>
                <w:szCs w:val="20"/>
                <w:highlight w:val="none"/>
              </w:rPr>
            </w:pPr>
            <w:r>
              <w:rPr>
                <w:rFonts w:hint="eastAsia" w:ascii="宋体" w:hAnsi="宋体" w:cs="宋体"/>
                <w:color w:val="auto"/>
                <w:sz w:val="20"/>
                <w:szCs w:val="20"/>
                <w:highlight w:val="none"/>
              </w:rPr>
              <w:t>5、主机采用低功耗安全电压设计，DC*1输入，12V-3A，支持上电自动开机功能，LED工作状态指示灯。</w:t>
            </w:r>
          </w:p>
          <w:p w14:paraId="51D37342">
            <w:pPr>
              <w:rPr>
                <w:rFonts w:ascii="宋体" w:hAnsi="宋体" w:cs="宋体"/>
                <w:b/>
                <w:bCs/>
                <w:color w:val="auto"/>
                <w:sz w:val="20"/>
                <w:szCs w:val="20"/>
                <w:highlight w:val="none"/>
              </w:rPr>
            </w:pPr>
            <w:r>
              <w:rPr>
                <w:rFonts w:hint="eastAsia" w:ascii="宋体" w:hAnsi="宋体" w:cs="宋体"/>
                <w:b/>
                <w:bCs/>
                <w:color w:val="auto"/>
                <w:sz w:val="20"/>
                <w:szCs w:val="20"/>
                <w:highlight w:val="none"/>
              </w:rPr>
              <w:t>二、软件部分：</w:t>
            </w:r>
          </w:p>
          <w:p w14:paraId="047D27D3">
            <w:pPr>
              <w:rPr>
                <w:rFonts w:hint="eastAsia" w:ascii="宋体" w:hAnsi="宋体" w:cs="宋体"/>
                <w:color w:val="auto"/>
                <w:sz w:val="20"/>
                <w:szCs w:val="20"/>
                <w:highlight w:val="none"/>
              </w:rPr>
            </w:pPr>
            <w:r>
              <w:rPr>
                <w:rFonts w:hint="eastAsia" w:ascii="宋体" w:hAnsi="宋体" w:cs="宋体"/>
                <w:color w:val="auto"/>
                <w:sz w:val="20"/>
                <w:szCs w:val="20"/>
                <w:highlight w:val="none"/>
              </w:rPr>
              <w:t>1.中英文切换：系统支持简体中文和英文两种语言模式，可快速进行中英文的切换，满足双语要求。</w:t>
            </w:r>
          </w:p>
          <w:p w14:paraId="7CC5C3B4">
            <w:pPr>
              <w:rPr>
                <w:rFonts w:hint="eastAsia" w:ascii="宋体" w:hAnsi="宋体" w:cs="宋体"/>
                <w:color w:val="auto"/>
                <w:sz w:val="20"/>
                <w:szCs w:val="20"/>
                <w:highlight w:val="none"/>
              </w:rPr>
            </w:pPr>
            <w:r>
              <w:rPr>
                <w:rFonts w:hint="eastAsia" w:ascii="宋体" w:hAnsi="宋体" w:cs="宋体"/>
                <w:color w:val="auto"/>
                <w:sz w:val="20"/>
                <w:szCs w:val="20"/>
                <w:highlight w:val="none"/>
              </w:rPr>
              <w:t>2.软件遥控器：互动终端无需硬件遥控器或USB切换器，用户只需扫码下载遥控器APP即可将移动终端作为控制端，软件控制端支持截屏、录制、广播、切屏、布局、批注、互动等功能按钮，支持Windows、Android、iOS系统安装控制端软件。</w:t>
            </w:r>
          </w:p>
          <w:p w14:paraId="620BABD5">
            <w:pPr>
              <w:rPr>
                <w:rFonts w:hint="eastAsia" w:ascii="宋体" w:hAnsi="宋体" w:cs="宋体"/>
                <w:color w:val="auto"/>
                <w:sz w:val="20"/>
                <w:szCs w:val="20"/>
                <w:highlight w:val="none"/>
              </w:rPr>
            </w:pPr>
            <w:r>
              <w:rPr>
                <w:rFonts w:hint="eastAsia" w:ascii="宋体" w:hAnsi="宋体" w:cs="宋体"/>
                <w:color w:val="auto"/>
                <w:sz w:val="20"/>
                <w:szCs w:val="20"/>
                <w:highlight w:val="none"/>
              </w:rPr>
              <w:t>★3.文件上屏：使用遥控器APP，可将遥控器本地的文件、图片、视频上传至屏幕，并以最多4屏画面显示。</w:t>
            </w:r>
          </w:p>
          <w:p w14:paraId="4264980C">
            <w:pPr>
              <w:rPr>
                <w:rFonts w:hint="eastAsia" w:ascii="宋体" w:hAnsi="宋体" w:cs="宋体"/>
                <w:color w:val="auto"/>
                <w:sz w:val="20"/>
                <w:szCs w:val="20"/>
                <w:highlight w:val="none"/>
              </w:rPr>
            </w:pPr>
            <w:r>
              <w:rPr>
                <w:rFonts w:hint="eastAsia" w:ascii="宋体" w:hAnsi="宋体" w:cs="宋体"/>
                <w:color w:val="auto"/>
                <w:sz w:val="20"/>
                <w:szCs w:val="20"/>
                <w:highlight w:val="none"/>
              </w:rPr>
              <w:t>★4.拍照与拍视频上屏：使用遥控器APP，可通过遥控器手机/平板的相机功能，拍摄多张照片上传至屏幕，亦可录制多段视频上传至屏幕，并以最多4屏画面显示。</w:t>
            </w:r>
          </w:p>
          <w:p w14:paraId="6F3B40E2">
            <w:pPr>
              <w:rPr>
                <w:rFonts w:hint="eastAsia" w:ascii="宋体" w:hAnsi="宋体" w:cs="宋体"/>
                <w:color w:val="auto"/>
                <w:sz w:val="20"/>
                <w:szCs w:val="20"/>
                <w:highlight w:val="none"/>
              </w:rPr>
            </w:pPr>
            <w:r>
              <w:rPr>
                <w:rFonts w:hint="eastAsia" w:ascii="宋体" w:hAnsi="宋体" w:cs="宋体"/>
                <w:color w:val="auto"/>
                <w:sz w:val="20"/>
                <w:szCs w:val="20"/>
                <w:highlight w:val="none"/>
              </w:rPr>
              <w:t>5.屏幕工具栏：用户可直接在触控显示屏上点击系统工具栏，或通过鼠标点击工具栏控制，工具栏具有截屏、录制、广播、切屏、布局、批注、互动等功能按钮，并可以看到时间、设备状态等信息；支持工具栏显示或隐藏，隐藏后可点击隐藏按钮再次显示，且无操作10秒钟后，工具栏会自动隐藏。</w:t>
            </w:r>
          </w:p>
          <w:p w14:paraId="52D139FB">
            <w:pPr>
              <w:rPr>
                <w:rFonts w:hint="eastAsia" w:ascii="宋体" w:hAnsi="宋体" w:cs="宋体"/>
                <w:color w:val="auto"/>
                <w:sz w:val="20"/>
                <w:szCs w:val="20"/>
                <w:highlight w:val="none"/>
              </w:rPr>
            </w:pPr>
            <w:r>
              <w:rPr>
                <w:rFonts w:hint="eastAsia" w:ascii="宋体" w:hAnsi="宋体" w:cs="宋体"/>
                <w:color w:val="auto"/>
                <w:sz w:val="20"/>
                <w:szCs w:val="20"/>
                <w:highlight w:val="none"/>
              </w:rPr>
              <w:t>6.三大类公有传输协议投屏：支持Air Play、Miracast、WIDI投射协议投屏，能够将iOS设备、Android设备、Windows设备不安装任何APP或者插件的前提下直接无线接入互动终端进行投屏。</w:t>
            </w:r>
          </w:p>
          <w:p w14:paraId="456CCB85">
            <w:pPr>
              <w:rPr>
                <w:rFonts w:hint="eastAsia" w:ascii="宋体" w:hAnsi="宋体" w:cs="宋体"/>
                <w:color w:val="auto"/>
                <w:sz w:val="20"/>
                <w:szCs w:val="20"/>
                <w:highlight w:val="none"/>
              </w:rPr>
            </w:pPr>
            <w:r>
              <w:rPr>
                <w:rFonts w:hint="eastAsia" w:ascii="宋体" w:hAnsi="宋体" w:cs="宋体"/>
                <w:color w:val="auto"/>
                <w:sz w:val="20"/>
                <w:szCs w:val="20"/>
                <w:highlight w:val="none"/>
              </w:rPr>
              <w:t>★7. 8路终端投屏显示：支持不少于8路投屏设备同时接入互动终端，并可自由拖动画面位置，支持对其中某个设备画面进行音量开关、画面全屏、画面移除或画面旋转等，或对全体设备画面音量调节。（</w:t>
            </w:r>
            <w:r>
              <w:rPr>
                <w:rFonts w:hint="eastAsia" w:ascii="宋体" w:hAnsi="宋体" w:cs="宋体"/>
                <w:color w:val="auto"/>
                <w:sz w:val="20"/>
                <w:szCs w:val="20"/>
                <w:highlight w:val="none"/>
                <w:lang w:val="en-US" w:eastAsia="zh-CN"/>
              </w:rPr>
              <w:t>投</w:t>
            </w:r>
            <w:r>
              <w:rPr>
                <w:rFonts w:hint="eastAsia" w:ascii="宋体" w:hAnsi="宋体" w:cs="宋体"/>
                <w:color w:val="auto"/>
                <w:sz w:val="20"/>
                <w:szCs w:val="20"/>
                <w:highlight w:val="none"/>
              </w:rPr>
              <w:t>标时提供软件功能截图）</w:t>
            </w:r>
          </w:p>
          <w:p w14:paraId="52A83939">
            <w:pPr>
              <w:rPr>
                <w:rFonts w:hint="eastAsia" w:ascii="宋体" w:hAnsi="宋体" w:cs="宋体"/>
                <w:color w:val="auto"/>
                <w:sz w:val="20"/>
                <w:szCs w:val="20"/>
                <w:highlight w:val="none"/>
              </w:rPr>
            </w:pPr>
            <w:r>
              <w:rPr>
                <w:rFonts w:hint="eastAsia" w:ascii="宋体" w:hAnsi="宋体" w:cs="宋体"/>
                <w:color w:val="auto"/>
                <w:sz w:val="20"/>
                <w:szCs w:val="20"/>
                <w:highlight w:val="none"/>
              </w:rPr>
              <w:t>8.PIN码与密码策略：支持互动终端设置PIN码，任何无线投屏的终端均需输入PIN码投屏；支持管理员密码保护策略，设置密码后，每次点击进入“设置”界面均需要再次输入管理员密码。</w:t>
            </w:r>
          </w:p>
          <w:p w14:paraId="07455E97">
            <w:pPr>
              <w:rPr>
                <w:rFonts w:hint="eastAsia" w:ascii="宋体" w:hAnsi="宋体" w:cs="宋体"/>
                <w:color w:val="auto"/>
                <w:sz w:val="20"/>
                <w:szCs w:val="20"/>
                <w:highlight w:val="none"/>
              </w:rPr>
            </w:pPr>
            <w:r>
              <w:rPr>
                <w:rFonts w:hint="eastAsia" w:ascii="宋体" w:hAnsi="宋体" w:cs="宋体"/>
                <w:color w:val="auto"/>
                <w:sz w:val="20"/>
                <w:szCs w:val="20"/>
                <w:highlight w:val="none"/>
              </w:rPr>
              <w:t>★9.手写板投屏：支持60台手写板通过Wifi连接互动终端，手写板书写笔迹可实时呈现在显示屏，支持1屏、2屏、3屏、4屏等不同对比模式，手写板投屏画面可支持旋转、全屏放大、从显示屏幕端直接移除等操作。</w:t>
            </w:r>
          </w:p>
          <w:p w14:paraId="14BC59D4">
            <w:pPr>
              <w:rPr>
                <w:rFonts w:hint="eastAsia" w:ascii="宋体" w:hAnsi="宋体" w:cs="宋体"/>
                <w:color w:val="auto"/>
                <w:sz w:val="20"/>
                <w:szCs w:val="20"/>
                <w:highlight w:val="none"/>
              </w:rPr>
            </w:pPr>
            <w:r>
              <w:rPr>
                <w:rFonts w:hint="eastAsia" w:ascii="宋体" w:hAnsi="宋体" w:cs="宋体"/>
                <w:color w:val="auto"/>
                <w:sz w:val="20"/>
                <w:szCs w:val="20"/>
                <w:highlight w:val="none"/>
              </w:rPr>
              <w:t>10.书签：支持添加第三方Web端网页链接，可支持在屏幕端展示1、2、3、4个网页界面。</w:t>
            </w:r>
          </w:p>
          <w:p w14:paraId="425865D6">
            <w:pPr>
              <w:rPr>
                <w:rFonts w:hint="eastAsia" w:ascii="宋体" w:hAnsi="宋体" w:cs="宋体"/>
                <w:color w:val="auto"/>
                <w:sz w:val="20"/>
                <w:szCs w:val="20"/>
                <w:highlight w:val="none"/>
              </w:rPr>
            </w:pPr>
            <w:r>
              <w:rPr>
                <w:rFonts w:hint="eastAsia" w:ascii="宋体" w:hAnsi="宋体" w:cs="宋体"/>
                <w:color w:val="auto"/>
                <w:sz w:val="20"/>
                <w:szCs w:val="20"/>
                <w:highlight w:val="none"/>
              </w:rPr>
              <w:t>★11.投屏终端选择与切换：系统自动对有线接入设备、无线接入设备的系统设备、U盘、手写板等设备分类。支持对已连接互动终端的设备强行从列表中移除，并可设置常用设备置顶显示。</w:t>
            </w:r>
          </w:p>
          <w:p w14:paraId="0B910DEB">
            <w:pPr>
              <w:rPr>
                <w:rFonts w:hint="eastAsia" w:ascii="宋体" w:hAnsi="宋体" w:cs="宋体"/>
                <w:color w:val="auto"/>
                <w:sz w:val="20"/>
                <w:szCs w:val="20"/>
                <w:highlight w:val="none"/>
              </w:rPr>
            </w:pPr>
            <w:r>
              <w:rPr>
                <w:rFonts w:hint="eastAsia" w:ascii="宋体" w:hAnsi="宋体" w:cs="宋体"/>
                <w:color w:val="auto"/>
                <w:sz w:val="20"/>
                <w:szCs w:val="20"/>
                <w:highlight w:val="none"/>
              </w:rPr>
              <w:t>★12.多种画面布局：支持1、2、3、4画面布局，画面支持多种对比模式（如均分屏幕、一大两小、窗口悬浮等不少于4种默认画面布局方式），一键点击即可选择相应布局。（投标时提供软件功能截图）</w:t>
            </w:r>
          </w:p>
          <w:p w14:paraId="41A05FC4">
            <w:pPr>
              <w:rPr>
                <w:rFonts w:hint="eastAsia" w:ascii="宋体" w:hAnsi="宋体" w:cs="宋体"/>
                <w:color w:val="auto"/>
                <w:sz w:val="20"/>
                <w:szCs w:val="20"/>
                <w:highlight w:val="none"/>
              </w:rPr>
            </w:pPr>
            <w:r>
              <w:rPr>
                <w:rFonts w:hint="eastAsia" w:ascii="宋体" w:hAnsi="宋体" w:cs="宋体"/>
                <w:color w:val="auto"/>
                <w:sz w:val="20"/>
                <w:szCs w:val="20"/>
                <w:highlight w:val="none"/>
              </w:rPr>
              <w:t>13.画面记忆：已设置好布局的投屏画面具有画面记忆功能，即布局模式更换后，原布局内的设备画面自动存储记忆，不会自动清屏或更改。</w:t>
            </w:r>
          </w:p>
          <w:p w14:paraId="7CA70FA0">
            <w:pPr>
              <w:rPr>
                <w:rFonts w:hint="eastAsia" w:ascii="宋体" w:hAnsi="宋体" w:cs="宋体"/>
                <w:color w:val="auto"/>
                <w:sz w:val="20"/>
                <w:szCs w:val="20"/>
                <w:highlight w:val="none"/>
              </w:rPr>
            </w:pPr>
            <w:r>
              <w:rPr>
                <w:rFonts w:hint="eastAsia" w:ascii="宋体" w:hAnsi="宋体" w:cs="宋体"/>
                <w:color w:val="auto"/>
                <w:sz w:val="20"/>
                <w:szCs w:val="20"/>
                <w:highlight w:val="none"/>
              </w:rPr>
              <w:t>14.一键截屏：支持一键截取当前屏幕的显示画面，截屏的图片可保存在外接U盘、云盘中，支持通过遥控器APP分享到微信、微博、QQ等第三方应用程序，并支持将存储在外接U盘、云盘中的图片下载到本地。</w:t>
            </w:r>
          </w:p>
          <w:p w14:paraId="4F8C64D0">
            <w:pPr>
              <w:rPr>
                <w:rFonts w:hint="eastAsia" w:ascii="宋体" w:hAnsi="宋体" w:cs="宋体"/>
                <w:color w:val="auto"/>
                <w:sz w:val="20"/>
                <w:szCs w:val="20"/>
                <w:highlight w:val="none"/>
              </w:rPr>
            </w:pPr>
            <w:r>
              <w:rPr>
                <w:rFonts w:hint="eastAsia" w:ascii="宋体" w:hAnsi="宋体" w:cs="宋体"/>
                <w:color w:val="auto"/>
                <w:sz w:val="20"/>
                <w:szCs w:val="20"/>
                <w:highlight w:val="none"/>
              </w:rPr>
              <w:t>15.一键微课录制：支持通过硬件设备上的“录制”按键一键开始录制，也支持通过软件中“录制”按钮一键录制；录制支持多画面和外接麦克风声音同步录入，支持720P和1080P格式，录制的视频可保存在外接U盘、云盘中，支持存储空间不足时的文字提醒功能。</w:t>
            </w:r>
          </w:p>
          <w:p w14:paraId="02E39C1C">
            <w:pPr>
              <w:rPr>
                <w:rFonts w:hint="eastAsia" w:ascii="宋体" w:hAnsi="宋体" w:cs="宋体"/>
                <w:color w:val="auto"/>
                <w:sz w:val="20"/>
                <w:szCs w:val="20"/>
                <w:highlight w:val="none"/>
              </w:rPr>
            </w:pPr>
            <w:r>
              <w:rPr>
                <w:rFonts w:hint="eastAsia" w:ascii="宋体" w:hAnsi="宋体" w:cs="宋体"/>
                <w:color w:val="auto"/>
                <w:sz w:val="20"/>
                <w:szCs w:val="20"/>
                <w:highlight w:val="none"/>
              </w:rPr>
              <w:t>16.批注：支持对当前屏幕批注，系统提供画笔、荧光笔、激光笔、自动清除、新建白板等工具，批注内容可截屏存储，支持调取二维码用于扫码下载当前界面的截图。</w:t>
            </w:r>
          </w:p>
          <w:p w14:paraId="69331C6F">
            <w:pPr>
              <w:rPr>
                <w:rFonts w:hint="eastAsia" w:ascii="宋体" w:hAnsi="宋体" w:cs="宋体"/>
                <w:color w:val="auto"/>
                <w:sz w:val="20"/>
                <w:szCs w:val="20"/>
                <w:highlight w:val="none"/>
              </w:rPr>
            </w:pPr>
            <w:r>
              <w:rPr>
                <w:rFonts w:hint="eastAsia" w:ascii="宋体" w:hAnsi="宋体" w:cs="宋体"/>
                <w:color w:val="auto"/>
                <w:sz w:val="20"/>
                <w:szCs w:val="20"/>
                <w:highlight w:val="none"/>
              </w:rPr>
              <w:t>17.全屏缩放：通过遥控器APP或在触控显示屏上对投屏显示设备画面缩放，达到对文字或重点画面逐步放大的效果，能够对单屏或多屏画面进行最大400%放大。</w:t>
            </w:r>
          </w:p>
          <w:p w14:paraId="2B976CA6">
            <w:pPr>
              <w:rPr>
                <w:rFonts w:hint="eastAsia" w:ascii="宋体" w:hAnsi="宋体" w:cs="宋体"/>
                <w:color w:val="auto"/>
                <w:sz w:val="20"/>
                <w:szCs w:val="20"/>
                <w:highlight w:val="none"/>
              </w:rPr>
            </w:pPr>
            <w:r>
              <w:rPr>
                <w:rFonts w:hint="eastAsia" w:ascii="宋体" w:hAnsi="宋体" w:cs="宋体"/>
                <w:color w:val="auto"/>
                <w:sz w:val="20"/>
                <w:szCs w:val="20"/>
                <w:highlight w:val="none"/>
              </w:rPr>
              <w:t>★18.应用程序：支持第三方应用程序嵌入式安装在互动终端，无需借助教师平板可直接开启师生互动软件，完成互动过程。</w:t>
            </w:r>
          </w:p>
          <w:p w14:paraId="1B6DE030">
            <w:pPr>
              <w:rPr>
                <w:rFonts w:hint="eastAsia" w:ascii="宋体" w:hAnsi="宋体" w:cs="宋体"/>
                <w:color w:val="auto"/>
                <w:sz w:val="20"/>
                <w:szCs w:val="20"/>
                <w:highlight w:val="none"/>
              </w:rPr>
            </w:pPr>
            <w:r>
              <w:rPr>
                <w:rFonts w:hint="eastAsia" w:ascii="宋体" w:hAnsi="宋体" w:cs="宋体"/>
                <w:color w:val="auto"/>
                <w:sz w:val="20"/>
                <w:szCs w:val="20"/>
                <w:highlight w:val="none"/>
              </w:rPr>
              <w:t>★19.扫码带走：在接入互联网或断开互联网后，系统均可生成二维码，用户可使用移动终端扫码下载图库中的多张图片。</w:t>
            </w:r>
          </w:p>
          <w:p w14:paraId="29929484">
            <w:pPr>
              <w:rPr>
                <w:rFonts w:hint="eastAsia" w:ascii="宋体" w:hAnsi="宋体" w:cs="宋体"/>
                <w:color w:val="auto"/>
                <w:sz w:val="20"/>
                <w:szCs w:val="20"/>
                <w:highlight w:val="none"/>
              </w:rPr>
            </w:pPr>
            <w:r>
              <w:rPr>
                <w:rFonts w:hint="eastAsia" w:ascii="宋体" w:hAnsi="宋体" w:cs="宋体"/>
                <w:color w:val="auto"/>
                <w:sz w:val="20"/>
                <w:szCs w:val="20"/>
                <w:highlight w:val="none"/>
              </w:rPr>
              <w:t>20.欢迎主题：系统内置不少于14种模板，可选择系统模板、自定义模板和文字模板，支持插入文本、分割线和导入外接U盘的音乐、图片，可针对自定义内容保存为模板，自由导入、导出主题，并可同步展示到分组屏显示。</w:t>
            </w:r>
          </w:p>
          <w:p w14:paraId="3138DACA">
            <w:pPr>
              <w:rPr>
                <w:rFonts w:hint="eastAsia" w:ascii="宋体" w:hAnsi="宋体" w:cs="宋体"/>
                <w:color w:val="auto"/>
                <w:sz w:val="20"/>
                <w:szCs w:val="20"/>
                <w:highlight w:val="none"/>
              </w:rPr>
            </w:pPr>
            <w:r>
              <w:rPr>
                <w:rFonts w:hint="eastAsia" w:ascii="宋体" w:hAnsi="宋体" w:cs="宋体"/>
                <w:color w:val="auto"/>
                <w:sz w:val="20"/>
                <w:szCs w:val="20"/>
                <w:highlight w:val="none"/>
              </w:rPr>
              <w:t>21.音量调节：支持对屏幕端音视频的一键静音和解除静音，关闭麦克风和打开麦克风，并可手动调节音量大小和选择声音输入输出设备，还可支持播放测试音和启用侦听。</w:t>
            </w:r>
          </w:p>
          <w:p w14:paraId="532B0FF2">
            <w:pPr>
              <w:rPr>
                <w:rFonts w:hint="eastAsia" w:ascii="宋体" w:hAnsi="宋体" w:cs="宋体"/>
                <w:color w:val="auto"/>
                <w:sz w:val="20"/>
                <w:szCs w:val="20"/>
                <w:highlight w:val="none"/>
              </w:rPr>
            </w:pPr>
            <w:r>
              <w:rPr>
                <w:rFonts w:hint="eastAsia" w:ascii="宋体" w:hAnsi="宋体" w:cs="宋体"/>
                <w:color w:val="auto"/>
                <w:sz w:val="20"/>
                <w:szCs w:val="20"/>
                <w:highlight w:val="none"/>
              </w:rPr>
              <w:t>22.U盘读写：支持外接NTFS、EXFAT格式的大容量移动存储设备，“存储”可支持截屏、录制内容写入，“读取”可选择U盘中的文档、图片、视频等资料直接打开播放，也可对存储至U盘的截屏图片和录制的视频预览、移除。</w:t>
            </w:r>
          </w:p>
          <w:p w14:paraId="6D91B037">
            <w:pPr>
              <w:rPr>
                <w:rFonts w:hint="eastAsia" w:ascii="宋体" w:hAnsi="宋体" w:cs="宋体"/>
                <w:color w:val="auto"/>
                <w:sz w:val="20"/>
                <w:szCs w:val="20"/>
                <w:highlight w:val="none"/>
              </w:rPr>
            </w:pPr>
            <w:r>
              <w:rPr>
                <w:rFonts w:hint="eastAsia" w:ascii="宋体" w:hAnsi="宋体" w:cs="宋体"/>
                <w:color w:val="auto"/>
                <w:sz w:val="20"/>
                <w:szCs w:val="20"/>
                <w:highlight w:val="none"/>
              </w:rPr>
              <w:t>★23.反控操作：支持在触控显示屏上对HDMI有线接入的电脑反向控制操作，支持无线投屏的部分Android、Windows设备UIBC反向控制操作，可在大屏端触摸或通过系统设备外接鼠标反向控制。</w:t>
            </w:r>
          </w:p>
          <w:p w14:paraId="24500D22">
            <w:pPr>
              <w:rPr>
                <w:rFonts w:hint="eastAsia" w:ascii="宋体" w:hAnsi="宋体" w:cs="宋体"/>
                <w:color w:val="auto"/>
                <w:sz w:val="20"/>
                <w:szCs w:val="20"/>
                <w:highlight w:val="none"/>
              </w:rPr>
            </w:pPr>
            <w:r>
              <w:rPr>
                <w:rFonts w:hint="eastAsia" w:ascii="宋体" w:hAnsi="宋体" w:cs="宋体"/>
                <w:color w:val="auto"/>
                <w:sz w:val="20"/>
                <w:szCs w:val="20"/>
                <w:highlight w:val="none"/>
              </w:rPr>
              <w:t>24、互动子系统</w:t>
            </w:r>
          </w:p>
          <w:p w14:paraId="53E20A2C">
            <w:pPr>
              <w:rPr>
                <w:rFonts w:hint="eastAsia" w:ascii="宋体" w:hAnsi="宋体" w:cs="宋体"/>
                <w:color w:val="auto"/>
                <w:sz w:val="20"/>
                <w:szCs w:val="20"/>
                <w:highlight w:val="none"/>
              </w:rPr>
            </w:pPr>
            <w:r>
              <w:rPr>
                <w:rFonts w:hint="eastAsia" w:ascii="宋体" w:hAnsi="宋体" w:cs="宋体"/>
                <w:color w:val="auto"/>
                <w:sz w:val="20"/>
                <w:szCs w:val="20"/>
                <w:highlight w:val="none"/>
              </w:rPr>
              <w:t>1.账号登录：点击系统工具栏发起上课，支持用户在显示屏上输入账号和密码进行登录；支持用户通过微信扫描二维码，在小程序中输入账号和密码进行登录。</w:t>
            </w:r>
          </w:p>
          <w:p w14:paraId="37B0E839">
            <w:pPr>
              <w:rPr>
                <w:rFonts w:hint="eastAsia" w:ascii="宋体" w:hAnsi="宋体" w:cs="宋体"/>
                <w:color w:val="auto"/>
                <w:sz w:val="20"/>
                <w:szCs w:val="20"/>
                <w:highlight w:val="none"/>
              </w:rPr>
            </w:pPr>
            <w:r>
              <w:rPr>
                <w:rFonts w:hint="eastAsia" w:ascii="宋体" w:hAnsi="宋体" w:cs="宋体"/>
                <w:color w:val="auto"/>
                <w:sz w:val="20"/>
                <w:szCs w:val="20"/>
                <w:highlight w:val="none"/>
              </w:rPr>
              <w:t>2.终端选择：支持使用反馈器、手写板和微信小程序参与互动。</w:t>
            </w:r>
          </w:p>
          <w:p w14:paraId="3F90201E">
            <w:pP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rPr>
              <w:t>★</w:t>
            </w:r>
            <w:r>
              <w:rPr>
                <w:rFonts w:hint="eastAsia" w:ascii="宋体" w:hAnsi="宋体" w:cs="宋体"/>
                <w:color w:val="auto"/>
                <w:sz w:val="20"/>
                <w:szCs w:val="20"/>
                <w:highlight w:val="none"/>
                <w:lang w:val="en-US" w:eastAsia="zh-CN"/>
              </w:rPr>
              <w:t>3、为保证产品质量，供货时请提供生产厂家对本次项目的售后服务承诺书。</w:t>
            </w:r>
          </w:p>
        </w:tc>
        <w:tc>
          <w:tcPr>
            <w:tcW w:w="420" w:type="pct"/>
            <w:vAlign w:val="center"/>
          </w:tcPr>
          <w:p w14:paraId="75CFCB58">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1</w:t>
            </w:r>
          </w:p>
        </w:tc>
        <w:tc>
          <w:tcPr>
            <w:tcW w:w="244" w:type="pct"/>
            <w:vAlign w:val="center"/>
          </w:tcPr>
          <w:p w14:paraId="1B0B847A">
            <w:pPr>
              <w:widowControl/>
              <w:jc w:val="center"/>
              <w:textAlignment w:val="center"/>
              <w:rPr>
                <w:rFonts w:hint="eastAsia" w:ascii="宋体" w:hAnsi="宋体" w:cs="宋体"/>
                <w:color w:val="auto"/>
                <w:sz w:val="20"/>
                <w:szCs w:val="20"/>
                <w:highlight w:val="none"/>
              </w:rPr>
            </w:pPr>
            <w:r>
              <w:rPr>
                <w:rFonts w:hint="eastAsia" w:ascii="宋体" w:hAnsi="宋体" w:cs="宋体"/>
                <w:color w:val="auto"/>
                <w:sz w:val="20"/>
                <w:szCs w:val="20"/>
                <w:highlight w:val="none"/>
              </w:rPr>
              <w:t>套</w:t>
            </w:r>
          </w:p>
        </w:tc>
        <w:tc>
          <w:tcPr>
            <w:tcW w:w="481" w:type="pct"/>
            <w:vAlign w:val="center"/>
          </w:tcPr>
          <w:p w14:paraId="0C57004D">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8000</w:t>
            </w:r>
          </w:p>
        </w:tc>
        <w:tc>
          <w:tcPr>
            <w:tcW w:w="514" w:type="pct"/>
            <w:vAlign w:val="center"/>
          </w:tcPr>
          <w:p w14:paraId="3F109F3C">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8000</w:t>
            </w:r>
          </w:p>
        </w:tc>
      </w:tr>
      <w:tr w14:paraId="0BA7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485" w:type="pct"/>
            <w:gridSpan w:val="7"/>
            <w:vAlign w:val="center"/>
          </w:tcPr>
          <w:p w14:paraId="5487AFB5">
            <w:pPr>
              <w:widowControl/>
              <w:spacing w:line="288" w:lineRule="auto"/>
              <w:jc w:val="center"/>
              <w:rPr>
                <w:rFonts w:hint="default" w:ascii="宋体" w:hAnsi="宋体" w:eastAsia="宋体" w:cs="宋体"/>
                <w:color w:val="auto"/>
                <w:sz w:val="20"/>
                <w:szCs w:val="20"/>
                <w:highlight w:val="none"/>
                <w:lang w:val="en-US" w:eastAsia="zh-CN"/>
              </w:rPr>
            </w:pPr>
            <w:r>
              <w:rPr>
                <w:rFonts w:hint="eastAsia" w:ascii="宋体" w:hAnsi="宋体" w:cs="宋体"/>
                <w:b/>
                <w:bCs/>
                <w:color w:val="auto"/>
                <w:kern w:val="0"/>
                <w:sz w:val="20"/>
                <w:szCs w:val="20"/>
                <w:highlight w:val="none"/>
              </w:rPr>
              <w:t>合计</w:t>
            </w:r>
            <w:r>
              <w:rPr>
                <w:rFonts w:hint="eastAsia" w:ascii="宋体" w:hAnsi="宋体" w:cs="宋体"/>
                <w:b/>
                <w:bCs/>
                <w:color w:val="auto"/>
                <w:kern w:val="0"/>
                <w:sz w:val="20"/>
                <w:szCs w:val="20"/>
                <w:highlight w:val="none"/>
                <w:lang w:eastAsia="zh-CN"/>
              </w:rPr>
              <w:t>：</w:t>
            </w:r>
            <w:r>
              <w:rPr>
                <w:rFonts w:hint="eastAsia" w:ascii="宋体" w:hAnsi="宋体" w:cs="宋体"/>
                <w:b/>
                <w:bCs/>
                <w:color w:val="auto"/>
                <w:kern w:val="0"/>
                <w:sz w:val="20"/>
                <w:szCs w:val="20"/>
                <w:highlight w:val="none"/>
                <w:lang w:val="en-US" w:eastAsia="zh-CN"/>
              </w:rPr>
              <w:t>壹拾捌万柒仟伍佰陆拾玖元整</w:t>
            </w:r>
          </w:p>
        </w:tc>
        <w:tc>
          <w:tcPr>
            <w:tcW w:w="514" w:type="pct"/>
            <w:vAlign w:val="center"/>
          </w:tcPr>
          <w:p w14:paraId="38D4ACCB">
            <w:pPr>
              <w:widowControl/>
              <w:jc w:val="center"/>
              <w:textAlignment w:val="center"/>
              <w:rPr>
                <w:rFonts w:hint="default" w:asciiTheme="minorEastAsia" w:hAnsiTheme="minorEastAsia" w:eastAsiaTheme="minorEastAsia" w:cstheme="minorEastAsia"/>
                <w:color w:val="auto"/>
                <w:sz w:val="22"/>
                <w:highlight w:val="none"/>
                <w:lang w:val="en-US" w:eastAsia="zh-CN"/>
              </w:rPr>
            </w:pPr>
            <w:r>
              <w:rPr>
                <w:rFonts w:hint="eastAsia" w:asciiTheme="minorEastAsia" w:hAnsiTheme="minorEastAsia" w:eastAsiaTheme="minorEastAsia" w:cstheme="minorEastAsia"/>
                <w:color w:val="auto"/>
                <w:sz w:val="22"/>
                <w:highlight w:val="none"/>
                <w:lang w:val="en-US" w:eastAsia="zh-CN"/>
              </w:rPr>
              <w:t>187569</w:t>
            </w:r>
          </w:p>
        </w:tc>
      </w:tr>
    </w:tbl>
    <w:p w14:paraId="6994DBBB">
      <w:pPr>
        <w:widowControl/>
        <w:spacing w:line="288" w:lineRule="auto"/>
        <w:jc w:val="left"/>
        <w:rPr>
          <w:rFonts w:ascii="宋体" w:hAnsi="宋体" w:cs="宋体"/>
          <w:color w:val="auto"/>
          <w:szCs w:val="21"/>
          <w:highlight w:val="none"/>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8"/>
      </w:tblGrid>
      <w:tr w14:paraId="154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14" w:type="dxa"/>
            <w:gridSpan w:val="2"/>
          </w:tcPr>
          <w:p w14:paraId="6724E585">
            <w:pPr>
              <w:rPr>
                <w:rFonts w:ascii="宋体" w:hAnsi="宋体" w:cs="宋体"/>
                <w:color w:val="auto"/>
                <w:highlight w:val="none"/>
              </w:rPr>
            </w:pPr>
            <w:r>
              <w:rPr>
                <w:rFonts w:hint="eastAsia" w:ascii="宋体" w:hAnsi="宋体" w:cs="Calibri"/>
                <w:b/>
                <w:bCs/>
                <w:color w:val="auto"/>
                <w:kern w:val="0"/>
                <w:sz w:val="20"/>
                <w:szCs w:val="20"/>
                <w:highlight w:val="none"/>
              </w:rPr>
              <w:t>▲</w:t>
            </w:r>
            <w:r>
              <w:rPr>
                <w:rFonts w:hint="eastAsia" w:ascii="宋体" w:hAnsi="宋体" w:cs="宋体"/>
                <w:b/>
                <w:bCs/>
                <w:color w:val="auto"/>
                <w:kern w:val="0"/>
                <w:szCs w:val="21"/>
                <w:highlight w:val="none"/>
              </w:rPr>
              <w:t>二、商务服务要求表</w:t>
            </w:r>
          </w:p>
        </w:tc>
      </w:tr>
      <w:tr w14:paraId="0DA9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08595F59">
            <w:pPr>
              <w:widowControl/>
              <w:snapToGrid w:val="0"/>
              <w:spacing w:line="400" w:lineRule="exact"/>
              <w:jc w:val="center"/>
              <w:textAlignment w:val="center"/>
              <w:rPr>
                <w:rStyle w:val="11"/>
                <w:rFonts w:hint="eastAsia" w:ascii="仿宋" w:hAnsi="仿宋" w:eastAsia="仿宋" w:cs="仿宋"/>
                <w:color w:val="auto"/>
                <w:sz w:val="21"/>
                <w:szCs w:val="21"/>
                <w:highlight w:val="none"/>
              </w:rPr>
            </w:pPr>
            <w:r>
              <w:rPr>
                <w:rFonts w:hint="eastAsia" w:ascii="仿宋" w:hAnsi="仿宋" w:eastAsia="仿宋" w:cs="仿宋"/>
                <w:color w:val="auto"/>
                <w:sz w:val="24"/>
                <w:szCs w:val="24"/>
                <w:highlight w:val="none"/>
                <w:lang w:val="zh-CN"/>
              </w:rPr>
              <w:t>供应商资格要求</w:t>
            </w:r>
          </w:p>
        </w:tc>
        <w:tc>
          <w:tcPr>
            <w:tcW w:w="14624" w:type="dxa"/>
            <w:vAlign w:val="center"/>
          </w:tcPr>
          <w:p w14:paraId="0B3DD951">
            <w:pPr>
              <w:autoSpaceDE w:val="0"/>
              <w:autoSpaceDN w:val="0"/>
              <w:adjustRightInd w:val="0"/>
              <w:spacing w:line="38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1.符合《中华人民共和国政府采购法》第二十二条规定，具有独立法人资格的供应商。</w:t>
            </w:r>
          </w:p>
          <w:p w14:paraId="7FB37A67">
            <w:pPr>
              <w:autoSpaceDE w:val="0"/>
              <w:autoSpaceDN w:val="0"/>
              <w:adjustRightInd w:val="0"/>
              <w:spacing w:line="38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2.未被“信用中国”网站（www.creditchina.gov.cn）列入失信被执行人、重大税收违法案件当事人名单、政府采购严重违法失信行为记录名单。</w:t>
            </w:r>
          </w:p>
          <w:p w14:paraId="4F890373">
            <w:pPr>
              <w:autoSpaceDE w:val="0"/>
              <w:autoSpaceDN w:val="0"/>
              <w:adjustRightInd w:val="0"/>
              <w:spacing w:line="38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3.企业经营业绩良好，具有良好的商业信誉和健全的内部管理制度，没有处于被责令停业，财产被接管、冻结、破产状态。</w:t>
            </w:r>
          </w:p>
          <w:p w14:paraId="711F54BA">
            <w:pPr>
              <w:widowControl/>
              <w:snapToGrid w:val="0"/>
              <w:spacing w:line="400" w:lineRule="exact"/>
              <w:jc w:val="left"/>
              <w:textAlignment w:val="center"/>
              <w:rPr>
                <w:rStyle w:val="11"/>
                <w:rFonts w:hint="eastAsia" w:ascii="仿宋" w:hAnsi="仿宋" w:eastAsia="仿宋" w:cs="仿宋"/>
                <w:color w:val="auto"/>
                <w:sz w:val="21"/>
                <w:szCs w:val="21"/>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zh-CN"/>
              </w:rPr>
              <w:t>本项目不接受联合体报价，不允许分包、不允许挂靠。</w:t>
            </w:r>
          </w:p>
        </w:tc>
      </w:tr>
      <w:tr w14:paraId="6870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6B4EC6D8">
            <w:pPr>
              <w:autoSpaceDE w:val="0"/>
              <w:autoSpaceDN w:val="0"/>
              <w:adjustRightInd w:val="0"/>
              <w:spacing w:line="380" w:lineRule="exact"/>
              <w:jc w:val="left"/>
              <w:rPr>
                <w:rStyle w:val="11"/>
                <w:rFonts w:hint="eastAsia" w:ascii="仿宋" w:hAnsi="仿宋" w:eastAsia="仿宋" w:cs="仿宋"/>
                <w:color w:val="auto"/>
                <w:sz w:val="21"/>
                <w:szCs w:val="21"/>
                <w:highlight w:val="none"/>
              </w:rPr>
            </w:pPr>
            <w:r>
              <w:rPr>
                <w:rFonts w:hint="eastAsia" w:ascii="仿宋" w:hAnsi="仿宋" w:eastAsia="仿宋" w:cs="仿宋"/>
                <w:color w:val="auto"/>
                <w:sz w:val="24"/>
                <w:szCs w:val="24"/>
                <w:highlight w:val="none"/>
              </w:rPr>
              <w:t>报价要求</w:t>
            </w:r>
          </w:p>
        </w:tc>
        <w:tc>
          <w:tcPr>
            <w:tcW w:w="14624" w:type="dxa"/>
            <w:vAlign w:val="center"/>
          </w:tcPr>
          <w:p w14:paraId="0E980A9C">
            <w:pPr>
              <w:spacing w:line="288" w:lineRule="auto"/>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★1.本项目“室内全彩 LED 屏”的供应商报价仅限于意向品牌（高科、洲明、强力巨彩、蓝普、海信、京东方）报价，不接受其他以外品牌的产品，供应商不得以任何理由更改货物的品牌、配置，供货时必须提供指定品牌生产厂家出具的授权委托书、质保函、售后服务承诺书、品牌证明资料等。供应商在报价时必须按附件格式提供响应文件（加盖单位公章）扫描件，否则报价无效。如果不能按时按要求提供，则视为供应商响应无效。</w:t>
            </w:r>
          </w:p>
          <w:p w14:paraId="7DFB2FE0">
            <w:pPr>
              <w:spacing w:line="288" w:lineRule="auto"/>
              <w:rPr>
                <w:rFonts w:hint="eastAsia" w:ascii="仿宋" w:hAnsi="仿宋" w:eastAsia="仿宋" w:cs="仿宋"/>
                <w:color w:val="auto"/>
                <w:kern w:val="0"/>
                <w:szCs w:val="21"/>
                <w:highlight w:val="none"/>
                <w:lang w:val="zh-CN" w:eastAsia="zh-CN"/>
              </w:rPr>
            </w:pPr>
            <w:r>
              <w:rPr>
                <w:rFonts w:hint="eastAsia" w:ascii="仿宋" w:hAnsi="仿宋" w:eastAsia="仿宋" w:cs="仿宋"/>
                <w:color w:val="auto"/>
                <w:kern w:val="0"/>
                <w:szCs w:val="21"/>
                <w:highlight w:val="none"/>
                <w:lang w:val="en-US" w:eastAsia="zh-CN"/>
              </w:rPr>
              <w:t>2.一</w:t>
            </w:r>
            <w:r>
              <w:rPr>
                <w:rFonts w:hint="eastAsia" w:ascii="仿宋" w:hAnsi="仿宋" w:eastAsia="仿宋" w:cs="仿宋"/>
                <w:color w:val="auto"/>
                <w:kern w:val="0"/>
                <w:szCs w:val="21"/>
                <w:highlight w:val="none"/>
                <w:lang w:val="zh-CN" w:eastAsia="zh-CN"/>
              </w:rPr>
              <w:t>次</w:t>
            </w:r>
            <w:r>
              <w:rPr>
                <w:rFonts w:hint="eastAsia" w:ascii="仿宋" w:hAnsi="仿宋" w:eastAsia="仿宋" w:cs="仿宋"/>
                <w:color w:val="auto"/>
                <w:kern w:val="0"/>
                <w:szCs w:val="21"/>
                <w:highlight w:val="none"/>
                <w:lang w:val="en-US" w:eastAsia="zh-CN"/>
              </w:rPr>
              <w:t>性</w:t>
            </w:r>
            <w:r>
              <w:rPr>
                <w:rFonts w:hint="eastAsia" w:ascii="仿宋" w:hAnsi="仿宋" w:eastAsia="仿宋" w:cs="仿宋"/>
                <w:color w:val="auto"/>
                <w:kern w:val="0"/>
                <w:szCs w:val="21"/>
                <w:highlight w:val="none"/>
                <w:lang w:val="zh-CN" w:eastAsia="zh-CN"/>
              </w:rPr>
              <w:t>报价，</w:t>
            </w:r>
            <w:r>
              <w:rPr>
                <w:rFonts w:hint="eastAsia" w:ascii="仿宋" w:hAnsi="仿宋" w:eastAsia="仿宋" w:cs="仿宋"/>
                <w:color w:val="auto"/>
                <w:kern w:val="0"/>
                <w:szCs w:val="21"/>
                <w:highlight w:val="none"/>
                <w:lang w:val="en-US" w:eastAsia="zh-CN"/>
              </w:rPr>
              <w:t>报价</w:t>
            </w:r>
            <w:r>
              <w:rPr>
                <w:rFonts w:hint="eastAsia" w:ascii="仿宋" w:hAnsi="仿宋" w:eastAsia="仿宋" w:cs="仿宋"/>
                <w:color w:val="auto"/>
                <w:kern w:val="0"/>
                <w:szCs w:val="21"/>
                <w:highlight w:val="none"/>
                <w:lang w:val="zh-CN" w:eastAsia="zh-CN"/>
              </w:rPr>
              <w:t>须为人民币报价，</w:t>
            </w:r>
            <w:r>
              <w:rPr>
                <w:rFonts w:hint="eastAsia" w:ascii="仿宋" w:hAnsi="仿宋" w:eastAsia="仿宋" w:cs="仿宋"/>
                <w:color w:val="auto"/>
                <w:kern w:val="0"/>
                <w:szCs w:val="21"/>
                <w:highlight w:val="none"/>
                <w:lang w:val="en-US" w:eastAsia="zh-CN"/>
              </w:rPr>
              <w:t>包含但不限于《</w:t>
            </w:r>
            <w:r>
              <w:rPr>
                <w:rFonts w:hint="eastAsia" w:ascii="仿宋" w:hAnsi="仿宋" w:eastAsia="仿宋" w:cs="仿宋"/>
                <w:color w:val="auto"/>
                <w:kern w:val="0"/>
                <w:szCs w:val="21"/>
                <w:highlight w:val="none"/>
                <w:lang w:val="zh-CN" w:eastAsia="zh-CN"/>
              </w:rPr>
              <w:t>项目采购需求一览表》</w:t>
            </w:r>
            <w:r>
              <w:rPr>
                <w:rFonts w:hint="eastAsia" w:ascii="仿宋" w:hAnsi="仿宋" w:eastAsia="仿宋" w:cs="仿宋"/>
                <w:color w:val="auto"/>
                <w:kern w:val="0"/>
                <w:szCs w:val="21"/>
                <w:highlight w:val="none"/>
                <w:lang w:val="en-US" w:eastAsia="zh-CN"/>
              </w:rPr>
              <w:t>范围内总价包干：包括设备费、安装预埋件费（暗装开关、管件等）、安装附加费（设备吊运等）、高空作业费、安装调试费和随配附件、备品备件、专用工具、运抵指定交货地点的各种费用（运输费、包装费、装卸费等），调试、培训、技术支持、售后服务、验收，以及各种税金、保险费、验收检测费、合理利润及采购文件所要求的相关服务等费用。</w:t>
            </w:r>
            <w:r>
              <w:rPr>
                <w:rFonts w:hint="eastAsia" w:ascii="仿宋" w:hAnsi="仿宋" w:eastAsia="仿宋" w:cs="仿宋"/>
                <w:color w:val="auto"/>
                <w:kern w:val="0"/>
                <w:szCs w:val="21"/>
                <w:highlight w:val="none"/>
                <w:lang w:val="zh-CN" w:eastAsia="zh-CN"/>
              </w:rPr>
              <w:t>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p w14:paraId="13098252">
            <w:pPr>
              <w:spacing w:line="288" w:lineRule="auto"/>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lang w:val="en-US" w:eastAsia="zh-CN"/>
              </w:rPr>
              <w:t>3.本项目总预算不能超过总预算价且单项的单价报价不能超过各单项的单价限价，否则报价无效。</w:t>
            </w:r>
          </w:p>
          <w:p w14:paraId="72147D85">
            <w:pPr>
              <w:spacing w:line="288" w:lineRule="auto"/>
              <w:rPr>
                <w:rFonts w:hint="eastAsia" w:ascii="仿宋" w:hAnsi="仿宋" w:eastAsia="仿宋" w:cs="仿宋"/>
                <w:color w:val="auto"/>
                <w:kern w:val="0"/>
                <w:szCs w:val="21"/>
                <w:highlight w:val="none"/>
                <w:lang w:val="zh-CN" w:eastAsia="zh-CN"/>
              </w:rPr>
            </w:pPr>
            <w:r>
              <w:rPr>
                <w:rFonts w:hint="eastAsia" w:ascii="仿宋" w:hAnsi="仿宋" w:eastAsia="仿宋" w:cs="仿宋"/>
                <w:color w:val="auto"/>
                <w:kern w:val="0"/>
                <w:szCs w:val="21"/>
                <w:highlight w:val="none"/>
                <w:lang w:val="en-US" w:eastAsia="zh-CN"/>
              </w:rPr>
              <w:t>4.评审中出现下列情形之一的，评审小组应当启动异常低价响应审查程序：</w:t>
            </w:r>
          </w:p>
          <w:p w14:paraId="14DEF240">
            <w:pPr>
              <w:spacing w:line="288" w:lineRule="auto"/>
              <w:rPr>
                <w:rFonts w:hint="eastAsia" w:ascii="仿宋" w:hAnsi="仿宋" w:eastAsia="仿宋" w:cs="仿宋"/>
                <w:color w:val="auto"/>
                <w:kern w:val="0"/>
                <w:szCs w:val="21"/>
                <w:highlight w:val="none"/>
                <w:lang w:val="zh-CN" w:eastAsia="zh-CN"/>
              </w:rPr>
            </w:pPr>
            <w:r>
              <w:rPr>
                <w:rFonts w:hint="eastAsia" w:ascii="仿宋" w:hAnsi="仿宋" w:eastAsia="仿宋" w:cs="仿宋"/>
                <w:color w:val="auto"/>
                <w:kern w:val="0"/>
                <w:szCs w:val="21"/>
                <w:highlight w:val="none"/>
                <w:lang w:val="en-US" w:eastAsia="zh-CN"/>
              </w:rPr>
              <w:t>（1）响应报价低于全部通过符合性审查供应商响应报价平均值50%的，即响应报价&lt;全部通过符合性审查供应商响应报价平均值×50%；</w:t>
            </w:r>
          </w:p>
          <w:p w14:paraId="2C1DD18C">
            <w:pPr>
              <w:spacing w:line="288" w:lineRule="auto"/>
              <w:rPr>
                <w:rFonts w:hint="eastAsia" w:ascii="仿宋" w:hAnsi="仿宋" w:eastAsia="仿宋" w:cs="仿宋"/>
                <w:color w:val="auto"/>
                <w:kern w:val="0"/>
                <w:szCs w:val="21"/>
                <w:highlight w:val="none"/>
                <w:lang w:val="zh-CN" w:eastAsia="zh-CN"/>
              </w:rPr>
            </w:pPr>
            <w:r>
              <w:rPr>
                <w:rFonts w:hint="eastAsia" w:ascii="仿宋" w:hAnsi="仿宋" w:eastAsia="仿宋" w:cs="仿宋"/>
                <w:color w:val="auto"/>
                <w:kern w:val="0"/>
                <w:szCs w:val="21"/>
                <w:highlight w:val="none"/>
                <w:lang w:val="en-US" w:eastAsia="zh-CN"/>
              </w:rPr>
              <w:t>（2）响应报价低于通过符合性审查的次低报价供应商响应报价50%的，即响应报价&lt;通过符合性审查的次低报价供应商响应报价×50%；</w:t>
            </w:r>
          </w:p>
          <w:p w14:paraId="6AB24F88">
            <w:pPr>
              <w:spacing w:line="288" w:lineRule="auto"/>
              <w:rPr>
                <w:rFonts w:hint="eastAsia" w:ascii="仿宋" w:hAnsi="仿宋" w:eastAsia="仿宋" w:cs="仿宋"/>
                <w:color w:val="auto"/>
                <w:kern w:val="0"/>
                <w:szCs w:val="21"/>
                <w:highlight w:val="none"/>
                <w:lang w:val="zh-CN" w:eastAsia="zh-CN"/>
              </w:rPr>
            </w:pPr>
            <w:r>
              <w:rPr>
                <w:rFonts w:hint="eastAsia" w:ascii="仿宋" w:hAnsi="仿宋" w:eastAsia="仿宋" w:cs="仿宋"/>
                <w:color w:val="auto"/>
                <w:kern w:val="0"/>
                <w:szCs w:val="21"/>
                <w:highlight w:val="none"/>
                <w:lang w:val="en-US" w:eastAsia="zh-CN"/>
              </w:rPr>
              <w:t>（3）响应报价低于采购项目最高限价45%的，即响应报价&lt;采购项目最高限价×45%；</w:t>
            </w:r>
          </w:p>
          <w:p w14:paraId="21A89139">
            <w:pPr>
              <w:spacing w:line="288" w:lineRule="auto"/>
              <w:rPr>
                <w:rFonts w:hint="eastAsia" w:ascii="仿宋" w:hAnsi="仿宋" w:eastAsia="仿宋" w:cs="仿宋"/>
                <w:color w:val="auto"/>
                <w:kern w:val="0"/>
                <w:szCs w:val="21"/>
                <w:highlight w:val="none"/>
                <w:lang w:val="zh-CN" w:eastAsia="zh-CN"/>
              </w:rPr>
            </w:pPr>
            <w:r>
              <w:rPr>
                <w:rFonts w:hint="eastAsia" w:ascii="仿宋" w:hAnsi="仿宋" w:eastAsia="仿宋" w:cs="仿宋"/>
                <w:color w:val="auto"/>
                <w:kern w:val="0"/>
                <w:szCs w:val="21"/>
                <w:highlight w:val="none"/>
                <w:lang w:val="en-US" w:eastAsia="zh-CN"/>
              </w:rPr>
              <w:t>（4）评审小组基于专业判断，认为供应商报价过低，有可能影响产品质量或者不能诚信履约的其他情形。</w:t>
            </w:r>
          </w:p>
          <w:p w14:paraId="02E004B4">
            <w:pPr>
              <w:spacing w:line="288" w:lineRule="auto"/>
              <w:rPr>
                <w:rStyle w:val="11"/>
                <w:rFonts w:hint="eastAsia" w:ascii="仿宋" w:hAnsi="仿宋" w:eastAsia="仿宋" w:cs="仿宋"/>
                <w:color w:val="auto"/>
                <w:sz w:val="21"/>
                <w:szCs w:val="21"/>
                <w:highlight w:val="none"/>
              </w:rPr>
            </w:pPr>
            <w:r>
              <w:rPr>
                <w:rFonts w:hint="eastAsia" w:ascii="仿宋" w:hAnsi="仿宋" w:eastAsia="仿宋" w:cs="仿宋"/>
                <w:color w:val="auto"/>
                <w:kern w:val="0"/>
                <w:szCs w:val="21"/>
                <w:highlight w:val="none"/>
                <w:lang w:val="en-US" w:eastAsia="zh-CN"/>
              </w:rPr>
              <w:t>评审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供应商需在60分钟内提供相关材料，否则评审小组将其响应作为无效响应处理。其中，属于第3项情形，供应商已随投标（响应）文件一并提交相关书面说明及必要的证明材料的，在评审现场可不再重复提交。</w:t>
            </w:r>
          </w:p>
        </w:tc>
      </w:tr>
      <w:tr w14:paraId="668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7B70F0AD">
            <w:pPr>
              <w:widowControl/>
              <w:snapToGrid w:val="0"/>
              <w:spacing w:line="400" w:lineRule="exact"/>
              <w:jc w:val="center"/>
              <w:textAlignment w:val="center"/>
              <w:rPr>
                <w:rFonts w:hint="eastAsia" w:ascii="仿宋" w:hAnsi="仿宋" w:eastAsia="仿宋" w:cs="仿宋"/>
                <w:color w:val="auto"/>
                <w:szCs w:val="21"/>
                <w:highlight w:val="none"/>
              </w:rPr>
            </w:pPr>
            <w:r>
              <w:rPr>
                <w:rStyle w:val="11"/>
                <w:rFonts w:hint="eastAsia" w:ascii="仿宋" w:hAnsi="仿宋" w:eastAsia="仿宋" w:cs="仿宋"/>
                <w:color w:val="auto"/>
                <w:sz w:val="21"/>
                <w:szCs w:val="21"/>
                <w:highlight w:val="none"/>
                <w:lang w:val="en-US" w:eastAsia="zh-CN"/>
              </w:rPr>
              <w:t>合同签订、</w:t>
            </w:r>
            <w:r>
              <w:rPr>
                <w:rStyle w:val="11"/>
                <w:rFonts w:hint="eastAsia" w:ascii="仿宋" w:hAnsi="仿宋" w:eastAsia="仿宋" w:cs="仿宋"/>
                <w:color w:val="auto"/>
                <w:sz w:val="21"/>
                <w:szCs w:val="21"/>
                <w:highlight w:val="none"/>
              </w:rPr>
              <w:t>交货时间及地点</w:t>
            </w:r>
          </w:p>
        </w:tc>
        <w:tc>
          <w:tcPr>
            <w:tcW w:w="14624" w:type="dxa"/>
            <w:vAlign w:val="center"/>
          </w:tcPr>
          <w:p w14:paraId="55E9414F">
            <w:pPr>
              <w:widowControl/>
              <w:snapToGrid w:val="0"/>
              <w:spacing w:line="400" w:lineRule="exact"/>
              <w:jc w:val="left"/>
              <w:textAlignment w:val="center"/>
              <w:rPr>
                <w:rStyle w:val="11"/>
                <w:rFonts w:hint="eastAsia" w:ascii="仿宋" w:hAnsi="仿宋" w:eastAsia="仿宋" w:cs="仿宋"/>
                <w:color w:val="auto"/>
                <w:sz w:val="21"/>
                <w:szCs w:val="21"/>
                <w:highlight w:val="none"/>
              </w:rPr>
            </w:pPr>
            <w:r>
              <w:rPr>
                <w:rStyle w:val="11"/>
                <w:rFonts w:hint="eastAsia" w:ascii="仿宋" w:hAnsi="仿宋" w:eastAsia="仿宋" w:cs="仿宋"/>
                <w:color w:val="auto"/>
                <w:sz w:val="21"/>
                <w:szCs w:val="21"/>
                <w:highlight w:val="none"/>
              </w:rPr>
              <w:t xml:space="preserve">1、合同签订日期：中标通知书发出后7日内。 </w:t>
            </w:r>
          </w:p>
          <w:p w14:paraId="59F8EBB0">
            <w:pPr>
              <w:widowControl/>
              <w:snapToGrid w:val="0"/>
              <w:spacing w:line="400" w:lineRule="exact"/>
              <w:jc w:val="left"/>
              <w:textAlignment w:val="center"/>
              <w:rPr>
                <w:rStyle w:val="11"/>
                <w:rFonts w:hint="eastAsia" w:ascii="仿宋" w:hAnsi="仿宋" w:eastAsia="仿宋" w:cs="仿宋"/>
                <w:color w:val="auto"/>
                <w:sz w:val="21"/>
                <w:szCs w:val="21"/>
                <w:highlight w:val="none"/>
              </w:rPr>
            </w:pPr>
            <w:r>
              <w:rPr>
                <w:rStyle w:val="11"/>
                <w:rFonts w:hint="eastAsia" w:ascii="仿宋" w:hAnsi="仿宋" w:eastAsia="仿宋" w:cs="仿宋"/>
                <w:color w:val="auto"/>
                <w:sz w:val="21"/>
                <w:szCs w:val="21"/>
                <w:highlight w:val="none"/>
              </w:rPr>
              <w:t>2、交货（实施）时间：合同签订之日起10个日历日内交货并安装调试完毕。施工过程静音、防尘，合理安排施工时间，减少对校园正常教学、活动秩序的影响。</w:t>
            </w:r>
          </w:p>
          <w:p w14:paraId="3BE34CE9">
            <w:pPr>
              <w:widowControl/>
              <w:snapToGrid w:val="0"/>
              <w:spacing w:line="400" w:lineRule="exact"/>
              <w:jc w:val="left"/>
              <w:textAlignment w:val="center"/>
              <w:rPr>
                <w:rFonts w:hint="eastAsia" w:ascii="仿宋" w:hAnsi="仿宋" w:eastAsia="仿宋" w:cs="仿宋"/>
                <w:color w:val="auto"/>
                <w:szCs w:val="21"/>
                <w:highlight w:val="none"/>
              </w:rPr>
            </w:pPr>
            <w:r>
              <w:rPr>
                <w:rStyle w:val="11"/>
                <w:rFonts w:hint="eastAsia" w:ascii="仿宋" w:hAnsi="仿宋" w:eastAsia="仿宋" w:cs="仿宋"/>
                <w:color w:val="auto"/>
                <w:sz w:val="21"/>
                <w:szCs w:val="21"/>
                <w:highlight w:val="none"/>
              </w:rPr>
              <w:t>3、交货地点：广西中医药大学附设中医学校（广西中医学校）北湖校区。</w:t>
            </w:r>
          </w:p>
        </w:tc>
      </w:tr>
      <w:tr w14:paraId="5B2C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90" w:type="dxa"/>
            <w:vAlign w:val="center"/>
          </w:tcPr>
          <w:p w14:paraId="3ABD7DCC">
            <w:pPr>
              <w:widowControl/>
              <w:snapToGrid w:val="0"/>
              <w:spacing w:line="400" w:lineRule="exact"/>
              <w:jc w:val="center"/>
              <w:textAlignment w:val="center"/>
              <w:rPr>
                <w:rFonts w:hint="eastAsia" w:ascii="仿宋" w:hAnsi="仿宋" w:eastAsia="仿宋" w:cs="仿宋"/>
                <w:color w:val="auto"/>
                <w:szCs w:val="21"/>
                <w:highlight w:val="none"/>
              </w:rPr>
            </w:pPr>
            <w:r>
              <w:rPr>
                <w:rStyle w:val="11"/>
                <w:rFonts w:hint="eastAsia" w:ascii="仿宋" w:hAnsi="仿宋" w:eastAsia="仿宋" w:cs="仿宋"/>
                <w:color w:val="auto"/>
                <w:sz w:val="21"/>
                <w:szCs w:val="21"/>
                <w:highlight w:val="none"/>
              </w:rPr>
              <w:t>质保期</w:t>
            </w:r>
          </w:p>
        </w:tc>
        <w:tc>
          <w:tcPr>
            <w:tcW w:w="14624" w:type="dxa"/>
            <w:vAlign w:val="center"/>
          </w:tcPr>
          <w:p w14:paraId="23EDCCBE">
            <w:pPr>
              <w:widowControl/>
              <w:jc w:val="left"/>
              <w:textAlignment w:val="center"/>
              <w:rPr>
                <w:rStyle w:val="11"/>
                <w:rFonts w:hint="eastAsia" w:ascii="仿宋" w:hAnsi="仿宋" w:eastAsia="仿宋" w:cs="仿宋"/>
                <w:color w:val="auto"/>
                <w:sz w:val="21"/>
                <w:szCs w:val="21"/>
                <w:highlight w:val="none"/>
              </w:rPr>
            </w:pPr>
            <w:r>
              <w:rPr>
                <w:rFonts w:hint="eastAsia" w:ascii="仿宋" w:hAnsi="仿宋" w:eastAsia="仿宋" w:cs="仿宋"/>
                <w:color w:val="auto"/>
                <w:kern w:val="0"/>
                <w:szCs w:val="21"/>
                <w:highlight w:val="none"/>
                <w:lang w:val="en-US" w:eastAsia="zh-CN"/>
              </w:rPr>
              <w:t>1.</w:t>
            </w:r>
            <w:r>
              <w:rPr>
                <w:rFonts w:hint="eastAsia" w:ascii="仿宋" w:hAnsi="仿宋" w:eastAsia="仿宋" w:cs="仿宋"/>
                <w:color w:val="auto"/>
                <w:kern w:val="0"/>
                <w:szCs w:val="21"/>
                <w:highlight w:val="none"/>
              </w:rPr>
              <w:t>按国家有关规定或厂家承诺实行“三包”，质保期从验收合格之日起整机不少于</w:t>
            </w:r>
            <w:r>
              <w:rPr>
                <w:rFonts w:hint="eastAsia" w:ascii="仿宋" w:hAnsi="仿宋" w:eastAsia="仿宋" w:cs="仿宋"/>
                <w:color w:val="auto"/>
                <w:kern w:val="0"/>
                <w:szCs w:val="21"/>
                <w:highlight w:val="none"/>
                <w:lang w:val="en-US" w:eastAsia="zh-CN"/>
              </w:rPr>
              <w:t>5</w:t>
            </w:r>
            <w:r>
              <w:rPr>
                <w:rFonts w:hint="eastAsia" w:ascii="仿宋" w:hAnsi="仿宋" w:eastAsia="仿宋" w:cs="仿宋"/>
                <w:color w:val="auto"/>
                <w:kern w:val="0"/>
                <w:szCs w:val="21"/>
                <w:highlight w:val="none"/>
              </w:rPr>
              <w:t>年（技术参数中有特别指明质保期的按参数要求，厂家质保期高于采购要求的按厂家质保），钢结构框架质保5年，单色横幅整机质保</w:t>
            </w:r>
            <w:r>
              <w:rPr>
                <w:rFonts w:hint="eastAsia" w:ascii="仿宋" w:hAnsi="仿宋" w:eastAsia="仿宋" w:cs="仿宋"/>
                <w:color w:val="auto"/>
                <w:kern w:val="0"/>
                <w:szCs w:val="21"/>
                <w:highlight w:val="none"/>
                <w:lang w:val="en-US" w:eastAsia="zh-CN"/>
              </w:rPr>
              <w:t>5</w:t>
            </w:r>
            <w:r>
              <w:rPr>
                <w:rFonts w:hint="eastAsia" w:ascii="仿宋" w:hAnsi="仿宋" w:eastAsia="仿宋" w:cs="仿宋"/>
                <w:color w:val="auto"/>
                <w:kern w:val="0"/>
                <w:szCs w:val="21"/>
                <w:highlight w:val="none"/>
              </w:rPr>
              <w:t>年以上，质保期内全免费上门维修、免费更换零部件，质保期过</w:t>
            </w:r>
            <w:r>
              <w:rPr>
                <w:rStyle w:val="11"/>
                <w:rFonts w:hint="eastAsia" w:ascii="仿宋" w:hAnsi="仿宋" w:eastAsia="仿宋" w:cs="仿宋"/>
                <w:color w:val="auto"/>
                <w:sz w:val="21"/>
                <w:szCs w:val="21"/>
                <w:highlight w:val="none"/>
              </w:rPr>
              <w:t>后终身成本价供应零配件，免收上门人工费，提供终身技术支持和维护。</w:t>
            </w:r>
          </w:p>
          <w:p w14:paraId="313A78A1">
            <w:pPr>
              <w:widowControl/>
              <w:jc w:val="left"/>
              <w:textAlignment w:val="center"/>
              <w:rPr>
                <w:rStyle w:val="11"/>
                <w:rFonts w:hint="eastAsia" w:ascii="仿宋" w:hAnsi="仿宋" w:eastAsia="仿宋" w:cs="仿宋"/>
                <w:color w:val="auto"/>
                <w:sz w:val="21"/>
                <w:szCs w:val="21"/>
                <w:highlight w:val="none"/>
                <w:lang w:val="en-US" w:eastAsia="zh-CN"/>
              </w:rPr>
            </w:pPr>
            <w:r>
              <w:rPr>
                <w:rStyle w:val="11"/>
                <w:rFonts w:hint="eastAsia" w:ascii="仿宋" w:hAnsi="仿宋" w:eastAsia="仿宋" w:cs="仿宋"/>
                <w:color w:val="auto"/>
                <w:sz w:val="21"/>
                <w:szCs w:val="21"/>
                <w:highlight w:val="none"/>
                <w:lang w:val="en-US" w:eastAsia="zh-CN"/>
              </w:rPr>
              <w:t>2.为保障项目后期维护，中标人须随项目提供与整屏同批次的备品全彩单元板20块，归采购人所有，作为质保期内维修备件使用</w:t>
            </w:r>
          </w:p>
        </w:tc>
      </w:tr>
      <w:tr w14:paraId="4E1F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4891CE8A">
            <w:pPr>
              <w:widowControl/>
              <w:snapToGrid w:val="0"/>
              <w:spacing w:line="400" w:lineRule="exact"/>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产品质量与售后服务要求</w:t>
            </w:r>
          </w:p>
        </w:tc>
        <w:tc>
          <w:tcPr>
            <w:tcW w:w="14624" w:type="dxa"/>
            <w:vAlign w:val="center"/>
          </w:tcPr>
          <w:p w14:paraId="4011C85E">
            <w:pPr>
              <w:widowControl/>
              <w:snapToGrid w:val="0"/>
              <w:spacing w:line="400" w:lineRule="exact"/>
              <w:jc w:val="left"/>
              <w:textAlignment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所投产品必须能实质性响应采购要求（所投产品应完全满足或优于采购参数要求），投标时应按参数需求表内或商务服务要求提供相关证明文件，并加盖供应商公章，否则可视为投标无效，供货时能按照采购需求的要求提供厂家的供货证明和售后服务承诺书原件，避免假冒伪劣产品。对不能满足参数要求虚假响应，采购人可作废标处理，并依法向供应商追究违约责任。</w:t>
            </w:r>
          </w:p>
          <w:p w14:paraId="562AD4F7">
            <w:pPr>
              <w:widowControl/>
              <w:snapToGrid w:val="0"/>
              <w:spacing w:line="400" w:lineRule="exact"/>
              <w:jc w:val="left"/>
              <w:textAlignment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故障响应时间：成交供应商收到采购人的故障维修通知后30分钟内电话服务应答，2小时内到达现场进行维修，4小时内排除故障，如12小时内无法修复的，质保期内成交供应商应无条件更换新设备或提供代用设备，或采取使设备可正常运转的措施。每学期2次（包含春季、秋季学期）免费上门巡检：除尘、线路紧固、亮度校准。</w:t>
            </w:r>
          </w:p>
          <w:p w14:paraId="47281F61">
            <w:pPr>
              <w:widowControl/>
              <w:snapToGrid w:val="0"/>
              <w:spacing w:line="400" w:lineRule="exact"/>
              <w:jc w:val="left"/>
              <w:textAlignment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3、每年学校重</w:t>
            </w:r>
            <w:r>
              <w:rPr>
                <w:rFonts w:hint="eastAsia" w:ascii="仿宋" w:hAnsi="仿宋" w:eastAsia="仿宋" w:cs="仿宋"/>
                <w:color w:val="auto"/>
                <w:szCs w:val="21"/>
                <w:highlight w:val="none"/>
                <w:lang w:val="en-US" w:eastAsia="zh-CN"/>
              </w:rPr>
              <w:t>要</w:t>
            </w:r>
            <w:r>
              <w:rPr>
                <w:rFonts w:hint="eastAsia" w:ascii="仿宋" w:hAnsi="仿宋" w:eastAsia="仿宋" w:cs="仿宋"/>
                <w:color w:val="auto"/>
                <w:szCs w:val="21"/>
                <w:highlight w:val="none"/>
              </w:rPr>
              <w:t>活动，提供现场技术支持，如授帽仪式、元旦晚会等，以保证活动正常</w:t>
            </w:r>
            <w:r>
              <w:rPr>
                <w:rFonts w:hint="eastAsia" w:ascii="仿宋" w:hAnsi="仿宋" w:eastAsia="仿宋" w:cs="仿宋"/>
                <w:color w:val="auto"/>
                <w:szCs w:val="21"/>
                <w:highlight w:val="none"/>
                <w:lang w:val="en-US" w:eastAsia="zh-CN"/>
              </w:rPr>
              <w:t>有序</w:t>
            </w:r>
            <w:r>
              <w:rPr>
                <w:rFonts w:hint="eastAsia" w:ascii="仿宋" w:hAnsi="仿宋" w:eastAsia="仿宋" w:cs="仿宋"/>
                <w:color w:val="auto"/>
                <w:szCs w:val="21"/>
                <w:highlight w:val="none"/>
              </w:rPr>
              <w:t>进行。</w:t>
            </w:r>
          </w:p>
        </w:tc>
      </w:tr>
      <w:tr w14:paraId="118B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2DBED3ED">
            <w:pPr>
              <w:spacing w:line="4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实施和安装要求</w:t>
            </w:r>
          </w:p>
        </w:tc>
        <w:tc>
          <w:tcPr>
            <w:tcW w:w="14624" w:type="dxa"/>
            <w:vAlign w:val="center"/>
          </w:tcPr>
          <w:p w14:paraId="4DFD51E1">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本项目为交钥匙工程，成交后，供应商需应严格按竞标产品的安装规范要求进行安装调试，保证设备正常运行，质量合格。</w:t>
            </w:r>
          </w:p>
          <w:p w14:paraId="3897F2EA">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（1）根据采购要求的工期提供项目实施方案及进度安排计划表，现场勘测、旧屏拆除、人工安装、现场调试、系统软件、人员培训；</w:t>
            </w:r>
          </w:p>
          <w:p w14:paraId="248AD737">
            <w:pPr>
              <w:spacing w:line="400" w:lineRule="exact"/>
              <w:jc w:val="left"/>
              <w:rPr>
                <w:rFonts w:hint="eastAsia" w:ascii="仿宋" w:hAnsi="仿宋" w:eastAsia="仿宋" w:cs="仿宋"/>
                <w:color w:val="auto"/>
                <w:szCs w:val="21"/>
                <w:highlight w:val="none"/>
              </w:rPr>
            </w:pPr>
            <w:r>
              <w:rPr>
                <w:rFonts w:hint="eastAsia" w:ascii="仿宋" w:hAnsi="仿宋" w:eastAsia="仿宋" w:cs="仿宋"/>
                <w:bCs/>
                <w:color w:val="auto"/>
                <w:szCs w:val="21"/>
                <w:highlight w:val="none"/>
              </w:rPr>
              <w:t>（2）</w:t>
            </w:r>
            <w:r>
              <w:rPr>
                <w:rFonts w:hint="eastAsia" w:ascii="仿宋" w:hAnsi="仿宋" w:eastAsia="仿宋" w:cs="仿宋"/>
                <w:color w:val="auto"/>
                <w:szCs w:val="21"/>
                <w:highlight w:val="none"/>
              </w:rPr>
              <w:t>供应商必须服从采购单位现场负责人的指挥，按指定地点进行设备安装、调试，确保设备安装符合国家现行技术规范标准；</w:t>
            </w:r>
          </w:p>
          <w:p w14:paraId="726392B3">
            <w:pPr>
              <w:spacing w:line="4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（3）安装过程中的所有安全保障由供应商自行负责；</w:t>
            </w:r>
          </w:p>
          <w:p w14:paraId="69ABE3D8">
            <w:pPr>
              <w:spacing w:line="400" w:lineRule="exac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w:t>
            </w:r>
            <w:r>
              <w:rPr>
                <w:rFonts w:hint="eastAsia" w:ascii="仿宋" w:hAnsi="仿宋" w:eastAsia="仿宋" w:cs="仿宋"/>
                <w:color w:val="auto"/>
                <w:kern w:val="0"/>
                <w:szCs w:val="21"/>
                <w:highlight w:val="none"/>
              </w:rPr>
              <w:t>4</w:t>
            </w:r>
            <w:r>
              <w:rPr>
                <w:rFonts w:hint="eastAsia" w:ascii="仿宋" w:hAnsi="仿宋" w:eastAsia="仿宋" w:cs="仿宋"/>
                <w:color w:val="auto"/>
                <w:kern w:val="0"/>
                <w:szCs w:val="21"/>
                <w:highlight w:val="none"/>
                <w:lang w:val="zh-CN"/>
              </w:rPr>
              <w:t>）项目实施过程中产生的垃圾废料由供应商负责清理至校外。</w:t>
            </w:r>
          </w:p>
          <w:p w14:paraId="1A4230A6">
            <w:pPr>
              <w:spacing w:line="400" w:lineRule="exac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（5）屏幕后期可以拆装到其他地方安装。</w:t>
            </w:r>
          </w:p>
        </w:tc>
      </w:tr>
      <w:tr w14:paraId="55B1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6C362CE8">
            <w:pPr>
              <w:widowControl/>
              <w:snapToGrid w:val="0"/>
              <w:spacing w:line="400" w:lineRule="exact"/>
              <w:jc w:val="center"/>
              <w:textAlignment w:val="center"/>
              <w:rPr>
                <w:rFonts w:hint="eastAsia" w:ascii="仿宋" w:hAnsi="仿宋" w:eastAsia="仿宋" w:cs="仿宋"/>
                <w:color w:val="auto"/>
                <w:szCs w:val="21"/>
                <w:highlight w:val="none"/>
              </w:rPr>
            </w:pPr>
            <w:r>
              <w:rPr>
                <w:rStyle w:val="11"/>
                <w:rFonts w:hint="eastAsia" w:ascii="仿宋" w:hAnsi="仿宋" w:eastAsia="仿宋" w:cs="仿宋"/>
                <w:color w:val="auto"/>
                <w:sz w:val="21"/>
                <w:szCs w:val="21"/>
                <w:highlight w:val="none"/>
              </w:rPr>
              <w:t>付款方式</w:t>
            </w:r>
          </w:p>
        </w:tc>
        <w:tc>
          <w:tcPr>
            <w:tcW w:w="14624" w:type="dxa"/>
            <w:vAlign w:val="center"/>
          </w:tcPr>
          <w:p w14:paraId="08879823">
            <w:pPr>
              <w:widowControl/>
              <w:snapToGrid w:val="0"/>
              <w:spacing w:line="400" w:lineRule="exact"/>
              <w:jc w:val="left"/>
              <w:textAlignment w:val="center"/>
              <w:rPr>
                <w:rStyle w:val="11"/>
                <w:rFonts w:hint="eastAsia" w:ascii="仿宋" w:hAnsi="仿宋" w:eastAsia="仿宋" w:cs="仿宋"/>
                <w:color w:val="auto"/>
                <w:sz w:val="21"/>
                <w:szCs w:val="21"/>
                <w:highlight w:val="none"/>
              </w:rPr>
            </w:pPr>
            <w:r>
              <w:rPr>
                <w:rStyle w:val="11"/>
                <w:rFonts w:hint="eastAsia" w:ascii="仿宋" w:hAnsi="仿宋" w:eastAsia="仿宋" w:cs="仿宋"/>
                <w:color w:val="auto"/>
                <w:sz w:val="21"/>
                <w:szCs w:val="21"/>
                <w:highlight w:val="none"/>
                <w:lang w:val="en-US" w:eastAsia="zh-CN"/>
              </w:rPr>
              <w:t>1</w:t>
            </w:r>
            <w:r>
              <w:rPr>
                <w:rStyle w:val="11"/>
                <w:rFonts w:hint="eastAsia" w:ascii="仿宋" w:hAnsi="仿宋" w:eastAsia="仿宋" w:cs="仿宋"/>
                <w:color w:val="auto"/>
                <w:sz w:val="21"/>
                <w:szCs w:val="21"/>
                <w:highlight w:val="none"/>
                <w:lang w:eastAsia="zh-CN"/>
              </w:rPr>
              <w:t>、</w:t>
            </w:r>
            <w:r>
              <w:rPr>
                <w:rStyle w:val="11"/>
                <w:rFonts w:hint="eastAsia" w:ascii="仿宋" w:hAnsi="仿宋" w:eastAsia="仿宋" w:cs="仿宋"/>
                <w:color w:val="auto"/>
                <w:sz w:val="21"/>
                <w:szCs w:val="21"/>
                <w:highlight w:val="none"/>
              </w:rPr>
              <w:t>本项目收取履约保证金，成交人须在合同签订前</w:t>
            </w:r>
            <w:r>
              <w:rPr>
                <w:rStyle w:val="11"/>
                <w:rFonts w:hint="eastAsia" w:ascii="仿宋" w:hAnsi="仿宋" w:eastAsia="仿宋" w:cs="仿宋"/>
                <w:color w:val="auto"/>
                <w:sz w:val="21"/>
                <w:szCs w:val="21"/>
                <w:highlight w:val="none"/>
                <w:lang w:val="en-US" w:eastAsia="zh-CN"/>
              </w:rPr>
              <w:t>5个工作日内</w:t>
            </w:r>
            <w:r>
              <w:rPr>
                <w:rStyle w:val="11"/>
                <w:rFonts w:hint="eastAsia" w:ascii="仿宋" w:hAnsi="仿宋" w:eastAsia="仿宋" w:cs="仿宋"/>
                <w:color w:val="auto"/>
                <w:sz w:val="21"/>
                <w:szCs w:val="21"/>
                <w:highlight w:val="none"/>
              </w:rPr>
              <w:t>向采购人账户转付成交金额5%的履约保证金，否则不予签订合同。履约保证金在采购内容全部交付验收完成之后在甲方付清合同款时一并无息退付。</w:t>
            </w:r>
          </w:p>
          <w:p w14:paraId="52FA89C8">
            <w:pPr>
              <w:widowControl/>
              <w:snapToGrid w:val="0"/>
              <w:spacing w:line="400" w:lineRule="exact"/>
              <w:jc w:val="left"/>
              <w:textAlignment w:val="center"/>
              <w:rPr>
                <w:rFonts w:hint="eastAsia" w:ascii="仿宋" w:hAnsi="仿宋" w:eastAsia="仿宋" w:cs="仿宋"/>
                <w:color w:val="auto"/>
                <w:szCs w:val="21"/>
                <w:highlight w:val="none"/>
              </w:rPr>
            </w:pPr>
            <w:r>
              <w:rPr>
                <w:rStyle w:val="11"/>
                <w:rFonts w:hint="eastAsia" w:ascii="仿宋" w:hAnsi="仿宋" w:eastAsia="仿宋" w:cs="仿宋"/>
                <w:color w:val="auto"/>
                <w:sz w:val="21"/>
                <w:szCs w:val="21"/>
                <w:highlight w:val="none"/>
                <w:lang w:val="en-US" w:eastAsia="zh-CN"/>
              </w:rPr>
              <w:t>2、</w:t>
            </w:r>
            <w:r>
              <w:rPr>
                <w:rStyle w:val="11"/>
                <w:rFonts w:hint="eastAsia" w:ascii="仿宋" w:hAnsi="仿宋" w:eastAsia="仿宋" w:cs="仿宋"/>
                <w:color w:val="auto"/>
                <w:sz w:val="21"/>
                <w:szCs w:val="21"/>
                <w:highlight w:val="none"/>
              </w:rPr>
              <w:t>项目全部货物服务交付并安装调试至正常运行，经采购人最终验收合格后，中标人</w:t>
            </w:r>
            <w:r>
              <w:rPr>
                <w:rStyle w:val="11"/>
                <w:rFonts w:hint="eastAsia" w:ascii="仿宋" w:hAnsi="仿宋" w:eastAsia="仿宋" w:cs="仿宋"/>
                <w:color w:val="auto"/>
                <w:sz w:val="21"/>
                <w:szCs w:val="21"/>
                <w:highlight w:val="none"/>
                <w:lang w:val="en-US" w:eastAsia="zh-CN"/>
              </w:rPr>
              <w:t>向采购人</w:t>
            </w:r>
            <w:r>
              <w:rPr>
                <w:rStyle w:val="11"/>
                <w:rFonts w:hint="eastAsia" w:ascii="仿宋" w:hAnsi="仿宋" w:eastAsia="仿宋" w:cs="仿宋"/>
                <w:color w:val="auto"/>
                <w:sz w:val="21"/>
                <w:szCs w:val="21"/>
                <w:highlight w:val="none"/>
              </w:rPr>
              <w:t>开具</w:t>
            </w:r>
            <w:r>
              <w:rPr>
                <w:rStyle w:val="11"/>
                <w:rFonts w:hint="eastAsia" w:ascii="仿宋" w:hAnsi="仿宋" w:eastAsia="仿宋" w:cs="仿宋"/>
                <w:color w:val="auto"/>
                <w:sz w:val="21"/>
                <w:szCs w:val="21"/>
                <w:highlight w:val="none"/>
                <w:lang w:val="en-US" w:eastAsia="zh-CN"/>
              </w:rPr>
              <w:t>合同金额的</w:t>
            </w:r>
            <w:r>
              <w:rPr>
                <w:rStyle w:val="11"/>
                <w:rFonts w:hint="eastAsia" w:ascii="仿宋" w:hAnsi="仿宋" w:eastAsia="仿宋" w:cs="仿宋"/>
                <w:color w:val="auto"/>
                <w:sz w:val="21"/>
                <w:szCs w:val="21"/>
                <w:highlight w:val="none"/>
              </w:rPr>
              <w:t>增值税</w:t>
            </w:r>
            <w:r>
              <w:rPr>
                <w:rStyle w:val="11"/>
                <w:rFonts w:hint="eastAsia" w:ascii="仿宋" w:hAnsi="仿宋" w:eastAsia="仿宋" w:cs="仿宋"/>
                <w:color w:val="auto"/>
                <w:sz w:val="21"/>
                <w:szCs w:val="21"/>
                <w:highlight w:val="none"/>
                <w:lang w:val="en-US" w:eastAsia="zh-CN"/>
              </w:rPr>
              <w:t>普通</w:t>
            </w:r>
            <w:r>
              <w:rPr>
                <w:rStyle w:val="11"/>
                <w:rFonts w:hint="eastAsia" w:ascii="仿宋" w:hAnsi="仿宋" w:eastAsia="仿宋" w:cs="仿宋"/>
                <w:color w:val="auto"/>
                <w:sz w:val="21"/>
                <w:szCs w:val="21"/>
                <w:highlight w:val="none"/>
              </w:rPr>
              <w:t>发票，采购人在收到发票后10个工作日内一次性支付</w:t>
            </w:r>
            <w:r>
              <w:rPr>
                <w:rStyle w:val="11"/>
                <w:rFonts w:hint="eastAsia" w:ascii="仿宋" w:hAnsi="仿宋" w:eastAsia="仿宋" w:cs="仿宋"/>
                <w:color w:val="auto"/>
                <w:sz w:val="21"/>
                <w:szCs w:val="21"/>
                <w:highlight w:val="none"/>
                <w:lang w:val="en-US" w:eastAsia="zh-CN"/>
              </w:rPr>
              <w:t>全部</w:t>
            </w:r>
            <w:r>
              <w:rPr>
                <w:rStyle w:val="11"/>
                <w:rFonts w:hint="eastAsia" w:ascii="仿宋" w:hAnsi="仿宋" w:eastAsia="仿宋" w:cs="仿宋"/>
                <w:color w:val="auto"/>
                <w:sz w:val="21"/>
                <w:szCs w:val="21"/>
                <w:highlight w:val="none"/>
              </w:rPr>
              <w:t>合同款。</w:t>
            </w:r>
          </w:p>
        </w:tc>
      </w:tr>
      <w:tr w14:paraId="1114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325E5B12">
            <w:pPr>
              <w:widowControl/>
              <w:snapToGrid w:val="0"/>
              <w:spacing w:line="400" w:lineRule="exact"/>
              <w:jc w:val="center"/>
              <w:textAlignment w:val="center"/>
              <w:rPr>
                <w:rFonts w:hint="eastAsia" w:ascii="仿宋" w:hAnsi="仿宋" w:eastAsia="仿宋" w:cs="仿宋"/>
                <w:color w:val="auto"/>
                <w:szCs w:val="21"/>
                <w:highlight w:val="none"/>
              </w:rPr>
            </w:pPr>
            <w:r>
              <w:rPr>
                <w:rStyle w:val="11"/>
                <w:rFonts w:hint="eastAsia" w:ascii="仿宋" w:hAnsi="仿宋" w:eastAsia="仿宋" w:cs="仿宋"/>
                <w:color w:val="auto"/>
                <w:sz w:val="21"/>
                <w:szCs w:val="21"/>
                <w:highlight w:val="none"/>
              </w:rPr>
              <w:t>验收要求</w:t>
            </w:r>
          </w:p>
        </w:tc>
        <w:tc>
          <w:tcPr>
            <w:tcW w:w="14624" w:type="dxa"/>
            <w:vAlign w:val="center"/>
          </w:tcPr>
          <w:p w14:paraId="1EE60033">
            <w:pPr>
              <w:widowControl/>
              <w:snapToGrid w:val="0"/>
              <w:spacing w:line="400" w:lineRule="exact"/>
              <w:ind w:firstLine="420" w:firstLineChars="200"/>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1、验收标准：按合同要求及国家标准进行验收。验收时，采购人将严格按照合同要求及国家标准进行验收，对照采购文件的功能目标及技术指标全面核对检验，对所有要求出具的证明文件的原件进行核查（如有）。如交付产品不能满足采购要求和合同约定质量标准的视为验收不合格，按相关规定做退货处理及违约处理，成交供应商承担所有责任和费用，采购人保留进一步追究责任的权利。 </w:t>
            </w:r>
          </w:p>
          <w:p w14:paraId="1EC41D59">
            <w:pPr>
              <w:widowControl/>
              <w:snapToGrid w:val="0"/>
              <w:spacing w:line="400" w:lineRule="exact"/>
              <w:ind w:firstLine="420" w:firstLineChars="200"/>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供应商完成设备安装与调试后，需对拟交付的合同成果及其组件进行自检并提出书面验收申请，经采购人同意后共同组织验收，签写相应验收意见并签名确认。如对验收存在异议的，可聘请第三方按合同约定组织验收，所有费用由成交供应商负责。</w:t>
            </w:r>
          </w:p>
          <w:p w14:paraId="344AE140">
            <w:pPr>
              <w:widowControl/>
              <w:snapToGrid w:val="0"/>
              <w:spacing w:line="400" w:lineRule="exact"/>
              <w:ind w:firstLine="420" w:firstLineChars="200"/>
              <w:jc w:val="left"/>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3、货物（设备）验收合格，项目约定产品或服务方可正式交接，双方对相关货物清单、随机附件及验收结论意见书等书面材料进行清点签字后，作为项目的最终验收。</w:t>
            </w:r>
          </w:p>
          <w:p w14:paraId="3AEFE3CA">
            <w:pPr>
              <w:widowControl/>
              <w:snapToGrid w:val="0"/>
              <w:spacing w:line="400" w:lineRule="exact"/>
              <w:ind w:firstLine="420" w:firstLineChars="200"/>
              <w:jc w:val="left"/>
              <w:textAlignment w:val="center"/>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rPr>
              <w:t>4、验收费用：验收所产生的劳务费、检验费及相关发生的全部费用均由成交人承担。</w:t>
            </w:r>
          </w:p>
        </w:tc>
      </w:tr>
      <w:tr w14:paraId="3AC5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vAlign w:val="center"/>
          </w:tcPr>
          <w:p w14:paraId="2982A134">
            <w:pPr>
              <w:widowControl/>
              <w:snapToGrid w:val="0"/>
              <w:spacing w:line="400" w:lineRule="exact"/>
              <w:jc w:val="center"/>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其他要求</w:t>
            </w:r>
          </w:p>
        </w:tc>
        <w:tc>
          <w:tcPr>
            <w:tcW w:w="14624" w:type="dxa"/>
            <w:vAlign w:val="center"/>
          </w:tcPr>
          <w:p w14:paraId="4E6B1206">
            <w:pPr>
              <w:autoSpaceDE w:val="0"/>
              <w:autoSpaceDN w:val="0"/>
              <w:adjustRightInd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1、供应商必须实质性响应本项目标注“</w:t>
            </w:r>
            <w:r>
              <w:rPr>
                <w:rFonts w:hint="eastAsia" w:ascii="仿宋" w:hAnsi="仿宋" w:eastAsia="仿宋" w:cs="仿宋"/>
                <w:bCs/>
                <w:color w:val="auto"/>
                <w:kern w:val="0"/>
                <w:sz w:val="20"/>
                <w:szCs w:val="20"/>
                <w:highlight w:val="none"/>
              </w:rPr>
              <w:t>★</w:t>
            </w:r>
            <w:r>
              <w:rPr>
                <w:rFonts w:hint="eastAsia" w:ascii="仿宋" w:hAnsi="仿宋" w:eastAsia="仿宋" w:cs="仿宋"/>
                <w:color w:val="auto"/>
                <w:szCs w:val="21"/>
                <w:highlight w:val="none"/>
              </w:rPr>
              <w:t>”的技术参数要求，最多允许一项负偏离，否则视为无效响应。投标时，供应商所投产品须满足或优于技术参数配置要求【需提供《商务、技术响应偏离情况说明表》（格式见</w:t>
            </w:r>
            <w:r>
              <w:rPr>
                <w:rFonts w:hint="eastAsia" w:ascii="仿宋" w:hAnsi="仿宋" w:eastAsia="仿宋" w:cs="仿宋"/>
                <w:color w:val="auto"/>
                <w:szCs w:val="21"/>
                <w:highlight w:val="none"/>
                <w:lang w:val="en-US" w:eastAsia="zh-CN"/>
              </w:rPr>
              <w:t>附件3、4</w:t>
            </w:r>
            <w:r>
              <w:rPr>
                <w:rFonts w:hint="eastAsia" w:ascii="仿宋" w:hAnsi="仿宋" w:eastAsia="仿宋" w:cs="仿宋"/>
                <w:color w:val="auto"/>
                <w:szCs w:val="21"/>
                <w:highlight w:val="none"/>
              </w:rPr>
              <w:t>）、《报价表》</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格式见</w:t>
            </w:r>
            <w:r>
              <w:rPr>
                <w:rFonts w:hint="eastAsia" w:ascii="仿宋" w:hAnsi="仿宋" w:eastAsia="仿宋" w:cs="仿宋"/>
                <w:color w:val="auto"/>
                <w:szCs w:val="21"/>
                <w:highlight w:val="none"/>
                <w:lang w:val="en-US" w:eastAsia="zh-CN"/>
              </w:rPr>
              <w:t>附件1</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和投标产品的《技术参数配置清单》（格式见附件</w:t>
            </w:r>
            <w:r>
              <w:rPr>
                <w:rFonts w:hint="eastAsia" w:ascii="仿宋" w:hAnsi="仿宋" w:eastAsia="仿宋" w:cs="仿宋"/>
                <w:color w:val="auto"/>
                <w:szCs w:val="21"/>
                <w:highlight w:val="none"/>
                <w:lang w:val="en-US" w:eastAsia="zh-CN"/>
              </w:rPr>
              <w:t>2</w:t>
            </w:r>
            <w:r>
              <w:rPr>
                <w:rFonts w:hint="eastAsia" w:ascii="仿宋" w:hAnsi="仿宋" w:eastAsia="仿宋" w:cs="仿宋"/>
                <w:color w:val="auto"/>
                <w:szCs w:val="21"/>
                <w:highlight w:val="none"/>
              </w:rPr>
              <w:t>）及</w:t>
            </w:r>
            <w:r>
              <w:rPr>
                <w:rFonts w:hint="eastAsia" w:ascii="仿宋" w:hAnsi="仿宋" w:eastAsia="仿宋" w:cs="仿宋"/>
                <w:color w:val="auto"/>
                <w:szCs w:val="21"/>
                <w:highlight w:val="none"/>
                <w:lang w:val="en-US" w:eastAsia="zh-CN"/>
              </w:rPr>
              <w:t>需求表里面要求提供的</w:t>
            </w:r>
            <w:r>
              <w:rPr>
                <w:rFonts w:hint="eastAsia" w:ascii="仿宋" w:hAnsi="仿宋" w:eastAsia="仿宋" w:cs="仿宋"/>
                <w:color w:val="auto"/>
                <w:szCs w:val="21"/>
                <w:highlight w:val="none"/>
              </w:rPr>
              <w:t>相关佐证材料，以上材料加盖供应商公章】， 否则视为无效响应。</w:t>
            </w:r>
          </w:p>
          <w:p w14:paraId="0D81F7CC">
            <w:pPr>
              <w:autoSpaceDE w:val="0"/>
              <w:autoSpaceDN w:val="0"/>
              <w:adjustRightInd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2、根据《财政部 发展改革委 生态环境部 市场监管总局关于调整优化节能产品、环境标志产品政府采购执行机制的通知》（财库〔2019〕9 号）和《关于印发节能产品政府采购品目清单的通知》（财库〔2019〕19 号）的规定，本项目采购的产品如属于节能产品政府采购品目清单内标注“</w:t>
            </w:r>
            <w:r>
              <w:rPr>
                <w:rFonts w:hint="eastAsia" w:ascii="仿宋" w:hAnsi="仿宋" w:eastAsia="仿宋" w:cs="仿宋"/>
                <w:color w:val="auto"/>
                <w:kern w:val="0"/>
                <w:sz w:val="20"/>
                <w:szCs w:val="20"/>
                <w:highlight w:val="none"/>
              </w:rPr>
              <w:t>★</w:t>
            </w:r>
            <w:r>
              <w:rPr>
                <w:rFonts w:hint="eastAsia" w:ascii="仿宋" w:hAnsi="仿宋" w:eastAsia="仿宋" w:cs="仿宋"/>
                <w:color w:val="auto"/>
                <w:szCs w:val="21"/>
                <w:highlight w:val="none"/>
              </w:rPr>
              <w:t>”的产品的，供应商的竞标货物必须使用政府强制采购的节能产品，竞标时须提供国家确定的认证机构出具的、处于有效期之内的有效的节能产品认证证书复印件并加盖供应商公章，否则响应文件作无效竞标处理。</w:t>
            </w:r>
          </w:p>
          <w:p w14:paraId="234862E8">
            <w:pPr>
              <w:autoSpaceDE w:val="0"/>
              <w:autoSpaceDN w:val="0"/>
              <w:adjustRightInd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供应商在参与竞标报价前需仔细阅读项目采购的技术及商务要求，评估自身履约能力，谢绝恶意低价、不按要求报价、中标后无故放弃、不按合同履行等违约行为。对出现此类行为的成交供应商，将根据在线竞价违约处理规则，依法依规提请政采云平台进行处罚，并保留依法追究违约责任的权利，供应商的违约行为列入不良记录记入政府采购诚信档案。采购单位有权将在线询价单中的商务要求列入合同条款，否则有权拒签合同。</w:t>
            </w:r>
          </w:p>
          <w:p w14:paraId="72C7B0A5">
            <w:pPr>
              <w:autoSpaceDE w:val="0"/>
              <w:autoSpaceDN w:val="0"/>
              <w:adjustRightInd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中标公示期内若有其他供应商质疑情况下，中标单位必须提供与标书技术要求及功能符合的样品一套至采购人处进行整体性能与标书文件核对，协助质疑答复。如出现所提供样品不符招标要求或无法提供样品，均视为虚假应标处理并根据招标法及标书要求追究法律责任。</w:t>
            </w:r>
          </w:p>
        </w:tc>
      </w:tr>
    </w:tbl>
    <w:p w14:paraId="3D703BEF">
      <w:pPr>
        <w:rPr>
          <w:color w:val="auto"/>
          <w:highlight w:val="none"/>
        </w:rPr>
      </w:pPr>
    </w:p>
    <w:p w14:paraId="61CE6421">
      <w:pPr>
        <w:rPr>
          <w:color w:val="auto"/>
          <w:highlight w:val="none"/>
        </w:rPr>
      </w:pPr>
    </w:p>
    <w:p w14:paraId="340397F4">
      <w:pPr>
        <w:rPr>
          <w:color w:val="auto"/>
          <w:highlight w:val="none"/>
        </w:rPr>
      </w:pPr>
    </w:p>
    <w:p w14:paraId="062C30EC">
      <w:pPr>
        <w:rPr>
          <w:color w:val="auto"/>
          <w:highlight w:val="none"/>
        </w:rPr>
      </w:pPr>
    </w:p>
    <w:p w14:paraId="7635C4D3">
      <w:pPr>
        <w:rPr>
          <w:color w:val="auto"/>
          <w:highlight w:val="none"/>
        </w:rPr>
      </w:pPr>
    </w:p>
    <w:p w14:paraId="4B5DCD67">
      <w:pPr>
        <w:rPr>
          <w:color w:val="auto"/>
          <w:highlight w:val="none"/>
        </w:rPr>
      </w:pPr>
    </w:p>
    <w:p w14:paraId="2CEB4DED">
      <w:pPr>
        <w:rPr>
          <w:color w:val="auto"/>
          <w:highlight w:val="none"/>
        </w:rPr>
      </w:pPr>
    </w:p>
    <w:p w14:paraId="3C560584">
      <w:pPr>
        <w:rPr>
          <w:color w:val="auto"/>
          <w:highlight w:val="none"/>
        </w:rPr>
      </w:pPr>
    </w:p>
    <w:p w14:paraId="3BE828DE">
      <w:pPr>
        <w:rPr>
          <w:color w:val="auto"/>
          <w:highlight w:val="none"/>
        </w:rPr>
      </w:pPr>
    </w:p>
    <w:p w14:paraId="3801404B">
      <w:pPr>
        <w:rPr>
          <w:color w:val="auto"/>
          <w:highlight w:val="none"/>
        </w:rPr>
      </w:pPr>
    </w:p>
    <w:p w14:paraId="12ED60E5">
      <w:pPr>
        <w:rPr>
          <w:color w:val="auto"/>
          <w:highlight w:val="none"/>
        </w:rPr>
      </w:pPr>
    </w:p>
    <w:p w14:paraId="4110F683">
      <w:pPr>
        <w:rPr>
          <w:color w:val="auto"/>
          <w:highlight w:val="none"/>
        </w:rPr>
      </w:pPr>
    </w:p>
    <w:p w14:paraId="75934B2C">
      <w:pPr>
        <w:rPr>
          <w:color w:val="auto"/>
          <w:highlight w:val="none"/>
        </w:rPr>
      </w:pPr>
    </w:p>
    <w:p w14:paraId="4CF58F3A">
      <w:pPr>
        <w:rPr>
          <w:color w:val="auto"/>
          <w:highlight w:val="none"/>
        </w:rPr>
      </w:pPr>
      <w:bookmarkStart w:id="4" w:name="_GoBack"/>
      <w:bookmarkEnd w:id="4"/>
    </w:p>
    <w:p w14:paraId="3ACE376D">
      <w:pPr>
        <w:rPr>
          <w:color w:val="auto"/>
          <w:highlight w:val="none"/>
        </w:rPr>
      </w:pPr>
    </w:p>
    <w:p w14:paraId="62490F95">
      <w:pPr>
        <w:rPr>
          <w:color w:val="auto"/>
          <w:highlight w:val="none"/>
        </w:rPr>
      </w:pPr>
    </w:p>
    <w:p w14:paraId="3A72D8B0">
      <w:pPr>
        <w:rPr>
          <w:color w:val="auto"/>
          <w:highlight w:val="none"/>
        </w:rPr>
      </w:pPr>
    </w:p>
    <w:p w14:paraId="0F760834">
      <w:pPr>
        <w:rPr>
          <w:color w:val="auto"/>
          <w:highlight w:val="none"/>
        </w:rPr>
      </w:pPr>
    </w:p>
    <w:p w14:paraId="61837C0D">
      <w:pPr>
        <w:rPr>
          <w:color w:val="auto"/>
          <w:highlight w:val="none"/>
        </w:rPr>
      </w:pPr>
    </w:p>
    <w:p w14:paraId="4AC088D9">
      <w:pPr>
        <w:rPr>
          <w:color w:val="auto"/>
          <w:highlight w:val="none"/>
        </w:rPr>
      </w:pPr>
    </w:p>
    <w:p w14:paraId="599F48D8">
      <w:pPr>
        <w:rPr>
          <w:color w:val="auto"/>
          <w:highlight w:val="none"/>
        </w:rPr>
      </w:pPr>
    </w:p>
    <w:p w14:paraId="03FD76A5">
      <w:pPr>
        <w:rPr>
          <w:color w:val="auto"/>
          <w:highlight w:val="none"/>
        </w:rPr>
      </w:pPr>
    </w:p>
    <w:p w14:paraId="1F435380">
      <w:pP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附件1</w:t>
      </w:r>
    </w:p>
    <w:p w14:paraId="20E86FA4">
      <w:pPr>
        <w:pStyle w:val="5"/>
        <w:spacing w:before="12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t>广西中医药大学附设中医学校（广西中医学校）北湖校区舞台室内LED设备采购项目报价表（必须提供）</w:t>
      </w:r>
    </w:p>
    <w:tbl>
      <w:tblPr>
        <w:tblStyle w:val="8"/>
        <w:tblW w:w="851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51"/>
        <w:gridCol w:w="1247"/>
        <w:gridCol w:w="751"/>
        <w:gridCol w:w="751"/>
        <w:gridCol w:w="999"/>
        <w:gridCol w:w="999"/>
        <w:gridCol w:w="3019"/>
      </w:tblGrid>
      <w:tr w14:paraId="00DB7D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0" w:type="auto"/>
            <w:tcBorders>
              <w:top w:val="single" w:color="auto" w:sz="4" w:space="0"/>
              <w:left w:val="single" w:color="auto" w:sz="4" w:space="0"/>
              <w:bottom w:val="single" w:color="auto" w:sz="4" w:space="0"/>
              <w:right w:val="single" w:color="auto" w:sz="4" w:space="0"/>
            </w:tcBorders>
            <w:vAlign w:val="center"/>
          </w:tcPr>
          <w:p w14:paraId="437B86DE">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项号</w:t>
            </w:r>
          </w:p>
        </w:tc>
        <w:tc>
          <w:tcPr>
            <w:tcW w:w="0" w:type="auto"/>
            <w:tcBorders>
              <w:top w:val="single" w:color="auto" w:sz="4" w:space="0"/>
              <w:left w:val="single" w:color="auto" w:sz="4" w:space="0"/>
              <w:bottom w:val="single" w:color="auto" w:sz="4" w:space="0"/>
              <w:right w:val="single" w:color="auto" w:sz="4" w:space="0"/>
            </w:tcBorders>
            <w:vAlign w:val="center"/>
          </w:tcPr>
          <w:p w14:paraId="11B7AC20">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货物名称</w:t>
            </w:r>
          </w:p>
        </w:tc>
        <w:tc>
          <w:tcPr>
            <w:tcW w:w="0" w:type="auto"/>
            <w:tcBorders>
              <w:top w:val="single" w:color="auto" w:sz="4" w:space="0"/>
              <w:left w:val="single" w:color="auto" w:sz="4" w:space="0"/>
              <w:bottom w:val="single" w:color="auto" w:sz="4" w:space="0"/>
              <w:right w:val="single" w:color="auto" w:sz="4" w:space="0"/>
            </w:tcBorders>
            <w:vAlign w:val="center"/>
          </w:tcPr>
          <w:p w14:paraId="0A8865A4">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品牌</w:t>
            </w:r>
          </w:p>
        </w:tc>
        <w:tc>
          <w:tcPr>
            <w:tcW w:w="0" w:type="auto"/>
            <w:tcBorders>
              <w:top w:val="single" w:color="auto" w:sz="4" w:space="0"/>
              <w:left w:val="single" w:color="auto" w:sz="4" w:space="0"/>
              <w:bottom w:val="single" w:color="auto" w:sz="4" w:space="0"/>
              <w:right w:val="single" w:color="auto" w:sz="4" w:space="0"/>
            </w:tcBorders>
            <w:vAlign w:val="center"/>
          </w:tcPr>
          <w:p w14:paraId="711EF22C">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单位</w:t>
            </w:r>
          </w:p>
        </w:tc>
        <w:tc>
          <w:tcPr>
            <w:tcW w:w="0" w:type="auto"/>
            <w:tcBorders>
              <w:top w:val="single" w:color="auto" w:sz="4" w:space="0"/>
              <w:left w:val="single" w:color="auto" w:sz="4" w:space="0"/>
              <w:bottom w:val="single" w:color="auto" w:sz="4" w:space="0"/>
              <w:right w:val="single" w:color="auto" w:sz="4" w:space="0"/>
            </w:tcBorders>
            <w:vAlign w:val="center"/>
          </w:tcPr>
          <w:p w14:paraId="6A76969F">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数量①</w:t>
            </w:r>
          </w:p>
        </w:tc>
        <w:tc>
          <w:tcPr>
            <w:tcW w:w="0" w:type="auto"/>
            <w:tcBorders>
              <w:top w:val="single" w:color="auto" w:sz="4" w:space="0"/>
              <w:left w:val="single" w:color="auto" w:sz="4" w:space="0"/>
              <w:bottom w:val="single" w:color="auto" w:sz="4" w:space="0"/>
              <w:right w:val="single" w:color="auto" w:sz="4" w:space="0"/>
            </w:tcBorders>
            <w:vAlign w:val="center"/>
          </w:tcPr>
          <w:p w14:paraId="5D60761F">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单价②</w:t>
            </w:r>
          </w:p>
        </w:tc>
        <w:tc>
          <w:tcPr>
            <w:tcW w:w="2565" w:type="dxa"/>
            <w:tcBorders>
              <w:top w:val="single" w:color="auto" w:sz="4" w:space="0"/>
              <w:left w:val="single" w:color="auto" w:sz="4" w:space="0"/>
              <w:bottom w:val="single" w:color="auto" w:sz="4" w:space="0"/>
              <w:right w:val="single" w:color="auto" w:sz="4" w:space="0"/>
            </w:tcBorders>
            <w:vAlign w:val="center"/>
          </w:tcPr>
          <w:p w14:paraId="243E359A">
            <w:pPr>
              <w:spacing w:line="240" w:lineRule="auto"/>
              <w:ind w:left="0" w:leftChars="0" w:right="0" w:rightChars="0" w:firstLine="0" w:firstLineChars="0"/>
              <w:jc w:val="center"/>
              <w:rPr>
                <w:rFonts w:ascii="宋体" w:hAnsi="宋体" w:cs="仿宋_GB2312"/>
                <w:b/>
                <w:bCs/>
                <w:color w:val="auto"/>
                <w:szCs w:val="21"/>
                <w:highlight w:val="none"/>
              </w:rPr>
            </w:pPr>
            <w:r>
              <w:rPr>
                <w:rFonts w:hint="eastAsia" w:ascii="宋体" w:hAnsi="宋体" w:cs="仿宋_GB2312"/>
                <w:b/>
                <w:bCs/>
                <w:color w:val="auto"/>
                <w:szCs w:val="21"/>
                <w:highlight w:val="none"/>
              </w:rPr>
              <w:t>竞标报价③=①×②</w:t>
            </w:r>
          </w:p>
        </w:tc>
      </w:tr>
      <w:tr w14:paraId="7643CB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0" w:type="auto"/>
            <w:tcBorders>
              <w:top w:val="single" w:color="auto" w:sz="4" w:space="0"/>
              <w:left w:val="single" w:color="auto" w:sz="4" w:space="0"/>
              <w:bottom w:val="single" w:color="auto" w:sz="4" w:space="0"/>
              <w:right w:val="single" w:color="auto" w:sz="4" w:space="0"/>
            </w:tcBorders>
            <w:vAlign w:val="center"/>
          </w:tcPr>
          <w:p w14:paraId="60DC7CD3">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仿宋_GB2312"/>
                <w:color w:val="auto"/>
                <w:szCs w:val="21"/>
                <w:highlight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4CB92601">
            <w:pPr>
              <w:spacing w:line="240" w:lineRule="auto"/>
              <w:ind w:left="0" w:leftChars="0" w:right="0" w:rightChars="0" w:firstLine="0" w:firstLineChars="0"/>
              <w:jc w:val="center"/>
              <w:rPr>
                <w:rFonts w:ascii="宋体" w:hAnsi="宋体" w:cs="仿宋_GB2312"/>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D0450D">
            <w:pPr>
              <w:spacing w:line="240" w:lineRule="auto"/>
              <w:ind w:left="0" w:leftChars="0" w:right="0" w:rightChars="0" w:firstLine="0" w:firstLineChars="0"/>
              <w:jc w:val="center"/>
              <w:rPr>
                <w:rFonts w:ascii="宋体" w:hAnsi="宋体" w:cs="仿宋_GB2312"/>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0F62B48">
            <w:pPr>
              <w:spacing w:line="240" w:lineRule="auto"/>
              <w:ind w:left="0" w:leftChars="0" w:right="0" w:rightChars="0" w:firstLine="0" w:firstLineChars="0"/>
              <w:jc w:val="center"/>
              <w:rPr>
                <w:rFonts w:ascii="宋体" w:hAnsi="宋体" w:cs="仿宋_GB2312"/>
                <w:b/>
                <w:bCs/>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E3AE455">
            <w:pPr>
              <w:spacing w:line="240" w:lineRule="auto"/>
              <w:ind w:left="0" w:leftChars="0" w:right="0" w:rightChars="0" w:firstLine="0" w:firstLineChars="0"/>
              <w:jc w:val="center"/>
              <w:rPr>
                <w:rFonts w:ascii="宋体" w:hAnsi="宋体" w:cs="仿宋_GB2312"/>
                <w:b/>
                <w:bCs/>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F923A00">
            <w:pPr>
              <w:spacing w:line="240" w:lineRule="auto"/>
              <w:ind w:left="0" w:leftChars="0" w:right="0" w:rightChars="0" w:firstLine="0" w:firstLineChars="0"/>
              <w:jc w:val="center"/>
              <w:rPr>
                <w:rFonts w:ascii="宋体" w:hAnsi="宋体" w:cs="仿宋_GB2312"/>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vAlign w:val="center"/>
          </w:tcPr>
          <w:p w14:paraId="63A77290">
            <w:pPr>
              <w:spacing w:line="240" w:lineRule="auto"/>
              <w:ind w:left="0" w:leftChars="0" w:right="0" w:rightChars="0" w:firstLine="0" w:firstLineChars="0"/>
              <w:jc w:val="center"/>
              <w:rPr>
                <w:rFonts w:ascii="宋体" w:hAnsi="宋体" w:cs="仿宋_GB2312"/>
                <w:color w:val="auto"/>
                <w:szCs w:val="21"/>
                <w:highlight w:val="none"/>
              </w:rPr>
            </w:pPr>
          </w:p>
        </w:tc>
      </w:tr>
      <w:tr w14:paraId="040D5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0" w:type="auto"/>
            <w:tcBorders>
              <w:top w:val="single" w:color="auto" w:sz="4" w:space="0"/>
              <w:left w:val="single" w:color="auto" w:sz="4" w:space="0"/>
              <w:bottom w:val="single" w:color="auto" w:sz="4" w:space="0"/>
              <w:right w:val="single" w:color="auto" w:sz="4" w:space="0"/>
            </w:tcBorders>
            <w:vAlign w:val="center"/>
          </w:tcPr>
          <w:p w14:paraId="2074FA3E">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仿宋_GB2312"/>
                <w:color w:val="auto"/>
                <w:szCs w:val="21"/>
                <w:highlight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069F4879">
            <w:pPr>
              <w:spacing w:line="240" w:lineRule="auto"/>
              <w:ind w:left="0" w:leftChars="0" w:right="0" w:rightChars="0" w:firstLine="0" w:firstLineChars="0"/>
              <w:jc w:val="center"/>
              <w:rPr>
                <w:rFonts w:ascii="宋体" w:hAnsi="宋体" w:cs="仿宋_GB2312"/>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69BE32D">
            <w:pPr>
              <w:spacing w:line="240" w:lineRule="auto"/>
              <w:ind w:left="0" w:leftChars="0" w:right="0" w:rightChars="0" w:firstLine="0" w:firstLineChars="0"/>
              <w:jc w:val="center"/>
              <w:rPr>
                <w:rFonts w:ascii="宋体" w:hAnsi="宋体" w:cs="仿宋_GB2312"/>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34C7375">
            <w:pPr>
              <w:spacing w:line="240" w:lineRule="auto"/>
              <w:ind w:left="0" w:leftChars="0" w:right="0" w:rightChars="0" w:firstLine="0" w:firstLineChars="0"/>
              <w:jc w:val="center"/>
              <w:rPr>
                <w:rFonts w:ascii="宋体" w:hAnsi="宋体" w:cs="仿宋_GB2312"/>
                <w:b/>
                <w:bCs/>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161A70B">
            <w:pPr>
              <w:spacing w:line="240" w:lineRule="auto"/>
              <w:ind w:left="0" w:leftChars="0" w:right="0" w:rightChars="0" w:firstLine="0" w:firstLineChars="0"/>
              <w:jc w:val="center"/>
              <w:rPr>
                <w:rFonts w:ascii="宋体" w:hAnsi="宋体" w:cs="仿宋_GB2312"/>
                <w:b/>
                <w:bCs/>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F82A66C">
            <w:pPr>
              <w:spacing w:line="240" w:lineRule="auto"/>
              <w:ind w:left="0" w:leftChars="0" w:right="0" w:rightChars="0" w:firstLine="0" w:firstLineChars="0"/>
              <w:jc w:val="center"/>
              <w:rPr>
                <w:rFonts w:ascii="宋体" w:hAnsi="宋体" w:cs="仿宋_GB2312"/>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vAlign w:val="center"/>
          </w:tcPr>
          <w:p w14:paraId="00F0BC8F">
            <w:pPr>
              <w:spacing w:line="240" w:lineRule="auto"/>
              <w:ind w:left="0" w:leftChars="0" w:right="0" w:rightChars="0" w:firstLine="0" w:firstLineChars="0"/>
              <w:jc w:val="center"/>
              <w:rPr>
                <w:rFonts w:ascii="宋体" w:hAnsi="宋体" w:cs="仿宋_GB2312"/>
                <w:color w:val="auto"/>
                <w:szCs w:val="21"/>
                <w:highlight w:val="none"/>
              </w:rPr>
            </w:pPr>
          </w:p>
        </w:tc>
      </w:tr>
      <w:tr w14:paraId="67DB73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0" w:type="auto"/>
            <w:tcBorders>
              <w:top w:val="single" w:color="auto" w:sz="4" w:space="0"/>
              <w:left w:val="single" w:color="auto" w:sz="4" w:space="0"/>
              <w:bottom w:val="single" w:color="auto" w:sz="4" w:space="0"/>
              <w:right w:val="single" w:color="auto" w:sz="4" w:space="0"/>
            </w:tcBorders>
            <w:vAlign w:val="center"/>
          </w:tcPr>
          <w:p w14:paraId="1D166923">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仿宋_GB2312"/>
                <w:color w:val="auto"/>
                <w:szCs w:val="21"/>
                <w:highlight w:val="none"/>
              </w:rPr>
              <w:t>…</w:t>
            </w:r>
          </w:p>
        </w:tc>
        <w:tc>
          <w:tcPr>
            <w:tcW w:w="0" w:type="auto"/>
            <w:tcBorders>
              <w:top w:val="single" w:color="auto" w:sz="4" w:space="0"/>
              <w:left w:val="single" w:color="auto" w:sz="4" w:space="0"/>
              <w:bottom w:val="single" w:color="auto" w:sz="4" w:space="0"/>
              <w:right w:val="single" w:color="auto" w:sz="4" w:space="0"/>
            </w:tcBorders>
            <w:vAlign w:val="center"/>
          </w:tcPr>
          <w:p w14:paraId="1583B4B4">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仿宋_GB2312"/>
                <w:color w:val="auto"/>
                <w:szCs w:val="21"/>
                <w:highlight w:val="none"/>
              </w:rPr>
              <w:t>……</w:t>
            </w:r>
          </w:p>
        </w:tc>
        <w:tc>
          <w:tcPr>
            <w:tcW w:w="0" w:type="auto"/>
            <w:tcBorders>
              <w:top w:val="single" w:color="auto" w:sz="4" w:space="0"/>
              <w:left w:val="single" w:color="auto" w:sz="4" w:space="0"/>
              <w:bottom w:val="single" w:color="auto" w:sz="4" w:space="0"/>
              <w:right w:val="single" w:color="auto" w:sz="4" w:space="0"/>
            </w:tcBorders>
            <w:vAlign w:val="center"/>
          </w:tcPr>
          <w:p w14:paraId="65F668E0">
            <w:pPr>
              <w:spacing w:line="240" w:lineRule="auto"/>
              <w:ind w:left="0" w:leftChars="0" w:right="0" w:rightChars="0" w:firstLine="0" w:firstLineChars="0"/>
              <w:jc w:val="center"/>
              <w:rPr>
                <w:rFonts w:ascii="宋体" w:hAnsi="宋体" w:cs="仿宋_GB2312"/>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C38CF0F">
            <w:pPr>
              <w:spacing w:line="240" w:lineRule="auto"/>
              <w:ind w:left="0" w:leftChars="0" w:right="0" w:rightChars="0" w:firstLine="0" w:firstLineChars="0"/>
              <w:jc w:val="center"/>
              <w:rPr>
                <w:rFonts w:ascii="宋体" w:hAnsi="宋体" w:cs="仿宋_GB2312"/>
                <w:b/>
                <w:bCs/>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510180">
            <w:pPr>
              <w:spacing w:line="240" w:lineRule="auto"/>
              <w:ind w:left="0" w:leftChars="0" w:right="0" w:rightChars="0" w:firstLine="0" w:firstLineChars="0"/>
              <w:jc w:val="center"/>
              <w:rPr>
                <w:rFonts w:ascii="宋体" w:hAnsi="宋体" w:cs="仿宋_GB2312"/>
                <w:b/>
                <w:bCs/>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39A9317">
            <w:pPr>
              <w:spacing w:line="240" w:lineRule="auto"/>
              <w:ind w:left="0" w:leftChars="0" w:right="0" w:rightChars="0" w:firstLine="0" w:firstLineChars="0"/>
              <w:jc w:val="center"/>
              <w:rPr>
                <w:rFonts w:ascii="宋体" w:hAnsi="宋体" w:cs="仿宋_GB2312"/>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vAlign w:val="center"/>
          </w:tcPr>
          <w:p w14:paraId="15D7AAE8">
            <w:pPr>
              <w:spacing w:line="240" w:lineRule="auto"/>
              <w:ind w:left="0" w:leftChars="0" w:right="0" w:rightChars="0" w:firstLine="0" w:firstLineChars="0"/>
              <w:jc w:val="center"/>
              <w:rPr>
                <w:rFonts w:ascii="宋体" w:hAnsi="宋体" w:cs="仿宋_GB2312"/>
                <w:color w:val="auto"/>
                <w:szCs w:val="21"/>
                <w:highlight w:val="none"/>
              </w:rPr>
            </w:pPr>
          </w:p>
        </w:tc>
      </w:tr>
      <w:tr w14:paraId="56EB6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0" w:type="auto"/>
            <w:tcBorders>
              <w:top w:val="single" w:color="auto" w:sz="4" w:space="0"/>
              <w:left w:val="single" w:color="auto" w:sz="4" w:space="0"/>
              <w:bottom w:val="single" w:color="auto" w:sz="4" w:space="0"/>
              <w:right w:val="single" w:color="auto" w:sz="4" w:space="0"/>
            </w:tcBorders>
            <w:vAlign w:val="center"/>
          </w:tcPr>
          <w:p w14:paraId="0885163C">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仿宋_GB2312"/>
                <w:color w:val="auto"/>
                <w:szCs w:val="21"/>
                <w:highlight w:val="none"/>
              </w:rPr>
              <w:t>…</w:t>
            </w:r>
          </w:p>
        </w:tc>
        <w:tc>
          <w:tcPr>
            <w:tcW w:w="0" w:type="auto"/>
            <w:tcBorders>
              <w:top w:val="single" w:color="auto" w:sz="4" w:space="0"/>
              <w:left w:val="single" w:color="auto" w:sz="4" w:space="0"/>
              <w:bottom w:val="single" w:color="auto" w:sz="4" w:space="0"/>
              <w:right w:val="single" w:color="auto" w:sz="4" w:space="0"/>
            </w:tcBorders>
            <w:vAlign w:val="center"/>
          </w:tcPr>
          <w:p w14:paraId="33EF3FEA">
            <w:pPr>
              <w:spacing w:line="240" w:lineRule="auto"/>
              <w:ind w:left="0" w:leftChars="0" w:right="0" w:rightChars="0" w:firstLine="0" w:firstLineChars="0"/>
              <w:jc w:val="center"/>
              <w:rPr>
                <w:rFonts w:ascii="宋体" w:hAnsi="宋体" w:cs="仿宋_GB2312"/>
                <w:color w:val="auto"/>
                <w:szCs w:val="21"/>
                <w:highlight w:val="none"/>
              </w:rPr>
            </w:pPr>
            <w:r>
              <w:rPr>
                <w:rFonts w:hint="eastAsia" w:ascii="宋体" w:hAnsi="宋体" w:cs="仿宋_GB2312"/>
                <w:color w:val="auto"/>
                <w:szCs w:val="21"/>
                <w:highlight w:val="none"/>
              </w:rPr>
              <w:t>……</w:t>
            </w:r>
          </w:p>
        </w:tc>
        <w:tc>
          <w:tcPr>
            <w:tcW w:w="0" w:type="auto"/>
            <w:tcBorders>
              <w:top w:val="single" w:color="auto" w:sz="4" w:space="0"/>
              <w:left w:val="single" w:color="auto" w:sz="4" w:space="0"/>
              <w:bottom w:val="single" w:color="auto" w:sz="4" w:space="0"/>
              <w:right w:val="single" w:color="auto" w:sz="4" w:space="0"/>
            </w:tcBorders>
            <w:vAlign w:val="center"/>
          </w:tcPr>
          <w:p w14:paraId="145D5EEA">
            <w:pPr>
              <w:spacing w:line="240" w:lineRule="auto"/>
              <w:ind w:left="0" w:leftChars="0" w:right="0" w:rightChars="0" w:firstLine="0" w:firstLineChars="0"/>
              <w:jc w:val="center"/>
              <w:rPr>
                <w:rFonts w:ascii="宋体" w:hAnsi="宋体" w:cs="仿宋_GB2312"/>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CF71442">
            <w:pPr>
              <w:spacing w:line="240" w:lineRule="auto"/>
              <w:ind w:left="0" w:leftChars="0" w:right="0" w:rightChars="0" w:firstLine="0" w:firstLineChars="0"/>
              <w:jc w:val="center"/>
              <w:rPr>
                <w:rFonts w:ascii="宋体" w:hAnsi="宋体" w:cs="仿宋_GB2312"/>
                <w:b/>
                <w:bCs/>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88E75D">
            <w:pPr>
              <w:spacing w:line="240" w:lineRule="auto"/>
              <w:ind w:left="0" w:leftChars="0" w:right="0" w:rightChars="0" w:firstLine="0" w:firstLineChars="0"/>
              <w:jc w:val="center"/>
              <w:rPr>
                <w:rFonts w:ascii="宋体" w:hAnsi="宋体" w:cs="仿宋_GB2312"/>
                <w:b/>
                <w:bCs/>
                <w:color w:val="auto"/>
                <w:szCs w:val="21"/>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89EBFB2">
            <w:pPr>
              <w:spacing w:line="240" w:lineRule="auto"/>
              <w:ind w:left="0" w:leftChars="0" w:right="0" w:rightChars="0" w:firstLine="0" w:firstLineChars="0"/>
              <w:jc w:val="center"/>
              <w:rPr>
                <w:rFonts w:ascii="宋体" w:hAnsi="宋体" w:cs="仿宋_GB2312"/>
                <w:color w:val="auto"/>
                <w:szCs w:val="21"/>
                <w:highlight w:val="none"/>
              </w:rPr>
            </w:pPr>
          </w:p>
        </w:tc>
        <w:tc>
          <w:tcPr>
            <w:tcW w:w="2565" w:type="dxa"/>
            <w:tcBorders>
              <w:top w:val="single" w:color="auto" w:sz="4" w:space="0"/>
              <w:left w:val="single" w:color="auto" w:sz="4" w:space="0"/>
              <w:bottom w:val="single" w:color="auto" w:sz="4" w:space="0"/>
              <w:right w:val="single" w:color="auto" w:sz="4" w:space="0"/>
            </w:tcBorders>
            <w:vAlign w:val="center"/>
          </w:tcPr>
          <w:p w14:paraId="1FF23F35">
            <w:pPr>
              <w:spacing w:line="240" w:lineRule="auto"/>
              <w:ind w:left="0" w:leftChars="0" w:right="0" w:rightChars="0" w:firstLine="0" w:firstLineChars="0"/>
              <w:jc w:val="center"/>
              <w:rPr>
                <w:rFonts w:ascii="宋体" w:hAnsi="宋体" w:cs="仿宋_GB2312"/>
                <w:color w:val="auto"/>
                <w:szCs w:val="21"/>
                <w:highlight w:val="none"/>
              </w:rPr>
            </w:pPr>
          </w:p>
        </w:tc>
      </w:tr>
      <w:tr w14:paraId="7E95D5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8517" w:type="dxa"/>
            <w:gridSpan w:val="7"/>
            <w:tcBorders>
              <w:top w:val="single" w:color="auto" w:sz="4" w:space="0"/>
              <w:left w:val="single" w:color="auto" w:sz="4" w:space="0"/>
              <w:bottom w:val="single" w:color="auto" w:sz="4" w:space="0"/>
              <w:right w:val="single" w:color="auto" w:sz="4" w:space="0"/>
            </w:tcBorders>
            <w:vAlign w:val="center"/>
          </w:tcPr>
          <w:p w14:paraId="095916FA">
            <w:pPr>
              <w:snapToGrid w:val="0"/>
              <w:spacing w:line="240" w:lineRule="auto"/>
              <w:ind w:left="0" w:leftChars="0" w:right="0" w:rightChars="0" w:firstLine="0" w:firstLineChars="0"/>
              <w:rPr>
                <w:rFonts w:ascii="宋体" w:hAnsi="宋体" w:cs="仿宋_GB2312"/>
                <w:color w:val="auto"/>
                <w:szCs w:val="21"/>
                <w:highlight w:val="none"/>
                <w:u w:val="single"/>
              </w:rPr>
            </w:pPr>
            <w:r>
              <w:rPr>
                <w:rFonts w:hint="eastAsia" w:ascii="宋体" w:hAnsi="宋体" w:cs="仿宋_GB2312"/>
                <w:color w:val="auto"/>
                <w:szCs w:val="21"/>
                <w:highlight w:val="none"/>
              </w:rPr>
              <w:t>合计金额大写：人民币      （</w:t>
            </w:r>
            <w:r>
              <w:rPr>
                <w:rFonts w:hint="default" w:ascii="Arial" w:hAnsi="Arial" w:cs="Arial"/>
                <w:color w:val="auto"/>
                <w:szCs w:val="21"/>
                <w:highlight w:val="none"/>
              </w:rPr>
              <w:t>¥</w:t>
            </w:r>
            <w:r>
              <w:rPr>
                <w:rFonts w:hint="eastAsia" w:ascii="宋体" w:hAnsi="宋体" w:cs="仿宋_GB2312"/>
                <w:color w:val="auto"/>
                <w:szCs w:val="21"/>
                <w:highlight w:val="none"/>
              </w:rPr>
              <w:t>：   ）</w:t>
            </w:r>
          </w:p>
        </w:tc>
      </w:tr>
    </w:tbl>
    <w:p w14:paraId="7F30C8BD">
      <w:pPr>
        <w:spacing w:line="500" w:lineRule="exact"/>
        <w:rPr>
          <w:rFonts w:hint="eastAsia" w:ascii="宋体" w:hAnsi="宋体"/>
          <w:color w:val="auto"/>
          <w:szCs w:val="21"/>
          <w:highlight w:val="none"/>
        </w:rPr>
      </w:pPr>
      <w:r>
        <w:rPr>
          <w:rFonts w:hint="eastAsia" w:ascii="宋体" w:hAnsi="宋体"/>
          <w:color w:val="auto"/>
          <w:szCs w:val="21"/>
          <w:highlight w:val="none"/>
        </w:rPr>
        <w:t xml:space="preserve">注: </w:t>
      </w:r>
    </w:p>
    <w:p w14:paraId="14F4BC38">
      <w:pPr>
        <w:spacing w:line="500" w:lineRule="exact"/>
        <w:rPr>
          <w:rFonts w:hint="eastAsia" w:ascii="仿宋" w:hAnsi="仿宋" w:eastAsia="仿宋" w:cs="仿宋"/>
          <w:b/>
          <w:color w:val="auto"/>
          <w:sz w:val="28"/>
          <w:szCs w:val="28"/>
          <w:highlight w:val="none"/>
        </w:rPr>
      </w:pPr>
      <w:r>
        <w:rPr>
          <w:rFonts w:hint="eastAsia" w:ascii="宋体" w:hAnsi="宋体"/>
          <w:color w:val="auto"/>
          <w:szCs w:val="21"/>
          <w:highlight w:val="none"/>
        </w:rPr>
        <w:t>1.所有价格均用人民币表示，单位为元，精确到小数点后两数位。</w:t>
      </w:r>
    </w:p>
    <w:p w14:paraId="27247D31">
      <w:pPr>
        <w:spacing w:line="360" w:lineRule="exact"/>
        <w:contextualSpacing/>
        <w:rPr>
          <w:rFonts w:ascii="宋体" w:hAnsi="宋体"/>
          <w:color w:val="auto"/>
          <w:szCs w:val="21"/>
          <w:highlight w:val="none"/>
        </w:rPr>
      </w:pPr>
      <w:r>
        <w:rPr>
          <w:rFonts w:hint="eastAsia" w:ascii="宋体" w:hAnsi="宋体"/>
          <w:color w:val="auto"/>
          <w:szCs w:val="21"/>
          <w:highlight w:val="none"/>
        </w:rPr>
        <w:t>2、供应商的报价表必须加盖供应商公章并由法定代表人或者委托代理人签字，否则其响应文件按无效响应处理。</w:t>
      </w:r>
    </w:p>
    <w:p w14:paraId="3DE39A0A">
      <w:pPr>
        <w:spacing w:line="360" w:lineRule="exact"/>
        <w:contextualSpacing/>
        <w:rPr>
          <w:rFonts w:ascii="宋体" w:hAnsi="宋体"/>
          <w:color w:val="auto"/>
          <w:szCs w:val="21"/>
          <w:highlight w:val="none"/>
        </w:rPr>
      </w:pPr>
      <w:r>
        <w:rPr>
          <w:rFonts w:hint="eastAsia" w:ascii="宋体" w:hAnsi="宋体"/>
          <w:color w:val="auto"/>
          <w:szCs w:val="21"/>
          <w:highlight w:val="none"/>
        </w:rPr>
        <w:t>3、报价一经涂改，应在涂改处加盖供应商公章或者由法定代表人或者授权委托人签字或者盖章，否则其响应文件按无效响应处理。</w:t>
      </w:r>
    </w:p>
    <w:p w14:paraId="25DC3C73">
      <w:pPr>
        <w:pStyle w:val="5"/>
        <w:spacing w:before="120" w:line="500" w:lineRule="exact"/>
        <w:rPr>
          <w:rFonts w:hint="eastAsia" w:ascii="仿宋_GB2312" w:hAnsi="仿宋_GB2312" w:eastAsia="仿宋_GB2312" w:cs="仿宋_GB2312"/>
          <w:color w:val="auto"/>
          <w:sz w:val="24"/>
          <w:szCs w:val="24"/>
          <w:highlight w:val="none"/>
        </w:rPr>
      </w:pPr>
    </w:p>
    <w:p w14:paraId="31FD22C3">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法定代表人或授权代表签字或盖章：        </w:t>
      </w:r>
    </w:p>
    <w:p w14:paraId="151043D8">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项目联系人及电话：                                </w:t>
      </w:r>
    </w:p>
    <w:p w14:paraId="7945FA0E">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报价供应商名称（签章）：                          </w:t>
      </w:r>
    </w:p>
    <w:p w14:paraId="7DBAA5D8">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报价日期：      年     月  日</w:t>
      </w:r>
      <w:bookmarkStart w:id="3" w:name="_Hlk21623674"/>
    </w:p>
    <w:p w14:paraId="515E784B">
      <w:pPr>
        <w:pStyle w:val="5"/>
        <w:spacing w:before="120" w:line="500" w:lineRule="exact"/>
        <w:rPr>
          <w:rFonts w:hint="eastAsia" w:ascii="仿宋_GB2312" w:hAnsi="仿宋_GB2312" w:eastAsia="仿宋_GB2312" w:cs="仿宋_GB2312"/>
          <w:color w:val="auto"/>
          <w:sz w:val="24"/>
          <w:szCs w:val="24"/>
          <w:highlight w:val="none"/>
        </w:rPr>
      </w:pPr>
    </w:p>
    <w:p w14:paraId="47156F74">
      <w:pPr>
        <w:pStyle w:val="5"/>
        <w:spacing w:before="120" w:line="500" w:lineRule="exact"/>
        <w:rPr>
          <w:rFonts w:hint="eastAsia" w:ascii="仿宋_GB2312" w:hAnsi="仿宋_GB2312" w:eastAsia="仿宋_GB2312" w:cs="仿宋_GB2312"/>
          <w:color w:val="auto"/>
          <w:sz w:val="24"/>
          <w:szCs w:val="24"/>
          <w:highlight w:val="none"/>
        </w:rPr>
      </w:pPr>
    </w:p>
    <w:p w14:paraId="5778EA0D">
      <w:pPr>
        <w:pStyle w:val="5"/>
        <w:spacing w:before="120" w:line="500" w:lineRule="exact"/>
        <w:rPr>
          <w:rFonts w:hint="eastAsia" w:ascii="仿宋_GB2312" w:hAnsi="仿宋_GB2312" w:eastAsia="仿宋_GB2312" w:cs="仿宋_GB2312"/>
          <w:color w:val="auto"/>
          <w:sz w:val="24"/>
          <w:szCs w:val="24"/>
          <w:highlight w:val="none"/>
        </w:rPr>
      </w:pPr>
    </w:p>
    <w:p w14:paraId="4B5CC7D0">
      <w:pPr>
        <w:pStyle w:val="5"/>
        <w:spacing w:before="120" w:line="500" w:lineRule="exact"/>
        <w:rPr>
          <w:rFonts w:hint="eastAsia" w:ascii="仿宋_GB2312" w:hAnsi="仿宋_GB2312" w:eastAsia="仿宋_GB2312" w:cs="仿宋_GB2312"/>
          <w:color w:val="auto"/>
          <w:sz w:val="24"/>
          <w:szCs w:val="24"/>
          <w:highlight w:val="none"/>
        </w:rPr>
      </w:pPr>
    </w:p>
    <w:p w14:paraId="3997921D">
      <w:pPr>
        <w:pStyle w:val="5"/>
        <w:spacing w:before="120" w:line="500" w:lineRule="exac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附件2</w:t>
      </w:r>
    </w:p>
    <w:p w14:paraId="2C53EA07">
      <w:pPr>
        <w:adjustRightInd w:val="0"/>
        <w:snapToGrid w:val="0"/>
        <w:spacing w:line="520" w:lineRule="exact"/>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t>广西中医药大学附设中医学校（广西中医学校）北湖校区舞台室内LED设备采购项目货物技术</w:t>
      </w:r>
    </w:p>
    <w:p w14:paraId="46A6633B">
      <w:pPr>
        <w:adjustRightInd w:val="0"/>
        <w:snapToGrid w:val="0"/>
        <w:spacing w:line="520" w:lineRule="exact"/>
        <w:jc w:val="center"/>
        <w:rPr>
          <w:rFonts w:ascii="方正小标宋简体" w:hAnsi="方正小标宋简体" w:eastAsia="方正小标宋简体" w:cs="方正小标宋简体"/>
          <w:bCs/>
          <w:color w:val="auto"/>
          <w:sz w:val="44"/>
          <w:szCs w:val="44"/>
          <w:highlight w:val="none"/>
        </w:rPr>
      </w:pPr>
      <w:r>
        <w:rPr>
          <w:rFonts w:hint="eastAsia" w:ascii="黑体" w:hAnsi="黑体" w:eastAsia="黑体" w:cs="黑体"/>
          <w:color w:val="auto"/>
          <w:sz w:val="36"/>
          <w:szCs w:val="36"/>
          <w:highlight w:val="none"/>
        </w:rPr>
        <w:t>参数配置清单（必须提供）</w:t>
      </w:r>
    </w:p>
    <w:tbl>
      <w:tblPr>
        <w:tblStyle w:val="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6"/>
        <w:gridCol w:w="1507"/>
        <w:gridCol w:w="426"/>
        <w:gridCol w:w="562"/>
        <w:gridCol w:w="724"/>
        <w:gridCol w:w="977"/>
        <w:gridCol w:w="950"/>
        <w:gridCol w:w="925"/>
        <w:gridCol w:w="1815"/>
      </w:tblGrid>
      <w:tr w14:paraId="2216C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14:paraId="6149E5FC">
            <w:pPr>
              <w:snapToGrid w:val="0"/>
              <w:spacing w:before="50" w:after="50"/>
              <w:jc w:val="center"/>
              <w:rPr>
                <w:rFonts w:ascii="宋体" w:hAnsi="宋体"/>
                <w:color w:val="auto"/>
                <w:szCs w:val="21"/>
                <w:highlight w:val="none"/>
              </w:rPr>
            </w:pPr>
            <w:r>
              <w:rPr>
                <w:rFonts w:hint="eastAsia" w:ascii="宋体" w:hAnsi="宋体"/>
                <w:color w:val="auto"/>
                <w:szCs w:val="21"/>
                <w:highlight w:val="none"/>
              </w:rPr>
              <w:t>序号</w:t>
            </w:r>
          </w:p>
        </w:tc>
        <w:tc>
          <w:tcPr>
            <w:tcW w:w="905" w:type="pct"/>
            <w:tcBorders>
              <w:top w:val="single" w:color="auto" w:sz="4" w:space="0"/>
              <w:left w:val="single" w:color="auto" w:sz="4" w:space="0"/>
              <w:bottom w:val="single" w:color="auto" w:sz="4" w:space="0"/>
              <w:right w:val="single" w:color="auto" w:sz="4" w:space="0"/>
            </w:tcBorders>
            <w:vAlign w:val="center"/>
          </w:tcPr>
          <w:p w14:paraId="21C8FE18">
            <w:pPr>
              <w:snapToGrid w:val="0"/>
              <w:spacing w:before="50" w:after="50"/>
              <w:jc w:val="center"/>
              <w:rPr>
                <w:rFonts w:ascii="宋体" w:hAnsi="宋体"/>
                <w:color w:val="auto"/>
                <w:szCs w:val="21"/>
                <w:highlight w:val="none"/>
              </w:rPr>
            </w:pPr>
            <w:r>
              <w:rPr>
                <w:rFonts w:hint="eastAsia" w:ascii="宋体" w:hAnsi="宋体"/>
                <w:color w:val="auto"/>
                <w:szCs w:val="21"/>
                <w:highlight w:val="none"/>
              </w:rPr>
              <w:t>货物名称</w:t>
            </w:r>
          </w:p>
        </w:tc>
        <w:tc>
          <w:tcPr>
            <w:tcW w:w="226" w:type="pct"/>
            <w:tcBorders>
              <w:top w:val="single" w:color="auto" w:sz="4" w:space="0"/>
              <w:left w:val="single" w:color="auto" w:sz="4" w:space="0"/>
              <w:bottom w:val="single" w:color="auto" w:sz="4" w:space="0"/>
              <w:right w:val="single" w:color="auto" w:sz="4" w:space="0"/>
            </w:tcBorders>
            <w:vAlign w:val="center"/>
          </w:tcPr>
          <w:p w14:paraId="718827A2">
            <w:pPr>
              <w:snapToGrid w:val="0"/>
              <w:spacing w:before="50" w:after="50"/>
              <w:jc w:val="center"/>
              <w:rPr>
                <w:rFonts w:ascii="宋体" w:hAnsi="宋体"/>
                <w:color w:val="auto"/>
                <w:szCs w:val="21"/>
                <w:highlight w:val="none"/>
              </w:rPr>
            </w:pPr>
            <w:r>
              <w:rPr>
                <w:rFonts w:hint="eastAsia" w:ascii="宋体" w:hAnsi="宋体"/>
                <w:color w:val="auto"/>
                <w:szCs w:val="21"/>
                <w:highlight w:val="none"/>
              </w:rPr>
              <w:t>单位</w:t>
            </w:r>
          </w:p>
        </w:tc>
        <w:tc>
          <w:tcPr>
            <w:tcW w:w="351" w:type="pct"/>
            <w:tcBorders>
              <w:top w:val="single" w:color="auto" w:sz="4" w:space="0"/>
              <w:left w:val="single" w:color="auto" w:sz="4" w:space="0"/>
              <w:bottom w:val="single" w:color="auto" w:sz="4" w:space="0"/>
              <w:right w:val="single" w:color="auto" w:sz="4" w:space="0"/>
            </w:tcBorders>
            <w:vAlign w:val="center"/>
          </w:tcPr>
          <w:p w14:paraId="4A8A17B4">
            <w:pPr>
              <w:snapToGrid w:val="0"/>
              <w:spacing w:before="50" w:after="50"/>
              <w:jc w:val="center"/>
              <w:rPr>
                <w:rFonts w:ascii="宋体" w:hAnsi="宋体"/>
                <w:color w:val="auto"/>
                <w:szCs w:val="21"/>
                <w:highlight w:val="none"/>
              </w:rPr>
            </w:pPr>
            <w:r>
              <w:rPr>
                <w:rFonts w:hint="eastAsia" w:ascii="宋体" w:hAnsi="宋体"/>
                <w:color w:val="auto"/>
                <w:szCs w:val="21"/>
                <w:highlight w:val="none"/>
              </w:rPr>
              <w:t>数量</w:t>
            </w:r>
          </w:p>
        </w:tc>
        <w:tc>
          <w:tcPr>
            <w:tcW w:w="446" w:type="pct"/>
            <w:tcBorders>
              <w:top w:val="single" w:color="auto" w:sz="4" w:space="0"/>
              <w:left w:val="single" w:color="auto" w:sz="4" w:space="0"/>
              <w:bottom w:val="single" w:color="auto" w:sz="4" w:space="0"/>
              <w:right w:val="single" w:color="auto" w:sz="4" w:space="0"/>
            </w:tcBorders>
            <w:vAlign w:val="center"/>
          </w:tcPr>
          <w:p w14:paraId="4EDFBBC8">
            <w:pPr>
              <w:snapToGrid w:val="0"/>
              <w:spacing w:before="50" w:after="50"/>
              <w:jc w:val="center"/>
              <w:rPr>
                <w:rFonts w:ascii="宋体" w:hAnsi="宋体"/>
                <w:color w:val="auto"/>
                <w:szCs w:val="21"/>
                <w:highlight w:val="none"/>
              </w:rPr>
            </w:pPr>
            <w:r>
              <w:rPr>
                <w:rFonts w:hint="eastAsia" w:ascii="宋体" w:hAnsi="宋体"/>
                <w:color w:val="auto"/>
                <w:szCs w:val="21"/>
                <w:highlight w:val="none"/>
              </w:rPr>
              <w:t>品牌</w:t>
            </w:r>
          </w:p>
        </w:tc>
        <w:tc>
          <w:tcPr>
            <w:tcW w:w="594" w:type="pct"/>
            <w:tcBorders>
              <w:top w:val="single" w:color="auto" w:sz="4" w:space="0"/>
              <w:left w:val="single" w:color="auto" w:sz="4" w:space="0"/>
              <w:bottom w:val="single" w:color="auto" w:sz="4" w:space="0"/>
              <w:right w:val="single" w:color="auto" w:sz="4" w:space="0"/>
            </w:tcBorders>
            <w:vAlign w:val="center"/>
          </w:tcPr>
          <w:p w14:paraId="0C72BE19">
            <w:pPr>
              <w:snapToGrid w:val="0"/>
              <w:spacing w:before="50" w:after="50"/>
              <w:jc w:val="center"/>
              <w:rPr>
                <w:rFonts w:ascii="宋体" w:hAnsi="宋体"/>
                <w:color w:val="auto"/>
                <w:szCs w:val="21"/>
                <w:highlight w:val="none"/>
              </w:rPr>
            </w:pPr>
            <w:r>
              <w:rPr>
                <w:rFonts w:hint="eastAsia" w:ascii="宋体" w:hAnsi="宋体"/>
                <w:color w:val="auto"/>
                <w:szCs w:val="21"/>
                <w:highlight w:val="none"/>
              </w:rPr>
              <w:t>规格型号</w:t>
            </w:r>
          </w:p>
        </w:tc>
        <w:tc>
          <w:tcPr>
            <w:tcW w:w="578" w:type="pct"/>
            <w:tcBorders>
              <w:top w:val="single" w:color="auto" w:sz="4" w:space="0"/>
              <w:left w:val="single" w:color="auto" w:sz="4" w:space="0"/>
              <w:bottom w:val="single" w:color="auto" w:sz="4" w:space="0"/>
              <w:right w:val="single" w:color="auto" w:sz="4" w:space="0"/>
            </w:tcBorders>
            <w:vAlign w:val="center"/>
          </w:tcPr>
          <w:p w14:paraId="77C59776">
            <w:pPr>
              <w:snapToGrid w:val="0"/>
              <w:spacing w:before="50" w:after="50"/>
              <w:jc w:val="center"/>
              <w:rPr>
                <w:rFonts w:ascii="宋体" w:hAnsi="宋体"/>
                <w:color w:val="auto"/>
                <w:szCs w:val="21"/>
                <w:highlight w:val="none"/>
              </w:rPr>
            </w:pPr>
            <w:r>
              <w:rPr>
                <w:rFonts w:hint="eastAsia" w:ascii="宋体" w:hAnsi="宋体"/>
                <w:color w:val="auto"/>
                <w:szCs w:val="21"/>
                <w:highlight w:val="none"/>
              </w:rPr>
              <w:t>制造商</w:t>
            </w:r>
          </w:p>
        </w:tc>
        <w:tc>
          <w:tcPr>
            <w:tcW w:w="563" w:type="pct"/>
            <w:tcBorders>
              <w:top w:val="single" w:color="auto" w:sz="4" w:space="0"/>
              <w:left w:val="single" w:color="auto" w:sz="4" w:space="0"/>
              <w:bottom w:val="single" w:color="auto" w:sz="4" w:space="0"/>
              <w:right w:val="single" w:color="auto" w:sz="4" w:space="0"/>
            </w:tcBorders>
            <w:vAlign w:val="center"/>
          </w:tcPr>
          <w:p w14:paraId="00DB263D">
            <w:pPr>
              <w:snapToGrid w:val="0"/>
              <w:spacing w:before="50" w:after="50"/>
              <w:jc w:val="center"/>
              <w:rPr>
                <w:rFonts w:ascii="宋体" w:hAnsi="宋体"/>
                <w:color w:val="auto"/>
                <w:szCs w:val="21"/>
                <w:highlight w:val="none"/>
              </w:rPr>
            </w:pPr>
            <w:r>
              <w:rPr>
                <w:rFonts w:hint="eastAsia" w:ascii="宋体" w:hAnsi="宋体"/>
                <w:color w:val="auto"/>
                <w:szCs w:val="21"/>
                <w:highlight w:val="none"/>
              </w:rPr>
              <w:t>原产地</w:t>
            </w:r>
          </w:p>
        </w:tc>
        <w:tc>
          <w:tcPr>
            <w:tcW w:w="1085" w:type="pct"/>
            <w:tcBorders>
              <w:top w:val="single" w:color="auto" w:sz="4" w:space="0"/>
              <w:left w:val="single" w:color="auto" w:sz="4" w:space="0"/>
              <w:bottom w:val="single" w:color="auto" w:sz="4" w:space="0"/>
              <w:right w:val="single" w:color="auto" w:sz="4" w:space="0"/>
            </w:tcBorders>
            <w:vAlign w:val="center"/>
          </w:tcPr>
          <w:p w14:paraId="3C31E609">
            <w:pPr>
              <w:snapToGrid w:val="0"/>
              <w:spacing w:before="50" w:after="50"/>
              <w:jc w:val="center"/>
              <w:rPr>
                <w:rFonts w:ascii="宋体" w:hAnsi="宋体"/>
                <w:color w:val="auto"/>
                <w:szCs w:val="21"/>
                <w:highlight w:val="none"/>
              </w:rPr>
            </w:pPr>
            <w:r>
              <w:rPr>
                <w:rFonts w:hint="eastAsia" w:ascii="宋体" w:hAnsi="宋体"/>
                <w:color w:val="auto"/>
                <w:szCs w:val="21"/>
                <w:highlight w:val="none"/>
              </w:rPr>
              <w:t>技术参数及性能配置</w:t>
            </w:r>
          </w:p>
        </w:tc>
      </w:tr>
      <w:tr w14:paraId="54FB4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47" w:type="pct"/>
            <w:tcBorders>
              <w:top w:val="single" w:color="auto" w:sz="4" w:space="0"/>
              <w:left w:val="single" w:color="auto" w:sz="4" w:space="0"/>
              <w:right w:val="single" w:color="auto" w:sz="4" w:space="0"/>
            </w:tcBorders>
            <w:vAlign w:val="center"/>
          </w:tcPr>
          <w:p w14:paraId="10205FDB">
            <w:pPr>
              <w:snapToGrid w:val="0"/>
              <w:spacing w:before="50" w:after="50"/>
              <w:jc w:val="center"/>
              <w:rPr>
                <w:rFonts w:ascii="宋体" w:hAnsi="宋体"/>
                <w:color w:val="auto"/>
                <w:szCs w:val="21"/>
                <w:highlight w:val="none"/>
              </w:rPr>
            </w:pPr>
            <w:r>
              <w:rPr>
                <w:rFonts w:hint="eastAsia" w:ascii="宋体" w:hAnsi="宋体"/>
                <w:color w:val="auto"/>
                <w:szCs w:val="21"/>
                <w:highlight w:val="none"/>
              </w:rPr>
              <w:t>1</w:t>
            </w:r>
          </w:p>
        </w:tc>
        <w:tc>
          <w:tcPr>
            <w:tcW w:w="905" w:type="pct"/>
            <w:tcBorders>
              <w:top w:val="single" w:color="auto" w:sz="4" w:space="0"/>
              <w:left w:val="single" w:color="auto" w:sz="4" w:space="0"/>
              <w:bottom w:val="single" w:color="auto" w:sz="4" w:space="0"/>
              <w:right w:val="single" w:color="auto" w:sz="4" w:space="0"/>
            </w:tcBorders>
            <w:vAlign w:val="center"/>
          </w:tcPr>
          <w:p w14:paraId="1F74BB4F">
            <w:pPr>
              <w:widowControl/>
              <w:jc w:val="center"/>
              <w:textAlignment w:val="center"/>
              <w:rPr>
                <w:rFonts w:ascii="宋体" w:hAnsi="宋体"/>
                <w:color w:val="auto"/>
                <w:szCs w:val="21"/>
                <w:highlight w:val="none"/>
              </w:rPr>
            </w:pPr>
          </w:p>
        </w:tc>
        <w:tc>
          <w:tcPr>
            <w:tcW w:w="226" w:type="pct"/>
            <w:tcBorders>
              <w:top w:val="single" w:color="auto" w:sz="4" w:space="0"/>
              <w:left w:val="single" w:color="auto" w:sz="4" w:space="0"/>
              <w:bottom w:val="single" w:color="auto" w:sz="4" w:space="0"/>
              <w:right w:val="single" w:color="auto" w:sz="4" w:space="0"/>
            </w:tcBorders>
            <w:vAlign w:val="center"/>
          </w:tcPr>
          <w:p w14:paraId="27877978">
            <w:pPr>
              <w:widowControl/>
              <w:jc w:val="center"/>
              <w:textAlignment w:val="center"/>
              <w:rPr>
                <w:rFonts w:ascii="宋体" w:hAnsi="宋体"/>
                <w:color w:val="auto"/>
                <w:szCs w:val="21"/>
                <w:highlight w:val="none"/>
              </w:rPr>
            </w:pPr>
          </w:p>
        </w:tc>
        <w:tc>
          <w:tcPr>
            <w:tcW w:w="351" w:type="pct"/>
            <w:tcBorders>
              <w:top w:val="single" w:color="auto" w:sz="4" w:space="0"/>
              <w:left w:val="single" w:color="auto" w:sz="4" w:space="0"/>
              <w:bottom w:val="single" w:color="auto" w:sz="4" w:space="0"/>
              <w:right w:val="single" w:color="auto" w:sz="4" w:space="0"/>
            </w:tcBorders>
            <w:vAlign w:val="center"/>
          </w:tcPr>
          <w:p w14:paraId="3476AD1A">
            <w:pPr>
              <w:widowControl/>
              <w:jc w:val="center"/>
              <w:textAlignment w:val="center"/>
              <w:rPr>
                <w:rFonts w:ascii="宋体" w:hAnsi="宋体"/>
                <w:color w:val="auto"/>
                <w:szCs w:val="21"/>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14:paraId="29EC6CBE">
            <w:pPr>
              <w:snapToGrid w:val="0"/>
              <w:spacing w:before="50" w:after="50"/>
              <w:jc w:val="center"/>
              <w:rPr>
                <w:rFonts w:ascii="宋体" w:hAnsi="宋体"/>
                <w:color w:val="auto"/>
                <w:szCs w:val="21"/>
                <w:highlight w:val="none"/>
              </w:rPr>
            </w:pPr>
          </w:p>
        </w:tc>
        <w:tc>
          <w:tcPr>
            <w:tcW w:w="594" w:type="pct"/>
            <w:tcBorders>
              <w:top w:val="single" w:color="auto" w:sz="4" w:space="0"/>
              <w:left w:val="single" w:color="auto" w:sz="4" w:space="0"/>
              <w:bottom w:val="single" w:color="auto" w:sz="4" w:space="0"/>
              <w:right w:val="single" w:color="auto" w:sz="4" w:space="0"/>
            </w:tcBorders>
          </w:tcPr>
          <w:p w14:paraId="7DDCA39D">
            <w:pPr>
              <w:snapToGrid w:val="0"/>
              <w:spacing w:before="50" w:after="50"/>
              <w:jc w:val="center"/>
              <w:rPr>
                <w:rFonts w:ascii="宋体" w:hAnsi="宋体"/>
                <w:color w:val="auto"/>
                <w:szCs w:val="21"/>
                <w:highlight w:val="none"/>
              </w:rPr>
            </w:pPr>
          </w:p>
        </w:tc>
        <w:tc>
          <w:tcPr>
            <w:tcW w:w="578" w:type="pct"/>
            <w:tcBorders>
              <w:top w:val="single" w:color="auto" w:sz="4" w:space="0"/>
              <w:left w:val="single" w:color="auto" w:sz="4" w:space="0"/>
              <w:bottom w:val="single" w:color="auto" w:sz="4" w:space="0"/>
              <w:right w:val="single" w:color="auto" w:sz="4" w:space="0"/>
            </w:tcBorders>
            <w:vAlign w:val="center"/>
          </w:tcPr>
          <w:p w14:paraId="67285F6F">
            <w:pPr>
              <w:snapToGrid w:val="0"/>
              <w:spacing w:before="50" w:after="50"/>
              <w:jc w:val="center"/>
              <w:rPr>
                <w:rFonts w:ascii="宋体" w:hAnsi="宋体"/>
                <w:color w:val="auto"/>
                <w:szCs w:val="21"/>
                <w:highlight w:val="none"/>
              </w:rPr>
            </w:pPr>
          </w:p>
        </w:tc>
        <w:tc>
          <w:tcPr>
            <w:tcW w:w="563" w:type="pct"/>
            <w:tcBorders>
              <w:top w:val="single" w:color="auto" w:sz="4" w:space="0"/>
              <w:left w:val="single" w:color="auto" w:sz="4" w:space="0"/>
              <w:bottom w:val="single" w:color="auto" w:sz="4" w:space="0"/>
              <w:right w:val="single" w:color="auto" w:sz="4" w:space="0"/>
            </w:tcBorders>
            <w:vAlign w:val="center"/>
          </w:tcPr>
          <w:p w14:paraId="03DBD8F5">
            <w:pPr>
              <w:snapToGrid w:val="0"/>
              <w:spacing w:before="50" w:after="50"/>
              <w:jc w:val="center"/>
              <w:rPr>
                <w:rFonts w:ascii="宋体" w:hAnsi="宋体"/>
                <w:color w:val="auto"/>
                <w:szCs w:val="21"/>
                <w:highlight w:val="none"/>
              </w:rPr>
            </w:pPr>
          </w:p>
        </w:tc>
        <w:tc>
          <w:tcPr>
            <w:tcW w:w="1085" w:type="pct"/>
            <w:tcBorders>
              <w:top w:val="single" w:color="auto" w:sz="4" w:space="0"/>
              <w:left w:val="single" w:color="auto" w:sz="4" w:space="0"/>
              <w:bottom w:val="single" w:color="auto" w:sz="4" w:space="0"/>
              <w:right w:val="single" w:color="auto" w:sz="4" w:space="0"/>
            </w:tcBorders>
            <w:vAlign w:val="center"/>
          </w:tcPr>
          <w:p w14:paraId="4D02491A">
            <w:pPr>
              <w:snapToGrid w:val="0"/>
              <w:spacing w:before="50" w:after="50"/>
              <w:jc w:val="center"/>
              <w:rPr>
                <w:rFonts w:ascii="宋体" w:hAnsi="宋体"/>
                <w:color w:val="auto"/>
                <w:szCs w:val="21"/>
                <w:highlight w:val="none"/>
              </w:rPr>
            </w:pPr>
          </w:p>
        </w:tc>
      </w:tr>
      <w:tr w14:paraId="0B1B0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14:paraId="6C0B33CF">
            <w:pPr>
              <w:snapToGrid w:val="0"/>
              <w:spacing w:before="50" w:after="50"/>
              <w:jc w:val="center"/>
              <w:rPr>
                <w:rFonts w:ascii="宋体" w:hAnsi="宋体"/>
                <w:color w:val="auto"/>
                <w:szCs w:val="21"/>
                <w:highlight w:val="none"/>
              </w:rPr>
            </w:pPr>
            <w:r>
              <w:rPr>
                <w:rFonts w:hint="eastAsia" w:ascii="宋体" w:hAnsi="宋体"/>
                <w:color w:val="auto"/>
                <w:szCs w:val="21"/>
                <w:highlight w:val="none"/>
              </w:rPr>
              <w:t>2</w:t>
            </w:r>
          </w:p>
        </w:tc>
        <w:tc>
          <w:tcPr>
            <w:tcW w:w="905" w:type="pct"/>
            <w:tcBorders>
              <w:top w:val="single" w:color="auto" w:sz="4" w:space="0"/>
              <w:left w:val="single" w:color="auto" w:sz="4" w:space="0"/>
              <w:bottom w:val="single" w:color="auto" w:sz="4" w:space="0"/>
              <w:right w:val="single" w:color="auto" w:sz="4" w:space="0"/>
            </w:tcBorders>
            <w:vAlign w:val="center"/>
          </w:tcPr>
          <w:p w14:paraId="4C8732D8">
            <w:pPr>
              <w:widowControl/>
              <w:jc w:val="center"/>
              <w:textAlignment w:val="center"/>
              <w:rPr>
                <w:rFonts w:ascii="宋体" w:hAnsi="宋体"/>
                <w:color w:val="auto"/>
                <w:kern w:val="0"/>
                <w:szCs w:val="21"/>
                <w:highlight w:val="none"/>
              </w:rPr>
            </w:pPr>
          </w:p>
        </w:tc>
        <w:tc>
          <w:tcPr>
            <w:tcW w:w="226" w:type="pct"/>
            <w:tcBorders>
              <w:top w:val="single" w:color="auto" w:sz="4" w:space="0"/>
              <w:left w:val="single" w:color="auto" w:sz="4" w:space="0"/>
              <w:bottom w:val="single" w:color="auto" w:sz="4" w:space="0"/>
              <w:right w:val="single" w:color="auto" w:sz="4" w:space="0"/>
            </w:tcBorders>
            <w:vAlign w:val="center"/>
          </w:tcPr>
          <w:p w14:paraId="4E8CD63D">
            <w:pPr>
              <w:widowControl/>
              <w:jc w:val="center"/>
              <w:textAlignment w:val="center"/>
              <w:rPr>
                <w:rFonts w:ascii="宋体" w:hAnsi="宋体"/>
                <w:color w:val="auto"/>
                <w:szCs w:val="21"/>
                <w:highlight w:val="none"/>
              </w:rPr>
            </w:pPr>
          </w:p>
        </w:tc>
        <w:tc>
          <w:tcPr>
            <w:tcW w:w="351" w:type="pct"/>
            <w:tcBorders>
              <w:top w:val="single" w:color="auto" w:sz="4" w:space="0"/>
              <w:left w:val="single" w:color="auto" w:sz="4" w:space="0"/>
              <w:bottom w:val="single" w:color="auto" w:sz="4" w:space="0"/>
              <w:right w:val="single" w:color="auto" w:sz="4" w:space="0"/>
            </w:tcBorders>
            <w:vAlign w:val="center"/>
          </w:tcPr>
          <w:p w14:paraId="67E1489D">
            <w:pPr>
              <w:widowControl/>
              <w:jc w:val="center"/>
              <w:textAlignment w:val="center"/>
              <w:rPr>
                <w:rFonts w:ascii="宋体" w:hAnsi="宋体"/>
                <w:color w:val="auto"/>
                <w:szCs w:val="21"/>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14:paraId="2EA6E337">
            <w:pPr>
              <w:snapToGrid w:val="0"/>
              <w:spacing w:before="50" w:after="50"/>
              <w:jc w:val="center"/>
              <w:rPr>
                <w:rFonts w:ascii="宋体" w:hAnsi="宋体"/>
                <w:color w:val="auto"/>
                <w:szCs w:val="21"/>
                <w:highlight w:val="none"/>
              </w:rPr>
            </w:pPr>
          </w:p>
        </w:tc>
        <w:tc>
          <w:tcPr>
            <w:tcW w:w="594" w:type="pct"/>
            <w:tcBorders>
              <w:top w:val="single" w:color="auto" w:sz="4" w:space="0"/>
              <w:left w:val="single" w:color="auto" w:sz="4" w:space="0"/>
              <w:bottom w:val="single" w:color="auto" w:sz="4" w:space="0"/>
              <w:right w:val="single" w:color="auto" w:sz="4" w:space="0"/>
            </w:tcBorders>
          </w:tcPr>
          <w:p w14:paraId="7FF6C6BE">
            <w:pPr>
              <w:snapToGrid w:val="0"/>
              <w:spacing w:before="50" w:after="50"/>
              <w:jc w:val="center"/>
              <w:rPr>
                <w:rFonts w:ascii="宋体" w:hAnsi="宋体"/>
                <w:color w:val="auto"/>
                <w:szCs w:val="21"/>
                <w:highlight w:val="none"/>
              </w:rPr>
            </w:pPr>
          </w:p>
        </w:tc>
        <w:tc>
          <w:tcPr>
            <w:tcW w:w="578" w:type="pct"/>
            <w:tcBorders>
              <w:top w:val="single" w:color="auto" w:sz="4" w:space="0"/>
              <w:left w:val="single" w:color="auto" w:sz="4" w:space="0"/>
              <w:bottom w:val="single" w:color="auto" w:sz="4" w:space="0"/>
              <w:right w:val="single" w:color="auto" w:sz="4" w:space="0"/>
            </w:tcBorders>
            <w:vAlign w:val="center"/>
          </w:tcPr>
          <w:p w14:paraId="2D1EC980">
            <w:pPr>
              <w:snapToGrid w:val="0"/>
              <w:spacing w:before="50" w:after="50"/>
              <w:jc w:val="center"/>
              <w:rPr>
                <w:rFonts w:ascii="宋体" w:hAnsi="宋体"/>
                <w:color w:val="auto"/>
                <w:szCs w:val="21"/>
                <w:highlight w:val="none"/>
              </w:rPr>
            </w:pPr>
          </w:p>
        </w:tc>
        <w:tc>
          <w:tcPr>
            <w:tcW w:w="563" w:type="pct"/>
            <w:tcBorders>
              <w:top w:val="single" w:color="auto" w:sz="4" w:space="0"/>
              <w:left w:val="single" w:color="auto" w:sz="4" w:space="0"/>
              <w:bottom w:val="single" w:color="auto" w:sz="4" w:space="0"/>
              <w:right w:val="single" w:color="auto" w:sz="4" w:space="0"/>
            </w:tcBorders>
            <w:vAlign w:val="center"/>
          </w:tcPr>
          <w:p w14:paraId="785C57F6">
            <w:pPr>
              <w:snapToGrid w:val="0"/>
              <w:spacing w:before="50" w:after="50"/>
              <w:jc w:val="center"/>
              <w:rPr>
                <w:rFonts w:ascii="宋体" w:hAnsi="宋体"/>
                <w:color w:val="auto"/>
                <w:szCs w:val="21"/>
                <w:highlight w:val="none"/>
              </w:rPr>
            </w:pPr>
          </w:p>
        </w:tc>
        <w:tc>
          <w:tcPr>
            <w:tcW w:w="1085" w:type="pct"/>
            <w:tcBorders>
              <w:top w:val="single" w:color="auto" w:sz="4" w:space="0"/>
              <w:left w:val="single" w:color="auto" w:sz="4" w:space="0"/>
              <w:bottom w:val="single" w:color="auto" w:sz="4" w:space="0"/>
              <w:right w:val="single" w:color="auto" w:sz="4" w:space="0"/>
            </w:tcBorders>
            <w:vAlign w:val="center"/>
          </w:tcPr>
          <w:p w14:paraId="319B1543">
            <w:pPr>
              <w:snapToGrid w:val="0"/>
              <w:spacing w:before="50" w:after="50"/>
              <w:jc w:val="center"/>
              <w:rPr>
                <w:rFonts w:ascii="宋体" w:hAnsi="宋体"/>
                <w:color w:val="auto"/>
                <w:szCs w:val="21"/>
                <w:highlight w:val="none"/>
              </w:rPr>
            </w:pPr>
          </w:p>
        </w:tc>
      </w:tr>
      <w:tr w14:paraId="7CC08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47" w:type="pct"/>
            <w:tcBorders>
              <w:top w:val="single" w:color="auto" w:sz="4" w:space="0"/>
              <w:left w:val="single" w:color="auto" w:sz="4" w:space="0"/>
              <w:bottom w:val="single" w:color="auto" w:sz="4" w:space="0"/>
              <w:right w:val="single" w:color="auto" w:sz="4" w:space="0"/>
            </w:tcBorders>
            <w:vAlign w:val="center"/>
          </w:tcPr>
          <w:p w14:paraId="2B2E394B">
            <w:pPr>
              <w:snapToGrid w:val="0"/>
              <w:spacing w:before="50" w:after="50"/>
              <w:jc w:val="center"/>
              <w:rPr>
                <w:rFonts w:ascii="宋体" w:hAnsi="宋体"/>
                <w:color w:val="auto"/>
                <w:szCs w:val="21"/>
                <w:highlight w:val="none"/>
              </w:rPr>
            </w:pPr>
            <w:r>
              <w:rPr>
                <w:rFonts w:hint="eastAsia" w:ascii="宋体" w:hAnsi="宋体"/>
                <w:color w:val="auto"/>
                <w:szCs w:val="21"/>
                <w:highlight w:val="none"/>
              </w:rPr>
              <w:t>……</w:t>
            </w:r>
          </w:p>
        </w:tc>
        <w:tc>
          <w:tcPr>
            <w:tcW w:w="905" w:type="pct"/>
            <w:tcBorders>
              <w:top w:val="single" w:color="auto" w:sz="4" w:space="0"/>
              <w:left w:val="single" w:color="auto" w:sz="4" w:space="0"/>
              <w:bottom w:val="single" w:color="auto" w:sz="4" w:space="0"/>
              <w:right w:val="single" w:color="auto" w:sz="4" w:space="0"/>
            </w:tcBorders>
            <w:vAlign w:val="center"/>
          </w:tcPr>
          <w:p w14:paraId="0376EC9C">
            <w:pPr>
              <w:widowControl/>
              <w:jc w:val="center"/>
              <w:textAlignment w:val="center"/>
              <w:rPr>
                <w:rFonts w:ascii="宋体" w:hAnsi="宋体"/>
                <w:color w:val="auto"/>
                <w:kern w:val="0"/>
                <w:szCs w:val="21"/>
                <w:highlight w:val="none"/>
              </w:rPr>
            </w:pPr>
          </w:p>
        </w:tc>
        <w:tc>
          <w:tcPr>
            <w:tcW w:w="226" w:type="pct"/>
            <w:tcBorders>
              <w:top w:val="single" w:color="auto" w:sz="4" w:space="0"/>
              <w:left w:val="single" w:color="auto" w:sz="4" w:space="0"/>
              <w:bottom w:val="single" w:color="auto" w:sz="4" w:space="0"/>
              <w:right w:val="single" w:color="auto" w:sz="4" w:space="0"/>
            </w:tcBorders>
            <w:vAlign w:val="center"/>
          </w:tcPr>
          <w:p w14:paraId="377592BA">
            <w:pPr>
              <w:widowControl/>
              <w:jc w:val="center"/>
              <w:textAlignment w:val="center"/>
              <w:rPr>
                <w:rFonts w:ascii="宋体" w:hAnsi="宋体"/>
                <w:color w:val="auto"/>
                <w:szCs w:val="21"/>
                <w:highlight w:val="none"/>
              </w:rPr>
            </w:pPr>
          </w:p>
        </w:tc>
        <w:tc>
          <w:tcPr>
            <w:tcW w:w="351" w:type="pct"/>
            <w:tcBorders>
              <w:top w:val="single" w:color="auto" w:sz="4" w:space="0"/>
              <w:left w:val="single" w:color="auto" w:sz="4" w:space="0"/>
              <w:bottom w:val="single" w:color="auto" w:sz="4" w:space="0"/>
              <w:right w:val="single" w:color="auto" w:sz="4" w:space="0"/>
            </w:tcBorders>
            <w:vAlign w:val="center"/>
          </w:tcPr>
          <w:p w14:paraId="468EE0D1">
            <w:pPr>
              <w:widowControl/>
              <w:jc w:val="center"/>
              <w:textAlignment w:val="center"/>
              <w:rPr>
                <w:rFonts w:ascii="宋体" w:hAnsi="宋体"/>
                <w:color w:val="auto"/>
                <w:szCs w:val="21"/>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14:paraId="66B43837">
            <w:pPr>
              <w:snapToGrid w:val="0"/>
              <w:spacing w:before="50" w:after="50"/>
              <w:jc w:val="center"/>
              <w:rPr>
                <w:rFonts w:ascii="宋体" w:hAnsi="宋体"/>
                <w:color w:val="auto"/>
                <w:szCs w:val="21"/>
                <w:highlight w:val="none"/>
              </w:rPr>
            </w:pPr>
          </w:p>
        </w:tc>
        <w:tc>
          <w:tcPr>
            <w:tcW w:w="594" w:type="pct"/>
            <w:tcBorders>
              <w:top w:val="single" w:color="auto" w:sz="4" w:space="0"/>
              <w:left w:val="single" w:color="auto" w:sz="4" w:space="0"/>
              <w:bottom w:val="single" w:color="auto" w:sz="4" w:space="0"/>
              <w:right w:val="single" w:color="auto" w:sz="4" w:space="0"/>
            </w:tcBorders>
          </w:tcPr>
          <w:p w14:paraId="5D123DC0">
            <w:pPr>
              <w:snapToGrid w:val="0"/>
              <w:spacing w:before="50" w:after="50"/>
              <w:jc w:val="center"/>
              <w:rPr>
                <w:rFonts w:ascii="宋体" w:hAnsi="宋体"/>
                <w:color w:val="auto"/>
                <w:szCs w:val="21"/>
                <w:highlight w:val="none"/>
              </w:rPr>
            </w:pPr>
          </w:p>
        </w:tc>
        <w:tc>
          <w:tcPr>
            <w:tcW w:w="578" w:type="pct"/>
            <w:tcBorders>
              <w:top w:val="single" w:color="auto" w:sz="4" w:space="0"/>
              <w:left w:val="single" w:color="auto" w:sz="4" w:space="0"/>
              <w:bottom w:val="single" w:color="auto" w:sz="4" w:space="0"/>
              <w:right w:val="single" w:color="auto" w:sz="4" w:space="0"/>
            </w:tcBorders>
            <w:vAlign w:val="center"/>
          </w:tcPr>
          <w:p w14:paraId="2E7B8865">
            <w:pPr>
              <w:snapToGrid w:val="0"/>
              <w:spacing w:before="50" w:after="50"/>
              <w:jc w:val="center"/>
              <w:rPr>
                <w:rFonts w:ascii="宋体" w:hAnsi="宋体"/>
                <w:color w:val="auto"/>
                <w:szCs w:val="21"/>
                <w:highlight w:val="none"/>
              </w:rPr>
            </w:pPr>
          </w:p>
        </w:tc>
        <w:tc>
          <w:tcPr>
            <w:tcW w:w="563" w:type="pct"/>
            <w:tcBorders>
              <w:top w:val="single" w:color="auto" w:sz="4" w:space="0"/>
              <w:left w:val="single" w:color="auto" w:sz="4" w:space="0"/>
              <w:bottom w:val="single" w:color="auto" w:sz="4" w:space="0"/>
              <w:right w:val="single" w:color="auto" w:sz="4" w:space="0"/>
            </w:tcBorders>
            <w:vAlign w:val="center"/>
          </w:tcPr>
          <w:p w14:paraId="3C48EF83">
            <w:pPr>
              <w:snapToGrid w:val="0"/>
              <w:spacing w:before="50" w:after="50"/>
              <w:jc w:val="center"/>
              <w:rPr>
                <w:rFonts w:ascii="宋体" w:hAnsi="宋体"/>
                <w:color w:val="auto"/>
                <w:szCs w:val="21"/>
                <w:highlight w:val="none"/>
              </w:rPr>
            </w:pPr>
          </w:p>
        </w:tc>
        <w:tc>
          <w:tcPr>
            <w:tcW w:w="1085" w:type="pct"/>
            <w:tcBorders>
              <w:top w:val="single" w:color="auto" w:sz="4" w:space="0"/>
              <w:left w:val="single" w:color="auto" w:sz="4" w:space="0"/>
              <w:bottom w:val="single" w:color="auto" w:sz="4" w:space="0"/>
              <w:right w:val="single" w:color="auto" w:sz="4" w:space="0"/>
            </w:tcBorders>
            <w:vAlign w:val="center"/>
          </w:tcPr>
          <w:p w14:paraId="4D654267">
            <w:pPr>
              <w:snapToGrid w:val="0"/>
              <w:spacing w:before="50" w:after="50"/>
              <w:jc w:val="center"/>
              <w:rPr>
                <w:rFonts w:ascii="宋体" w:hAnsi="宋体"/>
                <w:color w:val="auto"/>
                <w:szCs w:val="21"/>
                <w:highlight w:val="none"/>
              </w:rPr>
            </w:pPr>
          </w:p>
        </w:tc>
      </w:tr>
    </w:tbl>
    <w:p w14:paraId="648CD903">
      <w:pPr>
        <w:contextualSpacing/>
        <w:rPr>
          <w:rFonts w:ascii="宋体" w:hAnsi="宋体"/>
          <w:color w:val="auto"/>
          <w:szCs w:val="21"/>
          <w:highlight w:val="none"/>
        </w:rPr>
      </w:pPr>
      <w:r>
        <w:rPr>
          <w:rFonts w:hint="eastAsia" w:ascii="宋体" w:hAnsi="宋体"/>
          <w:color w:val="auto"/>
          <w:szCs w:val="21"/>
          <w:highlight w:val="none"/>
        </w:rPr>
        <w:t>备注：</w:t>
      </w:r>
      <w:r>
        <w:rPr>
          <w:rFonts w:hint="eastAsia" w:ascii="宋体" w:hAnsi="宋体"/>
          <w:b/>
          <w:bCs/>
          <w:color w:val="auto"/>
          <w:szCs w:val="21"/>
          <w:highlight w:val="none"/>
        </w:rPr>
        <w:t>以上货物配置清单中“货物名称、数量及单位、品牌、规格型号、制造商、原产地、技术参数及性能配置”必须如实填写完整，品牌、规格型号没有则填无，填写有缺漏的，响应文件按无效响应处理</w:t>
      </w:r>
      <w:r>
        <w:rPr>
          <w:rFonts w:hint="eastAsia" w:ascii="宋体" w:hAnsi="宋体"/>
          <w:b/>
          <w:color w:val="auto"/>
          <w:szCs w:val="21"/>
          <w:highlight w:val="none"/>
        </w:rPr>
        <w:t>。</w:t>
      </w:r>
      <w:r>
        <w:rPr>
          <w:rFonts w:hint="eastAsia" w:ascii="宋体" w:hAnsi="宋体"/>
          <w:color w:val="auto"/>
          <w:szCs w:val="21"/>
          <w:highlight w:val="none"/>
        </w:rPr>
        <w:t>货物名称、数量及单位、品牌必须与“竞标报价表”一致，</w:t>
      </w:r>
      <w:r>
        <w:rPr>
          <w:rFonts w:hint="eastAsia" w:ascii="宋体" w:hAnsi="宋体"/>
          <w:bCs/>
          <w:color w:val="auto"/>
          <w:szCs w:val="21"/>
          <w:highlight w:val="none"/>
        </w:rPr>
        <w:t>否则响应文件按无效响应处理</w:t>
      </w:r>
      <w:r>
        <w:rPr>
          <w:rFonts w:hint="eastAsia" w:ascii="宋体" w:hAnsi="宋体"/>
          <w:b/>
          <w:color w:val="auto"/>
          <w:szCs w:val="21"/>
          <w:highlight w:val="none"/>
        </w:rPr>
        <w:t>。</w:t>
      </w:r>
      <w:r>
        <w:rPr>
          <w:rFonts w:hint="eastAsia" w:ascii="宋体" w:hAnsi="宋体"/>
          <w:color w:val="auto"/>
          <w:szCs w:val="21"/>
          <w:highlight w:val="none"/>
        </w:rPr>
        <w:tab/>
      </w:r>
    </w:p>
    <w:p w14:paraId="24A64991">
      <w:pPr>
        <w:pStyle w:val="7"/>
        <w:rPr>
          <w:rFonts w:ascii="宋体" w:hAnsi="宋体" w:cs="宋体"/>
          <w:color w:val="auto"/>
          <w:szCs w:val="21"/>
          <w:highlight w:val="none"/>
        </w:rPr>
      </w:pPr>
    </w:p>
    <w:p w14:paraId="44450EC8">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法定代表人或授权代表签字或盖章：        </w:t>
      </w:r>
    </w:p>
    <w:p w14:paraId="74CEE17B">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项目联系人及电话：                                </w:t>
      </w:r>
    </w:p>
    <w:p w14:paraId="73FDE12D">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报价供应商名称（签章）：                          </w:t>
      </w:r>
    </w:p>
    <w:p w14:paraId="26D2FA1F">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报价日期：      年     月  日</w:t>
      </w:r>
    </w:p>
    <w:p w14:paraId="28BFD44F">
      <w:pPr>
        <w:rPr>
          <w:color w:val="auto"/>
          <w:highlight w:val="none"/>
        </w:rPr>
      </w:pPr>
    </w:p>
    <w:p w14:paraId="6FA00A25">
      <w:pPr>
        <w:pStyle w:val="3"/>
        <w:rPr>
          <w:rFonts w:hint="eastAsia" w:ascii="黑体" w:hAnsi="黑体" w:eastAsia="黑体" w:cs="黑体"/>
          <w:color w:val="auto"/>
          <w:sz w:val="36"/>
          <w:szCs w:val="36"/>
          <w:highlight w:val="none"/>
        </w:rPr>
      </w:pPr>
    </w:p>
    <w:bookmarkEnd w:id="3"/>
    <w:p w14:paraId="1C5AB2C2">
      <w:pPr>
        <w:jc w:val="left"/>
        <w:rPr>
          <w:rFonts w:hint="eastAsia" w:ascii="仿宋" w:hAnsi="仿宋" w:eastAsia="仿宋" w:cs="仿宋"/>
          <w:b/>
          <w:color w:val="auto"/>
          <w:sz w:val="24"/>
          <w:szCs w:val="24"/>
          <w:highlight w:val="none"/>
        </w:rPr>
      </w:pPr>
    </w:p>
    <w:p w14:paraId="5CAF6C49">
      <w:pPr>
        <w:jc w:val="left"/>
        <w:rPr>
          <w:rFonts w:hint="eastAsia" w:ascii="仿宋" w:hAnsi="仿宋" w:eastAsia="仿宋" w:cs="仿宋"/>
          <w:b/>
          <w:color w:val="auto"/>
          <w:sz w:val="24"/>
          <w:szCs w:val="24"/>
          <w:highlight w:val="none"/>
        </w:rPr>
      </w:pPr>
    </w:p>
    <w:p w14:paraId="4236CB77">
      <w:pPr>
        <w:jc w:val="left"/>
        <w:rPr>
          <w:rFonts w:hint="eastAsia" w:ascii="仿宋" w:hAnsi="仿宋" w:eastAsia="仿宋" w:cs="仿宋"/>
          <w:b/>
          <w:color w:val="auto"/>
          <w:sz w:val="24"/>
          <w:szCs w:val="24"/>
          <w:highlight w:val="none"/>
        </w:rPr>
      </w:pPr>
    </w:p>
    <w:p w14:paraId="3614B95F">
      <w:pPr>
        <w:jc w:val="left"/>
        <w:rPr>
          <w:rFonts w:hint="eastAsia" w:ascii="仿宋" w:hAnsi="仿宋" w:eastAsia="仿宋" w:cs="仿宋"/>
          <w:b/>
          <w:color w:val="auto"/>
          <w:sz w:val="24"/>
          <w:szCs w:val="24"/>
          <w:highlight w:val="none"/>
        </w:rPr>
      </w:pPr>
    </w:p>
    <w:p w14:paraId="6110A14C">
      <w:pPr>
        <w:jc w:val="left"/>
        <w:rPr>
          <w:rFonts w:hint="eastAsia" w:ascii="仿宋" w:hAnsi="仿宋" w:eastAsia="仿宋" w:cs="仿宋"/>
          <w:b/>
          <w:color w:val="auto"/>
          <w:sz w:val="24"/>
          <w:szCs w:val="24"/>
          <w:highlight w:val="none"/>
        </w:rPr>
      </w:pPr>
    </w:p>
    <w:p w14:paraId="6C84A5E0">
      <w:pPr>
        <w:jc w:val="left"/>
        <w:rPr>
          <w:rFonts w:hint="eastAsia" w:ascii="仿宋" w:hAnsi="仿宋" w:eastAsia="仿宋" w:cs="仿宋"/>
          <w:b/>
          <w:color w:val="auto"/>
          <w:sz w:val="24"/>
          <w:szCs w:val="24"/>
          <w:highlight w:val="none"/>
        </w:rPr>
      </w:pPr>
    </w:p>
    <w:p w14:paraId="2E00E2A9">
      <w:pPr>
        <w:jc w:val="left"/>
        <w:rPr>
          <w:rFonts w:hint="eastAsia" w:ascii="仿宋" w:hAnsi="仿宋" w:eastAsia="仿宋" w:cs="仿宋"/>
          <w:b/>
          <w:color w:val="auto"/>
          <w:sz w:val="24"/>
          <w:szCs w:val="24"/>
          <w:highlight w:val="none"/>
        </w:rPr>
      </w:pPr>
    </w:p>
    <w:p w14:paraId="20C2617B">
      <w:pPr>
        <w:jc w:val="left"/>
        <w:rPr>
          <w:rFonts w:hint="eastAsia" w:ascii="仿宋" w:hAnsi="仿宋" w:eastAsia="仿宋" w:cs="仿宋"/>
          <w:b/>
          <w:color w:val="auto"/>
          <w:sz w:val="24"/>
          <w:szCs w:val="24"/>
          <w:highlight w:val="none"/>
        </w:rPr>
      </w:pPr>
    </w:p>
    <w:p w14:paraId="5A519960">
      <w:pPr>
        <w:jc w:val="left"/>
        <w:rPr>
          <w:rFonts w:hint="eastAsia" w:ascii="仿宋" w:hAnsi="仿宋" w:eastAsia="仿宋" w:cs="仿宋"/>
          <w:b/>
          <w:color w:val="auto"/>
          <w:sz w:val="24"/>
          <w:szCs w:val="24"/>
          <w:highlight w:val="none"/>
        </w:rPr>
      </w:pPr>
    </w:p>
    <w:p w14:paraId="554398FE">
      <w:pPr>
        <w:jc w:val="left"/>
        <w:rPr>
          <w:rFonts w:hint="eastAsia" w:ascii="仿宋" w:hAnsi="仿宋" w:eastAsia="仿宋" w:cs="仿宋"/>
          <w:b/>
          <w:color w:val="auto"/>
          <w:sz w:val="24"/>
          <w:szCs w:val="24"/>
          <w:highlight w:val="none"/>
        </w:rPr>
      </w:pPr>
    </w:p>
    <w:p w14:paraId="3CB64423">
      <w:pPr>
        <w:jc w:val="left"/>
        <w:rPr>
          <w:rFonts w:hint="eastAsia" w:ascii="仿宋" w:hAnsi="仿宋" w:eastAsia="仿宋" w:cs="仿宋"/>
          <w:b/>
          <w:color w:val="auto"/>
          <w:sz w:val="24"/>
          <w:szCs w:val="24"/>
          <w:highlight w:val="none"/>
        </w:rPr>
      </w:pPr>
    </w:p>
    <w:p w14:paraId="611000FF">
      <w:pPr>
        <w:jc w:val="left"/>
        <w:rPr>
          <w:rFonts w:hint="eastAsia" w:ascii="仿宋" w:hAnsi="仿宋" w:eastAsia="仿宋" w:cs="仿宋"/>
          <w:b/>
          <w:color w:val="auto"/>
          <w:sz w:val="24"/>
          <w:szCs w:val="24"/>
          <w:highlight w:val="none"/>
        </w:rPr>
      </w:pPr>
    </w:p>
    <w:p w14:paraId="4E5B73F5">
      <w:pPr>
        <w:jc w:val="left"/>
        <w:rPr>
          <w:rFonts w:hint="eastAsia" w:ascii="仿宋" w:hAnsi="仿宋" w:eastAsia="仿宋" w:cs="仿宋"/>
          <w:b/>
          <w:color w:val="auto"/>
          <w:sz w:val="24"/>
          <w:szCs w:val="24"/>
          <w:highlight w:val="none"/>
        </w:rPr>
      </w:pPr>
    </w:p>
    <w:p w14:paraId="32A729AD">
      <w:pPr>
        <w:jc w:val="left"/>
        <w:rPr>
          <w:rFonts w:hint="eastAsia" w:ascii="仿宋" w:hAnsi="仿宋" w:eastAsia="仿宋" w:cs="仿宋"/>
          <w:b/>
          <w:color w:val="auto"/>
          <w:sz w:val="24"/>
          <w:szCs w:val="24"/>
          <w:highlight w:val="none"/>
        </w:rPr>
      </w:pPr>
    </w:p>
    <w:p w14:paraId="17C536E8">
      <w:pPr>
        <w:jc w:val="left"/>
        <w:rPr>
          <w:rFonts w:hint="eastAsia" w:ascii="仿宋" w:hAnsi="仿宋" w:eastAsia="仿宋" w:cs="仿宋"/>
          <w:b/>
          <w:color w:val="auto"/>
          <w:sz w:val="24"/>
          <w:szCs w:val="24"/>
          <w:highlight w:val="none"/>
        </w:rPr>
      </w:pPr>
    </w:p>
    <w:p w14:paraId="4C98C1A2">
      <w:pPr>
        <w:jc w:val="left"/>
        <w:rPr>
          <w:rFonts w:hint="eastAsia" w:ascii="仿宋" w:hAnsi="仿宋" w:eastAsia="仿宋" w:cs="仿宋"/>
          <w:b/>
          <w:color w:val="auto"/>
          <w:sz w:val="24"/>
          <w:szCs w:val="24"/>
          <w:highlight w:val="none"/>
        </w:rPr>
      </w:pPr>
    </w:p>
    <w:p w14:paraId="21327AB3">
      <w:pPr>
        <w:jc w:val="left"/>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rPr>
        <w:t>附件</w:t>
      </w:r>
      <w:r>
        <w:rPr>
          <w:rFonts w:hint="eastAsia" w:ascii="仿宋" w:hAnsi="仿宋" w:eastAsia="仿宋" w:cs="仿宋"/>
          <w:b/>
          <w:color w:val="auto"/>
          <w:sz w:val="24"/>
          <w:szCs w:val="24"/>
          <w:highlight w:val="none"/>
          <w:lang w:val="en-US" w:eastAsia="zh-CN"/>
        </w:rPr>
        <w:t>3</w:t>
      </w:r>
    </w:p>
    <w:p w14:paraId="7484CDBB">
      <w:pPr>
        <w:pStyle w:val="5"/>
        <w:spacing w:before="120"/>
        <w:jc w:val="center"/>
        <w:rPr>
          <w:rFonts w:hint="eastAsia" w:ascii="Times New Roman" w:hAnsi="Times New Roman" w:eastAsia="宋体" w:cs="Times New Roman"/>
          <w:b/>
          <w:bCs/>
          <w:color w:val="auto"/>
          <w:kern w:val="0"/>
          <w:sz w:val="24"/>
          <w:szCs w:val="24"/>
          <w:highlight w:val="none"/>
          <w:lang w:val="en-US" w:eastAsia="zh-CN" w:bidi="ar-SA"/>
        </w:rPr>
      </w:pPr>
      <w:r>
        <w:rPr>
          <w:rFonts w:hint="eastAsia" w:ascii="Times New Roman" w:hAnsi="Times New Roman" w:eastAsia="宋体" w:cs="Times New Roman"/>
          <w:b/>
          <w:bCs/>
          <w:color w:val="auto"/>
          <w:kern w:val="0"/>
          <w:sz w:val="24"/>
          <w:szCs w:val="24"/>
          <w:highlight w:val="none"/>
          <w:lang w:val="en-US" w:eastAsia="zh-CN" w:bidi="ar-SA"/>
        </w:rPr>
        <w:t>广西中医药大学附设中医学校（广西中医学校）北湖校区舞台室内LED</w:t>
      </w:r>
    </w:p>
    <w:p w14:paraId="0D67F896">
      <w:pPr>
        <w:pStyle w:val="5"/>
        <w:spacing w:before="120"/>
        <w:jc w:val="center"/>
        <w:rPr>
          <w:rFonts w:hint="eastAsia" w:ascii="Times New Roman" w:hAnsi="Times New Roman" w:eastAsia="宋体" w:cs="Times New Roman"/>
          <w:b/>
          <w:bCs/>
          <w:color w:val="auto"/>
          <w:kern w:val="0"/>
          <w:sz w:val="24"/>
          <w:szCs w:val="24"/>
          <w:highlight w:val="none"/>
          <w:lang w:val="en-US" w:eastAsia="zh-CN" w:bidi="ar-SA"/>
        </w:rPr>
      </w:pPr>
      <w:r>
        <w:rPr>
          <w:rFonts w:hint="eastAsia" w:ascii="Times New Roman" w:hAnsi="Times New Roman" w:eastAsia="宋体" w:cs="Times New Roman"/>
          <w:b/>
          <w:bCs/>
          <w:color w:val="auto"/>
          <w:kern w:val="0"/>
          <w:sz w:val="24"/>
          <w:szCs w:val="24"/>
          <w:highlight w:val="none"/>
          <w:lang w:val="en-US" w:eastAsia="zh-CN" w:bidi="ar-SA"/>
        </w:rPr>
        <w:t>设备采购项目技术响应响应偏离表（必须提供）</w:t>
      </w:r>
    </w:p>
    <w:p w14:paraId="45D51B3E">
      <w:pPr>
        <w:ind w:right="-292" w:firstLine="480" w:firstLineChars="200"/>
        <w:rPr>
          <w:rFonts w:hint="eastAsia" w:ascii="仿宋_GB2312" w:hAnsi="仿宋_GB2312" w:eastAsia="仿宋_GB2312" w:cs="仿宋_GB2312"/>
          <w:color w:val="auto"/>
          <w:sz w:val="24"/>
          <w:szCs w:val="24"/>
          <w:highlight w:val="none"/>
        </w:rPr>
      </w:pPr>
    </w:p>
    <w:tbl>
      <w:tblPr>
        <w:tblStyle w:val="8"/>
        <w:tblW w:w="1046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415"/>
        <w:gridCol w:w="2629"/>
        <w:gridCol w:w="2700"/>
        <w:gridCol w:w="1976"/>
      </w:tblGrid>
      <w:tr w14:paraId="6DED7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8644C27">
            <w:pPr>
              <w:snapToGrid w:val="0"/>
              <w:spacing w:before="156" w:beforeLines="5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415" w:type="dxa"/>
            <w:tcBorders>
              <w:top w:val="single" w:color="auto" w:sz="4" w:space="0"/>
              <w:left w:val="single" w:color="auto" w:sz="4" w:space="0"/>
              <w:bottom w:val="single" w:color="auto" w:sz="4" w:space="0"/>
              <w:right w:val="single" w:color="auto" w:sz="4" w:space="0"/>
            </w:tcBorders>
            <w:noWrap w:val="0"/>
            <w:vAlign w:val="center"/>
          </w:tcPr>
          <w:p w14:paraId="4C5B7A32">
            <w:pPr>
              <w:snapToGrid w:val="0"/>
              <w:spacing w:before="156" w:beforeLines="50"/>
              <w:jc w:val="center"/>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货物名称</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212E9430">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采购需求文件要求</w:t>
            </w:r>
          </w:p>
          <w:p w14:paraId="6E6A071D">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（注明章节及条款号）</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E20472E">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响应文件响应内容</w:t>
            </w:r>
          </w:p>
          <w:p w14:paraId="050C6022">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（可注明证明材料所在页码）</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6744E726">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偏离说明</w:t>
            </w:r>
          </w:p>
        </w:tc>
      </w:tr>
      <w:tr w14:paraId="5A895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504CCA0">
            <w:pPr>
              <w:snapToGrid w:val="0"/>
              <w:spacing w:before="156" w:beforeLines="50"/>
              <w:jc w:val="center"/>
              <w:rPr>
                <w:rFonts w:hint="eastAsia" w:ascii="仿宋_GB2312" w:hAnsi="仿宋_GB2312" w:eastAsia="仿宋_GB2312" w:cs="仿宋_GB2312"/>
                <w:color w:val="auto"/>
                <w:sz w:val="24"/>
                <w:szCs w:val="24"/>
                <w:highlight w:val="none"/>
              </w:rPr>
            </w:pPr>
          </w:p>
        </w:tc>
        <w:tc>
          <w:tcPr>
            <w:tcW w:w="2415" w:type="dxa"/>
            <w:tcBorders>
              <w:top w:val="single" w:color="auto" w:sz="4" w:space="0"/>
              <w:left w:val="single" w:color="auto" w:sz="4" w:space="0"/>
              <w:bottom w:val="single" w:color="auto" w:sz="4" w:space="0"/>
              <w:right w:val="single" w:color="auto" w:sz="4" w:space="0"/>
            </w:tcBorders>
            <w:noWrap w:val="0"/>
            <w:vAlign w:val="center"/>
          </w:tcPr>
          <w:p w14:paraId="2A01877B">
            <w:pPr>
              <w:snapToGrid w:val="0"/>
              <w:spacing w:before="156" w:beforeLines="50"/>
              <w:jc w:val="center"/>
              <w:rPr>
                <w:rFonts w:hint="eastAsia" w:ascii="仿宋_GB2312" w:hAnsi="仿宋_GB2312" w:eastAsia="仿宋_GB2312" w:cs="仿宋_GB2312"/>
                <w:color w:val="auto"/>
                <w:sz w:val="24"/>
                <w:szCs w:val="24"/>
                <w:highlight w:val="none"/>
              </w:rPr>
            </w:pPr>
          </w:p>
        </w:tc>
        <w:tc>
          <w:tcPr>
            <w:tcW w:w="2629" w:type="dxa"/>
            <w:tcBorders>
              <w:top w:val="single" w:color="auto" w:sz="4" w:space="0"/>
              <w:left w:val="single" w:color="auto" w:sz="4" w:space="0"/>
              <w:bottom w:val="single" w:color="auto" w:sz="4" w:space="0"/>
              <w:right w:val="single" w:color="auto" w:sz="4" w:space="0"/>
            </w:tcBorders>
            <w:noWrap w:val="0"/>
            <w:vAlign w:val="center"/>
          </w:tcPr>
          <w:p w14:paraId="486E1674">
            <w:pPr>
              <w:snapToGrid w:val="0"/>
              <w:spacing w:before="156" w:beforeLines="50"/>
              <w:jc w:val="center"/>
              <w:rPr>
                <w:rFonts w:hint="eastAsia" w:ascii="仿宋_GB2312" w:hAnsi="仿宋_GB2312" w:eastAsia="仿宋_GB2312" w:cs="仿宋_GB2312"/>
                <w:color w:val="auto"/>
                <w:sz w:val="24"/>
                <w:szCs w:val="24"/>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97822B7">
            <w:pPr>
              <w:snapToGrid w:val="0"/>
              <w:spacing w:before="156" w:beforeLines="50"/>
              <w:jc w:val="center"/>
              <w:rPr>
                <w:rFonts w:hint="eastAsia" w:ascii="仿宋_GB2312" w:hAnsi="仿宋_GB2312" w:eastAsia="仿宋_GB2312" w:cs="仿宋_GB2312"/>
                <w:color w:val="auto"/>
                <w:sz w:val="24"/>
                <w:szCs w:val="24"/>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0E90E938">
            <w:pPr>
              <w:snapToGrid w:val="0"/>
              <w:spacing w:before="156" w:beforeLines="50"/>
              <w:jc w:val="center"/>
              <w:rPr>
                <w:rFonts w:hint="eastAsia" w:ascii="仿宋_GB2312" w:hAnsi="仿宋_GB2312" w:eastAsia="仿宋_GB2312" w:cs="仿宋_GB2312"/>
                <w:color w:val="auto"/>
                <w:sz w:val="24"/>
                <w:szCs w:val="24"/>
                <w:highlight w:val="none"/>
              </w:rPr>
            </w:pPr>
          </w:p>
        </w:tc>
      </w:tr>
      <w:tr w14:paraId="79EC9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C232B29">
            <w:pPr>
              <w:snapToGrid w:val="0"/>
              <w:spacing w:before="156" w:beforeLines="50"/>
              <w:jc w:val="center"/>
              <w:rPr>
                <w:rFonts w:hint="eastAsia" w:ascii="仿宋_GB2312" w:hAnsi="仿宋_GB2312" w:eastAsia="仿宋_GB2312" w:cs="仿宋_GB2312"/>
                <w:color w:val="auto"/>
                <w:sz w:val="24"/>
                <w:szCs w:val="24"/>
                <w:highlight w:val="none"/>
              </w:rPr>
            </w:pPr>
          </w:p>
        </w:tc>
        <w:tc>
          <w:tcPr>
            <w:tcW w:w="2415" w:type="dxa"/>
            <w:tcBorders>
              <w:top w:val="single" w:color="auto" w:sz="4" w:space="0"/>
              <w:left w:val="single" w:color="auto" w:sz="4" w:space="0"/>
              <w:bottom w:val="single" w:color="auto" w:sz="4" w:space="0"/>
              <w:right w:val="single" w:color="auto" w:sz="4" w:space="0"/>
            </w:tcBorders>
            <w:noWrap w:val="0"/>
            <w:vAlign w:val="center"/>
          </w:tcPr>
          <w:p w14:paraId="35C6841D">
            <w:pPr>
              <w:snapToGrid w:val="0"/>
              <w:spacing w:before="156" w:beforeLines="50"/>
              <w:jc w:val="center"/>
              <w:rPr>
                <w:rFonts w:hint="eastAsia" w:ascii="仿宋_GB2312" w:hAnsi="仿宋_GB2312" w:eastAsia="仿宋_GB2312" w:cs="仿宋_GB2312"/>
                <w:color w:val="auto"/>
                <w:sz w:val="24"/>
                <w:szCs w:val="24"/>
                <w:highlight w:val="none"/>
              </w:rPr>
            </w:pPr>
          </w:p>
        </w:tc>
        <w:tc>
          <w:tcPr>
            <w:tcW w:w="2629" w:type="dxa"/>
            <w:tcBorders>
              <w:top w:val="single" w:color="auto" w:sz="4" w:space="0"/>
              <w:left w:val="single" w:color="auto" w:sz="4" w:space="0"/>
              <w:bottom w:val="single" w:color="auto" w:sz="4" w:space="0"/>
              <w:right w:val="single" w:color="auto" w:sz="4" w:space="0"/>
            </w:tcBorders>
            <w:noWrap w:val="0"/>
            <w:vAlign w:val="center"/>
          </w:tcPr>
          <w:p w14:paraId="79159122">
            <w:pPr>
              <w:snapToGrid w:val="0"/>
              <w:spacing w:before="156" w:beforeLines="50"/>
              <w:jc w:val="center"/>
              <w:rPr>
                <w:rFonts w:hint="eastAsia" w:ascii="仿宋_GB2312" w:hAnsi="仿宋_GB2312" w:eastAsia="仿宋_GB2312" w:cs="仿宋_GB2312"/>
                <w:color w:val="auto"/>
                <w:sz w:val="24"/>
                <w:szCs w:val="24"/>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D993E99">
            <w:pPr>
              <w:snapToGrid w:val="0"/>
              <w:spacing w:before="156" w:beforeLines="50"/>
              <w:jc w:val="center"/>
              <w:rPr>
                <w:rFonts w:hint="eastAsia" w:ascii="仿宋_GB2312" w:hAnsi="仿宋_GB2312" w:eastAsia="仿宋_GB2312" w:cs="仿宋_GB2312"/>
                <w:color w:val="auto"/>
                <w:sz w:val="24"/>
                <w:szCs w:val="24"/>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54025C17">
            <w:pPr>
              <w:snapToGrid w:val="0"/>
              <w:spacing w:before="156" w:beforeLines="50"/>
              <w:jc w:val="center"/>
              <w:rPr>
                <w:rFonts w:hint="eastAsia" w:ascii="仿宋_GB2312" w:hAnsi="仿宋_GB2312" w:eastAsia="仿宋_GB2312" w:cs="仿宋_GB2312"/>
                <w:color w:val="auto"/>
                <w:sz w:val="24"/>
                <w:szCs w:val="24"/>
                <w:highlight w:val="none"/>
              </w:rPr>
            </w:pPr>
          </w:p>
        </w:tc>
      </w:tr>
      <w:tr w14:paraId="475379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B21CE2C">
            <w:pPr>
              <w:snapToGrid w:val="0"/>
              <w:spacing w:before="156" w:beforeLines="50"/>
              <w:jc w:val="center"/>
              <w:rPr>
                <w:rFonts w:hint="eastAsia" w:ascii="仿宋_GB2312" w:hAnsi="仿宋_GB2312" w:eastAsia="仿宋_GB2312" w:cs="仿宋_GB2312"/>
                <w:color w:val="auto"/>
                <w:sz w:val="24"/>
                <w:szCs w:val="24"/>
                <w:highlight w:val="none"/>
              </w:rPr>
            </w:pPr>
          </w:p>
        </w:tc>
        <w:tc>
          <w:tcPr>
            <w:tcW w:w="2415" w:type="dxa"/>
            <w:tcBorders>
              <w:top w:val="single" w:color="auto" w:sz="4" w:space="0"/>
              <w:left w:val="single" w:color="auto" w:sz="4" w:space="0"/>
              <w:bottom w:val="single" w:color="auto" w:sz="4" w:space="0"/>
              <w:right w:val="single" w:color="auto" w:sz="4" w:space="0"/>
            </w:tcBorders>
            <w:noWrap w:val="0"/>
            <w:vAlign w:val="center"/>
          </w:tcPr>
          <w:p w14:paraId="314203D9">
            <w:pPr>
              <w:snapToGrid w:val="0"/>
              <w:spacing w:before="156" w:beforeLines="50"/>
              <w:jc w:val="center"/>
              <w:rPr>
                <w:rFonts w:hint="eastAsia" w:ascii="仿宋_GB2312" w:hAnsi="仿宋_GB2312" w:eastAsia="仿宋_GB2312" w:cs="仿宋_GB2312"/>
                <w:color w:val="auto"/>
                <w:sz w:val="24"/>
                <w:szCs w:val="24"/>
                <w:highlight w:val="none"/>
              </w:rPr>
            </w:pPr>
          </w:p>
        </w:tc>
        <w:tc>
          <w:tcPr>
            <w:tcW w:w="2629" w:type="dxa"/>
            <w:tcBorders>
              <w:top w:val="single" w:color="auto" w:sz="4" w:space="0"/>
              <w:left w:val="single" w:color="auto" w:sz="4" w:space="0"/>
              <w:bottom w:val="single" w:color="auto" w:sz="4" w:space="0"/>
              <w:right w:val="single" w:color="auto" w:sz="4" w:space="0"/>
            </w:tcBorders>
            <w:noWrap w:val="0"/>
            <w:vAlign w:val="center"/>
          </w:tcPr>
          <w:p w14:paraId="1872AABC">
            <w:pPr>
              <w:snapToGrid w:val="0"/>
              <w:spacing w:before="156" w:beforeLines="50"/>
              <w:jc w:val="center"/>
              <w:rPr>
                <w:rFonts w:hint="eastAsia" w:ascii="仿宋_GB2312" w:hAnsi="仿宋_GB2312" w:eastAsia="仿宋_GB2312" w:cs="仿宋_GB2312"/>
                <w:color w:val="auto"/>
                <w:sz w:val="24"/>
                <w:szCs w:val="24"/>
                <w:highlight w:val="none"/>
              </w:rPr>
            </w:pPr>
          </w:p>
        </w:tc>
        <w:tc>
          <w:tcPr>
            <w:tcW w:w="2700" w:type="dxa"/>
            <w:tcBorders>
              <w:top w:val="single" w:color="auto" w:sz="4" w:space="0"/>
              <w:left w:val="single" w:color="auto" w:sz="4" w:space="0"/>
              <w:bottom w:val="single" w:color="auto" w:sz="4" w:space="0"/>
              <w:right w:val="single" w:color="auto" w:sz="4" w:space="0"/>
            </w:tcBorders>
            <w:noWrap w:val="0"/>
            <w:vAlign w:val="center"/>
          </w:tcPr>
          <w:p w14:paraId="62D8F314">
            <w:pPr>
              <w:snapToGrid w:val="0"/>
              <w:spacing w:before="156" w:beforeLines="50"/>
              <w:jc w:val="center"/>
              <w:rPr>
                <w:rFonts w:hint="eastAsia" w:ascii="仿宋_GB2312" w:hAnsi="仿宋_GB2312" w:eastAsia="仿宋_GB2312" w:cs="仿宋_GB2312"/>
                <w:color w:val="auto"/>
                <w:sz w:val="24"/>
                <w:szCs w:val="24"/>
                <w:highlight w:val="none"/>
              </w:rPr>
            </w:pPr>
          </w:p>
        </w:tc>
        <w:tc>
          <w:tcPr>
            <w:tcW w:w="1976" w:type="dxa"/>
            <w:tcBorders>
              <w:top w:val="single" w:color="auto" w:sz="4" w:space="0"/>
              <w:left w:val="single" w:color="auto" w:sz="4" w:space="0"/>
              <w:bottom w:val="single" w:color="auto" w:sz="4" w:space="0"/>
              <w:right w:val="single" w:color="auto" w:sz="4" w:space="0"/>
            </w:tcBorders>
            <w:noWrap w:val="0"/>
            <w:vAlign w:val="center"/>
          </w:tcPr>
          <w:p w14:paraId="06FFBF79">
            <w:pPr>
              <w:snapToGrid w:val="0"/>
              <w:spacing w:before="156" w:beforeLines="50"/>
              <w:jc w:val="center"/>
              <w:rPr>
                <w:rFonts w:hint="eastAsia" w:ascii="仿宋_GB2312" w:hAnsi="仿宋_GB2312" w:eastAsia="仿宋_GB2312" w:cs="仿宋_GB2312"/>
                <w:color w:val="auto"/>
                <w:sz w:val="24"/>
                <w:szCs w:val="24"/>
                <w:highlight w:val="none"/>
              </w:rPr>
            </w:pPr>
          </w:p>
        </w:tc>
      </w:tr>
      <w:tr w14:paraId="203B76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B67992C">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415" w:type="dxa"/>
            <w:tcBorders>
              <w:top w:val="single" w:color="auto" w:sz="4" w:space="0"/>
              <w:left w:val="single" w:color="auto" w:sz="4" w:space="0"/>
              <w:bottom w:val="single" w:color="auto" w:sz="4" w:space="0"/>
              <w:right w:val="single" w:color="auto" w:sz="4" w:space="0"/>
            </w:tcBorders>
            <w:noWrap w:val="0"/>
            <w:vAlign w:val="center"/>
          </w:tcPr>
          <w:p w14:paraId="0F478690">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171FD3C4">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4596AD57">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1976" w:type="dxa"/>
            <w:tcBorders>
              <w:top w:val="single" w:color="auto" w:sz="4" w:space="0"/>
              <w:left w:val="single" w:color="auto" w:sz="4" w:space="0"/>
              <w:bottom w:val="single" w:color="auto" w:sz="4" w:space="0"/>
              <w:right w:val="single" w:color="auto" w:sz="4" w:space="0"/>
            </w:tcBorders>
            <w:noWrap w:val="0"/>
            <w:vAlign w:val="center"/>
          </w:tcPr>
          <w:p w14:paraId="081A17D3">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r>
    </w:tbl>
    <w:p w14:paraId="2E8A2282">
      <w:pPr>
        <w:ind w:right="-292" w:firstLine="420"/>
        <w:rPr>
          <w:rFonts w:hint="eastAsia" w:ascii="仿宋_GB2312" w:hAnsi="仿宋_GB2312" w:eastAsia="仿宋_GB2312" w:cs="仿宋_GB2312"/>
          <w:color w:val="auto"/>
          <w:sz w:val="24"/>
          <w:szCs w:val="24"/>
          <w:highlight w:val="none"/>
        </w:rPr>
      </w:pPr>
    </w:p>
    <w:p w14:paraId="7B92DCEE">
      <w:pPr>
        <w:pStyle w:val="5"/>
        <w:tabs>
          <w:tab w:val="left" w:pos="2127"/>
        </w:tabs>
        <w:spacing w:line="340" w:lineRule="exact"/>
        <w:ind w:right="-292"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w:t>
      </w:r>
    </w:p>
    <w:p w14:paraId="424D93AA">
      <w:pPr>
        <w:ind w:right="-292"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w:t>
      </w:r>
      <w:r>
        <w:rPr>
          <w:rFonts w:hint="eastAsia" w:ascii="宋体" w:hAnsi="宋体" w:eastAsia="宋体" w:cs="宋体"/>
          <w:color w:val="auto"/>
          <w:kern w:val="0"/>
          <w:sz w:val="21"/>
          <w:szCs w:val="21"/>
          <w:highlight w:val="none"/>
          <w:lang w:val="en-US" w:eastAsia="zh-CN"/>
        </w:rPr>
        <w:t>采购需求文件</w:t>
      </w:r>
      <w:r>
        <w:rPr>
          <w:rFonts w:hint="eastAsia" w:ascii="宋体" w:hAnsi="宋体" w:eastAsia="宋体" w:cs="宋体"/>
          <w:color w:val="auto"/>
          <w:kern w:val="0"/>
          <w:sz w:val="21"/>
          <w:szCs w:val="21"/>
          <w:highlight w:val="none"/>
        </w:rPr>
        <w:t>中的技术参数及性能（配置）要求逐条实质性响应，并作出偏离说明。</w:t>
      </w:r>
    </w:p>
    <w:p w14:paraId="3C68DAF3">
      <w:pPr>
        <w:keepNext w:val="0"/>
        <w:keepLines w:val="0"/>
        <w:pageBreakBefore w:val="0"/>
        <w:widowControl/>
        <w:kinsoku/>
        <w:wordWrap/>
        <w:overflowPunct/>
        <w:topLinePunct w:val="0"/>
        <w:autoSpaceDE/>
        <w:autoSpaceDN/>
        <w:bidi w:val="0"/>
        <w:adjustRightInd/>
        <w:snapToGrid/>
        <w:spacing w:line="240" w:lineRule="auto"/>
        <w:ind w:right="-292" w:firstLine="420" w:firstLineChars="0"/>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rPr>
        <w:t>2.供应商应根据自身的承诺，对照磋商文件要求在“偏离说明”中注明“正偏离</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负偏离”或者“无偏离”。既不属于“正偏离”也不属于“负偏离”即为“无偏离”。</w:t>
      </w:r>
    </w:p>
    <w:p w14:paraId="44961DD7">
      <w:pPr>
        <w:ind w:right="-292"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3.表格内容均需按要求填写并盖章，不得留空，否则按竞标无效处理。</w:t>
      </w:r>
    </w:p>
    <w:p w14:paraId="7A8C95F9">
      <w:pPr>
        <w:ind w:right="-292"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如果采购需求商务条款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532B3C7">
      <w:pPr>
        <w:ind w:right="-292"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5.如技术偏离表中的竞标响应与佐证材料不一致的，以佐证材料为准。</w:t>
      </w:r>
    </w:p>
    <w:p w14:paraId="63F32224">
      <w:pPr>
        <w:ind w:right="-292"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本表可扩展</w:t>
      </w:r>
    </w:p>
    <w:p w14:paraId="25B9A3C9">
      <w:pPr>
        <w:ind w:right="-292" w:firstLine="420"/>
        <w:rPr>
          <w:rFonts w:hint="eastAsia" w:ascii="仿宋_GB2312" w:hAnsi="仿宋_GB2312" w:eastAsia="仿宋_GB2312" w:cs="仿宋_GB2312"/>
          <w:color w:val="auto"/>
          <w:sz w:val="24"/>
          <w:szCs w:val="24"/>
          <w:highlight w:val="none"/>
        </w:rPr>
      </w:pPr>
    </w:p>
    <w:p w14:paraId="770E26FF">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法定代表人或授权代表签字或盖章：        </w:t>
      </w:r>
    </w:p>
    <w:p w14:paraId="343FC27F">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项目联系人及电话：                                </w:t>
      </w:r>
    </w:p>
    <w:p w14:paraId="679F4626">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报价供应商名称（签章）：                          </w:t>
      </w:r>
    </w:p>
    <w:p w14:paraId="3F274153">
      <w:pPr>
        <w:pStyle w:val="5"/>
        <w:spacing w:before="120" w:line="500" w:lineRule="exact"/>
        <w:rPr>
          <w:rFonts w:hint="eastAsia" w:ascii="黑体" w:hAnsi="黑体" w:eastAsia="黑体" w:cs="黑体"/>
          <w:color w:val="auto"/>
          <w:sz w:val="36"/>
          <w:szCs w:val="36"/>
          <w:highlight w:val="none"/>
        </w:rPr>
      </w:pPr>
      <w:r>
        <w:rPr>
          <w:rFonts w:hint="eastAsia" w:ascii="仿宋_GB2312" w:hAnsi="仿宋_GB2312" w:eastAsia="仿宋_GB2312" w:cs="仿宋_GB2312"/>
          <w:color w:val="auto"/>
          <w:sz w:val="24"/>
          <w:szCs w:val="24"/>
          <w:highlight w:val="none"/>
        </w:rPr>
        <w:t>报价日期：      年     月  日</w:t>
      </w:r>
    </w:p>
    <w:p w14:paraId="0E25A6C8">
      <w:pPr>
        <w:snapToGrid w:val="0"/>
        <w:spacing w:before="120" w:after="156" w:afterLines="50" w:line="440" w:lineRule="exact"/>
        <w:ind w:right="-292"/>
        <w:jc w:val="left"/>
        <w:rPr>
          <w:rFonts w:hint="eastAsia" w:ascii="仿宋_GB2312" w:hAnsi="仿宋_GB2312" w:eastAsia="仿宋_GB2312" w:cs="仿宋_GB2312"/>
          <w:color w:val="auto"/>
          <w:sz w:val="24"/>
          <w:szCs w:val="24"/>
          <w:highlight w:val="none"/>
          <w:lang w:val="en-US" w:eastAsia="zh-CN"/>
        </w:rPr>
      </w:pPr>
    </w:p>
    <w:p w14:paraId="65B7627B">
      <w:pPr>
        <w:snapToGrid w:val="0"/>
        <w:spacing w:before="120" w:after="156" w:afterLines="50" w:line="440" w:lineRule="exact"/>
        <w:ind w:right="-292"/>
        <w:jc w:val="left"/>
        <w:rPr>
          <w:rFonts w:hint="eastAsia" w:ascii="仿宋_GB2312" w:hAnsi="仿宋_GB2312" w:eastAsia="仿宋_GB2312" w:cs="仿宋_GB2312"/>
          <w:color w:val="auto"/>
          <w:sz w:val="24"/>
          <w:szCs w:val="24"/>
          <w:highlight w:val="none"/>
          <w:lang w:val="en-US" w:eastAsia="zh-CN"/>
        </w:rPr>
      </w:pPr>
    </w:p>
    <w:p w14:paraId="1C69FDC9">
      <w:pPr>
        <w:snapToGrid w:val="0"/>
        <w:spacing w:before="120" w:after="156" w:afterLines="50" w:line="440" w:lineRule="exact"/>
        <w:ind w:right="-292"/>
        <w:jc w:val="left"/>
        <w:rPr>
          <w:rFonts w:hint="eastAsia" w:ascii="仿宋_GB2312" w:hAnsi="仿宋_GB2312" w:eastAsia="仿宋_GB2312" w:cs="仿宋_GB2312"/>
          <w:color w:val="auto"/>
          <w:sz w:val="24"/>
          <w:szCs w:val="24"/>
          <w:highlight w:val="none"/>
          <w:lang w:val="en-US" w:eastAsia="zh-CN"/>
        </w:rPr>
      </w:pPr>
    </w:p>
    <w:p w14:paraId="42ADE0EC">
      <w:pPr>
        <w:snapToGrid w:val="0"/>
        <w:spacing w:before="120" w:after="156" w:afterLines="50" w:line="440" w:lineRule="exact"/>
        <w:ind w:right="-292"/>
        <w:jc w:val="left"/>
        <w:rPr>
          <w:rFonts w:hint="eastAsia" w:ascii="仿宋_GB2312" w:hAnsi="仿宋_GB2312" w:eastAsia="仿宋_GB2312" w:cs="仿宋_GB2312"/>
          <w:color w:val="auto"/>
          <w:sz w:val="24"/>
          <w:szCs w:val="24"/>
          <w:highlight w:val="none"/>
          <w:lang w:val="en-US" w:eastAsia="zh-CN"/>
        </w:rPr>
      </w:pPr>
    </w:p>
    <w:p w14:paraId="499C0784">
      <w:pPr>
        <w:snapToGrid w:val="0"/>
        <w:spacing w:before="120" w:after="156" w:afterLines="50" w:line="440" w:lineRule="exact"/>
        <w:ind w:right="-292"/>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附件4</w:t>
      </w:r>
    </w:p>
    <w:p w14:paraId="696C7845">
      <w:pPr>
        <w:pStyle w:val="3"/>
        <w:jc w:val="center"/>
        <w:rPr>
          <w:rFonts w:hint="eastAsia" w:ascii="Times New Roman" w:hAnsi="Times New Roman" w:eastAsia="宋体" w:cs="Times New Roman"/>
          <w:b/>
          <w:bCs/>
          <w:color w:val="auto"/>
          <w:kern w:val="0"/>
          <w:sz w:val="24"/>
          <w:szCs w:val="24"/>
          <w:highlight w:val="none"/>
          <w:lang w:val="en-US" w:eastAsia="zh-CN" w:bidi="ar-SA"/>
        </w:rPr>
      </w:pPr>
      <w:r>
        <w:rPr>
          <w:rFonts w:hint="eastAsia" w:ascii="Times New Roman" w:hAnsi="Times New Roman" w:eastAsia="宋体" w:cs="Times New Roman"/>
          <w:b/>
          <w:bCs/>
          <w:color w:val="auto"/>
          <w:kern w:val="0"/>
          <w:sz w:val="24"/>
          <w:szCs w:val="24"/>
          <w:highlight w:val="none"/>
          <w:lang w:val="en-US" w:eastAsia="zh-CN" w:bidi="ar-SA"/>
        </w:rPr>
        <w:t>广西中医药大学附设中医学校（广西中医学校）北湖校区舞台室内LED</w:t>
      </w:r>
    </w:p>
    <w:p w14:paraId="406F40C6">
      <w:pPr>
        <w:pStyle w:val="5"/>
        <w:spacing w:before="120"/>
        <w:jc w:val="center"/>
        <w:rPr>
          <w:color w:val="auto"/>
          <w:highlight w:val="none"/>
        </w:rPr>
      </w:pPr>
      <w:r>
        <w:rPr>
          <w:rFonts w:hint="eastAsia" w:ascii="Times New Roman" w:hAnsi="Times New Roman" w:eastAsia="宋体" w:cs="Times New Roman"/>
          <w:b/>
          <w:bCs/>
          <w:color w:val="auto"/>
          <w:kern w:val="0"/>
          <w:sz w:val="24"/>
          <w:szCs w:val="24"/>
          <w:highlight w:val="none"/>
          <w:lang w:val="en-US" w:eastAsia="zh-CN" w:bidi="ar-SA"/>
        </w:rPr>
        <w:t>设备采购项目</w:t>
      </w:r>
      <w:r>
        <w:rPr>
          <w:rFonts w:hint="eastAsia"/>
          <w:b/>
          <w:bCs/>
          <w:color w:val="auto"/>
          <w:highlight w:val="none"/>
        </w:rPr>
        <w:t>商务条款响应偏离表</w:t>
      </w:r>
      <w:r>
        <w:rPr>
          <w:rFonts w:hint="eastAsia" w:ascii="Times New Roman" w:hAnsi="Times New Roman" w:eastAsia="宋体" w:cs="Times New Roman"/>
          <w:b/>
          <w:bCs/>
          <w:color w:val="auto"/>
          <w:kern w:val="0"/>
          <w:sz w:val="24"/>
          <w:szCs w:val="24"/>
          <w:highlight w:val="none"/>
          <w:lang w:val="en-US" w:eastAsia="zh-CN" w:bidi="ar-SA"/>
        </w:rPr>
        <w:t>（必须提供）</w:t>
      </w:r>
    </w:p>
    <w:tbl>
      <w:tblPr>
        <w:tblStyle w:val="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48AFB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C5FC19B">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2B2115D">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采购需求文件要求（注明章节及条款号）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77E1FB4">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响应文件响应内容（可注明所在页码）</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F1BEDA2">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偏离说明</w:t>
            </w:r>
          </w:p>
        </w:tc>
      </w:tr>
      <w:tr w14:paraId="3EAF4E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F6BD481">
            <w:pPr>
              <w:snapToGrid w:val="0"/>
              <w:spacing w:before="156" w:beforeLines="50"/>
              <w:jc w:val="center"/>
              <w:rPr>
                <w:rFonts w:hint="eastAsia" w:ascii="仿宋_GB2312" w:hAnsi="仿宋_GB2312" w:eastAsia="仿宋_GB2312" w:cs="仿宋_GB2312"/>
                <w:color w:val="auto"/>
                <w:sz w:val="24"/>
                <w:szCs w:val="24"/>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CDB106E">
            <w:pPr>
              <w:snapToGrid w:val="0"/>
              <w:spacing w:before="156" w:beforeLines="50"/>
              <w:jc w:val="center"/>
              <w:rPr>
                <w:rFonts w:hint="eastAsia" w:ascii="仿宋_GB2312" w:hAnsi="仿宋_GB2312" w:eastAsia="仿宋_GB2312" w:cs="仿宋_GB2312"/>
                <w:color w:val="auto"/>
                <w:sz w:val="24"/>
                <w:szCs w:val="24"/>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733ECFE">
            <w:pPr>
              <w:snapToGrid w:val="0"/>
              <w:spacing w:before="156" w:beforeLines="50"/>
              <w:jc w:val="center"/>
              <w:rPr>
                <w:rFonts w:hint="eastAsia" w:ascii="仿宋_GB2312" w:hAnsi="仿宋_GB2312" w:eastAsia="仿宋_GB2312" w:cs="仿宋_GB2312"/>
                <w:color w:val="auto"/>
                <w:sz w:val="24"/>
                <w:szCs w:val="24"/>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378D917C">
            <w:pPr>
              <w:snapToGrid w:val="0"/>
              <w:spacing w:before="156" w:beforeLines="50"/>
              <w:jc w:val="center"/>
              <w:rPr>
                <w:rFonts w:hint="eastAsia" w:ascii="仿宋_GB2312" w:hAnsi="仿宋_GB2312" w:eastAsia="仿宋_GB2312" w:cs="仿宋_GB2312"/>
                <w:color w:val="auto"/>
                <w:sz w:val="24"/>
                <w:szCs w:val="24"/>
                <w:highlight w:val="none"/>
              </w:rPr>
            </w:pPr>
          </w:p>
        </w:tc>
      </w:tr>
      <w:tr w14:paraId="25B26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9C8654F">
            <w:pPr>
              <w:snapToGrid w:val="0"/>
              <w:spacing w:before="156" w:beforeLines="5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907E551">
            <w:pPr>
              <w:snapToGrid w:val="0"/>
              <w:spacing w:before="156" w:beforeLines="50"/>
              <w:jc w:val="center"/>
              <w:rPr>
                <w:rFonts w:hint="eastAsia" w:ascii="仿宋_GB2312" w:hAnsi="仿宋_GB2312" w:eastAsia="仿宋_GB2312" w:cs="仿宋_GB2312"/>
                <w:color w:val="auto"/>
                <w:sz w:val="24"/>
                <w:szCs w:val="24"/>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D6017A4">
            <w:pPr>
              <w:snapToGrid w:val="0"/>
              <w:spacing w:before="156" w:beforeLines="50"/>
              <w:jc w:val="center"/>
              <w:rPr>
                <w:rFonts w:hint="eastAsia" w:ascii="仿宋_GB2312" w:hAnsi="仿宋_GB2312" w:eastAsia="仿宋_GB2312" w:cs="仿宋_GB2312"/>
                <w:color w:val="auto"/>
                <w:sz w:val="24"/>
                <w:szCs w:val="24"/>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9B29301">
            <w:pPr>
              <w:snapToGrid w:val="0"/>
              <w:spacing w:before="156" w:beforeLines="50"/>
              <w:jc w:val="center"/>
              <w:rPr>
                <w:rFonts w:hint="eastAsia" w:ascii="仿宋_GB2312" w:hAnsi="仿宋_GB2312" w:eastAsia="仿宋_GB2312" w:cs="仿宋_GB2312"/>
                <w:color w:val="auto"/>
                <w:sz w:val="24"/>
                <w:szCs w:val="24"/>
                <w:highlight w:val="none"/>
              </w:rPr>
            </w:pPr>
          </w:p>
        </w:tc>
      </w:tr>
    </w:tbl>
    <w:p w14:paraId="56DB4B13">
      <w:pPr>
        <w:pStyle w:val="5"/>
        <w:tabs>
          <w:tab w:val="left" w:pos="2127"/>
        </w:tabs>
        <w:spacing w:line="340" w:lineRule="exact"/>
        <w:ind w:right="-292"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w:t>
      </w:r>
    </w:p>
    <w:p w14:paraId="054784F3">
      <w:pPr>
        <w:ind w:right="-292"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w:t>
      </w:r>
      <w:r>
        <w:rPr>
          <w:rFonts w:hint="eastAsia" w:ascii="宋体" w:hAnsi="宋体" w:eastAsia="宋体" w:cs="宋体"/>
          <w:color w:val="auto"/>
          <w:kern w:val="0"/>
          <w:sz w:val="21"/>
          <w:szCs w:val="21"/>
          <w:highlight w:val="none"/>
          <w:lang w:val="en-US" w:eastAsia="zh-CN"/>
        </w:rPr>
        <w:t>采购需求文件</w:t>
      </w:r>
      <w:r>
        <w:rPr>
          <w:rFonts w:hint="eastAsia" w:ascii="宋体" w:hAnsi="宋体" w:eastAsia="宋体" w:cs="宋体"/>
          <w:color w:val="auto"/>
          <w:kern w:val="0"/>
          <w:sz w:val="21"/>
          <w:szCs w:val="21"/>
          <w:highlight w:val="none"/>
        </w:rPr>
        <w:t>中的</w:t>
      </w:r>
      <w:r>
        <w:rPr>
          <w:rFonts w:hint="eastAsia" w:ascii="宋体" w:hAnsi="宋体" w:eastAsia="宋体" w:cs="宋体"/>
          <w:b w:val="0"/>
          <w:bCs w:val="0"/>
          <w:color w:val="auto"/>
          <w:kern w:val="0"/>
          <w:sz w:val="21"/>
          <w:szCs w:val="21"/>
          <w:highlight w:val="none"/>
          <w:lang w:val="en-US" w:eastAsia="zh-CN"/>
        </w:rPr>
        <w:t>商务</w:t>
      </w:r>
      <w:r>
        <w:rPr>
          <w:rFonts w:hint="eastAsia" w:ascii="宋体" w:hAnsi="宋体" w:eastAsia="宋体" w:cs="宋体"/>
          <w:color w:val="auto"/>
          <w:kern w:val="0"/>
          <w:sz w:val="21"/>
          <w:szCs w:val="21"/>
          <w:highlight w:val="none"/>
        </w:rPr>
        <w:t>条款逐条实质性响应，并作出偏离说明。</w:t>
      </w:r>
    </w:p>
    <w:p w14:paraId="0E11D54D">
      <w:pPr>
        <w:keepNext w:val="0"/>
        <w:keepLines w:val="0"/>
        <w:pageBreakBefore w:val="0"/>
        <w:widowControl/>
        <w:kinsoku/>
        <w:wordWrap/>
        <w:overflowPunct/>
        <w:topLinePunct w:val="0"/>
        <w:autoSpaceDE/>
        <w:autoSpaceDN/>
        <w:bidi w:val="0"/>
        <w:adjustRightInd/>
        <w:snapToGrid/>
        <w:spacing w:line="240" w:lineRule="auto"/>
        <w:ind w:right="-292" w:firstLine="420" w:firstLineChars="0"/>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rPr>
        <w:t>2.供应商应根据自身的承诺，对照磋商文件要求在“偏离说明”中注明“正偏离</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负偏离”或者“无偏离”。既不属于“正偏离”也不属于“负偏离”即为“无偏离”。</w:t>
      </w:r>
    </w:p>
    <w:p w14:paraId="6184335C">
      <w:pPr>
        <w:ind w:right="-292"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3.表格内容均需按要求填写并盖章，不得留空，否则按竞标无效处理。</w:t>
      </w:r>
    </w:p>
    <w:p w14:paraId="4C6333FA">
      <w:pPr>
        <w:ind w:right="-292"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如果采购需求商务条款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3113F96E">
      <w:pPr>
        <w:ind w:right="-292"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5.如技术偏离表中的竞标响应与佐证材料不一致的，以佐证材料为准。</w:t>
      </w:r>
    </w:p>
    <w:p w14:paraId="15CC95AE">
      <w:pPr>
        <w:ind w:right="-292"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本表可扩展</w:t>
      </w:r>
    </w:p>
    <w:p w14:paraId="3A71C67C">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法定代表人或授权代表签字或盖章：        </w:t>
      </w:r>
    </w:p>
    <w:p w14:paraId="1AFC57BD">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项目联系人及电话：                                </w:t>
      </w:r>
    </w:p>
    <w:p w14:paraId="012EECFB">
      <w:pPr>
        <w:pStyle w:val="5"/>
        <w:spacing w:before="120" w:line="50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报价供应商名称（签章）：                          </w:t>
      </w:r>
    </w:p>
    <w:p w14:paraId="01A644C5">
      <w:pPr>
        <w:pStyle w:val="5"/>
        <w:spacing w:before="120" w:line="500" w:lineRule="exact"/>
        <w:rPr>
          <w:rFonts w:hint="eastAsia" w:ascii="黑体" w:hAnsi="黑体" w:eastAsia="黑体" w:cs="黑体"/>
          <w:color w:val="auto"/>
          <w:sz w:val="36"/>
          <w:szCs w:val="36"/>
          <w:highlight w:val="none"/>
        </w:rPr>
      </w:pPr>
      <w:r>
        <w:rPr>
          <w:rFonts w:hint="eastAsia" w:ascii="仿宋_GB2312" w:hAnsi="仿宋_GB2312" w:eastAsia="仿宋_GB2312" w:cs="仿宋_GB2312"/>
          <w:color w:val="auto"/>
          <w:sz w:val="24"/>
          <w:szCs w:val="24"/>
          <w:highlight w:val="none"/>
        </w:rPr>
        <w:t>报价日期：      年     月  日</w:t>
      </w:r>
    </w:p>
    <w:p w14:paraId="6DEE4C34">
      <w:pPr>
        <w:pStyle w:val="5"/>
        <w:spacing w:before="120" w:line="500" w:lineRule="exact"/>
        <w:rPr>
          <w:rFonts w:hint="eastAsia" w:ascii="黑体" w:hAnsi="黑体" w:eastAsia="黑体" w:cs="黑体"/>
          <w:color w:val="auto"/>
          <w:sz w:val="36"/>
          <w:szCs w:val="36"/>
          <w:highlight w:val="none"/>
        </w:rPr>
      </w:pPr>
      <w:r>
        <w:rPr>
          <w:rFonts w:hint="eastAsia" w:ascii="仿宋_GB2312" w:hAnsi="仿宋_GB2312" w:eastAsia="仿宋_GB2312" w:cs="仿宋_GB2312"/>
          <w:color w:val="auto"/>
          <w:sz w:val="24"/>
          <w:szCs w:val="24"/>
          <w:highlight w:val="none"/>
        </w:rPr>
        <w:br w:type="page"/>
      </w:r>
    </w:p>
    <w:p w14:paraId="0FB66DC2">
      <w:pPr>
        <w:pStyle w:val="5"/>
        <w:spacing w:before="120" w:line="500" w:lineRule="exact"/>
        <w:rPr>
          <w:rFonts w:hint="eastAsia" w:ascii="仿宋" w:hAnsi="仿宋" w:eastAsia="仿宋" w:cs="仿宋"/>
          <w:color w:val="auto"/>
          <w:sz w:val="24"/>
          <w:szCs w:val="24"/>
          <w:highlight w:val="none"/>
        </w:rPr>
      </w:pPr>
    </w:p>
    <w:p w14:paraId="2C34E6B2">
      <w:pPr>
        <w:rPr>
          <w:rFonts w:hint="eastAsia"/>
          <w:color w:val="auto"/>
          <w:highlight w:val="none"/>
          <w:lang w:val="en-US" w:eastAsia="zh-CN"/>
        </w:rPr>
      </w:pPr>
      <w:r>
        <w:rPr>
          <w:rFonts w:hint="eastAsia"/>
          <w:color w:val="auto"/>
          <w:highlight w:val="none"/>
          <w:lang w:val="en-US" w:eastAsia="zh-CN"/>
        </w:rPr>
        <w:t>响应文件附件要求：必须提供的其他材料包括不限于：</w:t>
      </w:r>
    </w:p>
    <w:p w14:paraId="7D8316C2">
      <w:pPr>
        <w:rPr>
          <w:rFonts w:hint="eastAsia"/>
          <w:color w:val="auto"/>
          <w:highlight w:val="none"/>
          <w:lang w:val="en-US" w:eastAsia="zh-CN"/>
        </w:rPr>
      </w:pPr>
      <w:r>
        <w:rPr>
          <w:rFonts w:hint="eastAsia"/>
          <w:color w:val="auto"/>
          <w:highlight w:val="none"/>
          <w:lang w:val="en-US" w:eastAsia="zh-CN"/>
        </w:rPr>
        <w:t>1.项目报价表（附件1）</w:t>
      </w:r>
    </w:p>
    <w:p w14:paraId="192164D2">
      <w:pPr>
        <w:rPr>
          <w:rFonts w:hint="default"/>
          <w:color w:val="auto"/>
          <w:highlight w:val="none"/>
          <w:lang w:val="en-US" w:eastAsia="zh-CN"/>
        </w:rPr>
      </w:pPr>
      <w:r>
        <w:rPr>
          <w:rFonts w:hint="eastAsia"/>
          <w:color w:val="auto"/>
          <w:highlight w:val="none"/>
          <w:lang w:val="en-US" w:eastAsia="zh-CN"/>
        </w:rPr>
        <w:t>2.货物技术参数配置清单（附件2）</w:t>
      </w:r>
    </w:p>
    <w:p w14:paraId="0AF508BC">
      <w:pPr>
        <w:rPr>
          <w:rFonts w:hint="eastAsia"/>
          <w:color w:val="auto"/>
          <w:highlight w:val="none"/>
          <w:lang w:val="en-US" w:eastAsia="zh-CN"/>
        </w:rPr>
      </w:pPr>
      <w:r>
        <w:rPr>
          <w:rFonts w:hint="eastAsia"/>
          <w:color w:val="auto"/>
          <w:highlight w:val="none"/>
          <w:lang w:val="en-US" w:eastAsia="zh-CN"/>
        </w:rPr>
        <w:t>3.技术参数及性能（配置）要求响应偏离表（附件3）</w:t>
      </w:r>
    </w:p>
    <w:p w14:paraId="3388D8A9">
      <w:pPr>
        <w:rPr>
          <w:rFonts w:hint="eastAsia"/>
          <w:color w:val="auto"/>
          <w:highlight w:val="none"/>
          <w:lang w:val="en-US" w:eastAsia="zh-CN"/>
        </w:rPr>
      </w:pPr>
      <w:r>
        <w:rPr>
          <w:rFonts w:hint="eastAsia"/>
          <w:color w:val="auto"/>
          <w:highlight w:val="none"/>
          <w:lang w:val="en-US" w:eastAsia="zh-CN"/>
        </w:rPr>
        <w:t>4.商务条款响应偏离表（附件4）</w:t>
      </w:r>
    </w:p>
    <w:p w14:paraId="2FB29466">
      <w:pPr>
        <w:rPr>
          <w:rFonts w:hint="eastAsia"/>
          <w:color w:val="auto"/>
          <w:highlight w:val="none"/>
          <w:lang w:val="en-US" w:eastAsia="zh-CN"/>
        </w:rPr>
      </w:pPr>
      <w:r>
        <w:rPr>
          <w:rFonts w:hint="eastAsia"/>
          <w:color w:val="auto"/>
          <w:highlight w:val="none"/>
          <w:lang w:val="en-US" w:eastAsia="zh-CN"/>
        </w:rPr>
        <w:t>5.符合本项目需求的有限期内的营业执照及其他有关证件复印件</w:t>
      </w:r>
    </w:p>
    <w:p w14:paraId="79347D35">
      <w:pPr>
        <w:rPr>
          <w:rFonts w:hint="eastAsia"/>
          <w:color w:val="auto"/>
          <w:highlight w:val="none"/>
          <w:lang w:val="en-US" w:eastAsia="zh-CN"/>
        </w:rPr>
      </w:pPr>
      <w:r>
        <w:rPr>
          <w:rFonts w:hint="eastAsia"/>
          <w:color w:val="auto"/>
          <w:highlight w:val="none"/>
          <w:lang w:val="en-US" w:eastAsia="zh-CN"/>
        </w:rPr>
        <w:t>6.服务承诺书（格式自拟）</w:t>
      </w:r>
    </w:p>
    <w:p w14:paraId="38DB87C0">
      <w:pPr>
        <w:rPr>
          <w:rFonts w:hint="default"/>
          <w:color w:val="auto"/>
          <w:highlight w:val="none"/>
          <w:lang w:val="en-US" w:eastAsia="zh-CN"/>
        </w:rPr>
      </w:pPr>
      <w:r>
        <w:rPr>
          <w:rFonts w:hint="eastAsia"/>
          <w:color w:val="auto"/>
          <w:highlight w:val="none"/>
          <w:lang w:val="en-US" w:eastAsia="zh-CN"/>
        </w:rPr>
        <w:t>7.需求中要求提供的相关证书等材料</w:t>
      </w:r>
    </w:p>
    <w:p w14:paraId="667727EC">
      <w:pPr>
        <w:rPr>
          <w:rFonts w:hint="default"/>
          <w:color w:val="auto"/>
          <w:highlight w:val="none"/>
          <w:lang w:val="en-US" w:eastAsia="zh-CN"/>
        </w:rPr>
      </w:pPr>
      <w:r>
        <w:rPr>
          <w:rFonts w:hint="eastAsia"/>
          <w:color w:val="auto"/>
          <w:highlight w:val="none"/>
          <w:lang w:val="en-US" w:eastAsia="zh-CN"/>
        </w:rPr>
        <w:t>以上材料均须加盖报价单位公章，电子档需转换成PDF文件上传采购平台，否则报价无效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BB75EC"/>
    <w:rsid w:val="0160602B"/>
    <w:rsid w:val="17F0746E"/>
    <w:rsid w:val="18AD587A"/>
    <w:rsid w:val="3358275F"/>
    <w:rsid w:val="40126699"/>
    <w:rsid w:val="49BB75EC"/>
    <w:rsid w:val="49CA63B2"/>
    <w:rsid w:val="56DC48C2"/>
    <w:rsid w:val="5F8C054B"/>
    <w:rsid w:val="65033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w:basedOn w:val="1"/>
    <w:qFormat/>
    <w:uiPriority w:val="0"/>
    <w:pPr>
      <w:spacing w:line="380" w:lineRule="exact"/>
    </w:pPr>
    <w:rPr>
      <w:rFonts w:ascii="Times New Roman" w:hAnsi="Times New Roman" w:eastAsia="宋体" w:cs="Times New Roman"/>
      <w:kern w:val="0"/>
      <w:sz w:val="24"/>
      <w:szCs w:val="24"/>
    </w:rPr>
  </w:style>
  <w:style w:type="paragraph" w:styleId="4">
    <w:name w:val="Body Text Indent"/>
    <w:basedOn w:val="1"/>
    <w:qFormat/>
    <w:uiPriority w:val="0"/>
    <w:pPr>
      <w:ind w:firstLine="830" w:firstLineChars="352"/>
    </w:pPr>
    <w:rPr>
      <w:rFonts w:ascii="仿宋_GB2312" w:eastAsia="仿宋_GB2312" w:cs="仿宋_GB2312"/>
      <w:sz w:val="32"/>
      <w:szCs w:val="32"/>
    </w:rPr>
  </w:style>
  <w:style w:type="paragraph" w:styleId="5">
    <w:name w:val="Plain Text"/>
    <w:basedOn w:val="1"/>
    <w:qFormat/>
    <w:uiPriority w:val="0"/>
    <w:rPr>
      <w:rFonts w:ascii="宋体" w:hAnsi="Courier New"/>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Body Text First Indent 2"/>
    <w:basedOn w:val="4"/>
    <w:next w:val="2"/>
    <w:qFormat/>
    <w:uiPriority w:val="0"/>
    <w:pPr>
      <w:spacing w:after="120"/>
      <w:ind w:left="420" w:leftChars="200" w:firstLine="420" w:firstLineChars="200"/>
    </w:pPr>
    <w:rPr>
      <w:rFonts w:ascii="Times New Roman" w:eastAsia="宋体"/>
      <w:sz w:val="21"/>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font3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1661</Words>
  <Characters>1986</Characters>
  <Lines>0</Lines>
  <Paragraphs>0</Paragraphs>
  <TotalTime>29</TotalTime>
  <ScaleCrop>false</ScaleCrop>
  <LinksUpToDate>false</LinksUpToDate>
  <CharactersWithSpaces>2030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2026-07-03T03:36:00Z</dcterms:created>
  <dc:creator>Li sa</dc:creator>
  <cp:lastModifiedBy>Li sa</cp:lastModifiedBy>
  <dcterms:modified xsi:type="dcterms:W3CDTF">2026-07-06T02:37:39Z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8D2EE33573E14DCAAC5291F37E8F7D03_11</vt:lpwstr>
  </property>
  <property fmtid="{D5CDD505-2E9C-101B-9397-08002B2CF9AE}" pid="4" name="KSOTemplateDocerSaveRecord">
    <vt:lpwstr>eyJoZGlkIjoiYjZhNzhlNTIxMWRhMmRkODZiZTJiZTc4NTU3MzQ4YjIiLCJ1c2VySWQiOiI2NTYxNDg4OTcifQ==</vt:lpwstr>
  </property>
</Properties>
</file>