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6C229D">
      <w:pPr>
        <w:spacing w:line="600" w:lineRule="exact"/>
        <w:ind w:left="-567" w:leftChars="-270" w:right="25" w:rightChars="12"/>
        <w:jc w:val="center"/>
        <w:rPr>
          <w:rFonts w:ascii="宋体" w:hAnsi="宋体" w:cs="宋体"/>
          <w:b/>
          <w:bCs/>
          <w:color w:val="auto"/>
          <w:sz w:val="40"/>
          <w:szCs w:val="40"/>
        </w:rPr>
      </w:pPr>
    </w:p>
    <w:p w14:paraId="44F657D9">
      <w:pPr>
        <w:spacing w:line="600" w:lineRule="exact"/>
        <w:ind w:left="-567" w:leftChars="-270" w:right="25" w:rightChars="12"/>
        <w:jc w:val="center"/>
        <w:rPr>
          <w:rFonts w:ascii="宋体" w:hAnsi="宋体" w:cs="宋体"/>
          <w:b/>
          <w:bCs/>
          <w:color w:val="auto"/>
          <w:sz w:val="40"/>
          <w:szCs w:val="40"/>
        </w:rPr>
      </w:pPr>
      <w:r>
        <w:rPr>
          <w:rFonts w:hint="eastAsia" w:ascii="宋体" w:hAnsi="宋体" w:cs="宋体"/>
          <w:b/>
          <w:bCs/>
          <w:color w:val="auto"/>
          <w:sz w:val="40"/>
          <w:szCs w:val="40"/>
        </w:rPr>
        <w:t>广西中医药大学附设中医学校（广西中医学校）</w:t>
      </w:r>
    </w:p>
    <w:p w14:paraId="6DED8E14">
      <w:pPr>
        <w:spacing w:line="600" w:lineRule="exact"/>
        <w:ind w:left="-567" w:leftChars="-270" w:right="25" w:rightChars="12"/>
        <w:jc w:val="center"/>
        <w:rPr>
          <w:rFonts w:ascii="仿宋" w:hAnsi="仿宋" w:eastAsia="仿宋" w:cs="仿宋"/>
          <w:b/>
          <w:bCs/>
          <w:color w:val="auto"/>
          <w:sz w:val="44"/>
          <w:szCs w:val="44"/>
        </w:rPr>
      </w:pPr>
      <w:r>
        <w:rPr>
          <w:rFonts w:hint="eastAsia" w:ascii="宋体" w:hAnsi="宋体" w:cs="宋体"/>
          <w:b/>
          <w:bCs/>
          <w:color w:val="auto"/>
          <w:sz w:val="40"/>
          <w:szCs w:val="40"/>
        </w:rPr>
        <w:t>智慧黑板</w:t>
      </w:r>
      <w:r>
        <w:rPr>
          <w:rFonts w:hint="eastAsia" w:ascii="宋体" w:hAnsi="宋体" w:cs="宋体"/>
          <w:b/>
          <w:bCs/>
          <w:color w:val="auto"/>
          <w:sz w:val="40"/>
          <w:szCs w:val="40"/>
          <w:lang w:val="en-US" w:eastAsia="zh-CN"/>
        </w:rPr>
        <w:t>及教学一体机</w:t>
      </w:r>
      <w:r>
        <w:rPr>
          <w:rFonts w:hint="eastAsia" w:ascii="宋体" w:hAnsi="宋体" w:cs="宋体"/>
          <w:b/>
          <w:bCs/>
          <w:color w:val="auto"/>
          <w:sz w:val="40"/>
          <w:szCs w:val="40"/>
        </w:rPr>
        <w:t>采购项目</w:t>
      </w:r>
      <w:r>
        <w:rPr>
          <w:rFonts w:hint="eastAsia" w:ascii="宋体" w:hAnsi="宋体" w:eastAsia="宋体" w:cs="宋体"/>
          <w:b/>
          <w:bCs/>
          <w:color w:val="auto"/>
          <w:sz w:val="40"/>
          <w:szCs w:val="40"/>
        </w:rPr>
        <w:t>需求文件</w:t>
      </w:r>
    </w:p>
    <w:p w14:paraId="32043CE3">
      <w:pPr>
        <w:widowControl/>
        <w:spacing w:line="640" w:lineRule="exact"/>
        <w:jc w:val="left"/>
        <w:textAlignment w:val="center"/>
        <w:rPr>
          <w:rFonts w:ascii="仿宋_GB2312" w:hAnsi="仿宋_GB2312" w:eastAsia="仿宋_GB2312" w:cs="仿宋_GB2312"/>
          <w:color w:val="auto"/>
          <w:sz w:val="32"/>
          <w:szCs w:val="32"/>
        </w:rPr>
      </w:pPr>
    </w:p>
    <w:p w14:paraId="7CED4B46">
      <w:pPr>
        <w:widowControl/>
        <w:spacing w:line="640" w:lineRule="exact"/>
        <w:ind w:firstLine="640" w:firstLineChars="200"/>
        <w:jc w:val="left"/>
        <w:textAlignment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项目名称：广西中医药大学附设中医学校（广西中医学校）东盟智慧黑板采购项目</w:t>
      </w:r>
    </w:p>
    <w:p w14:paraId="1DE1F51B">
      <w:pPr>
        <w:widowControl/>
        <w:spacing w:line="640" w:lineRule="exact"/>
        <w:ind w:firstLine="640" w:firstLineChars="200"/>
        <w:jc w:val="left"/>
        <w:textAlignment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项目采购预算：1440</w:t>
      </w:r>
      <w:r>
        <w:rPr>
          <w:rFonts w:ascii="仿宋_GB2312" w:hAnsi="仿宋_GB2312" w:eastAsia="仿宋_GB2312" w:cs="仿宋_GB2312"/>
          <w:color w:val="auto"/>
          <w:sz w:val="32"/>
          <w:szCs w:val="32"/>
        </w:rPr>
        <w:t>00</w:t>
      </w:r>
      <w:r>
        <w:rPr>
          <w:rFonts w:hint="eastAsia" w:ascii="仿宋_GB2312" w:hAnsi="仿宋_GB2312" w:eastAsia="仿宋_GB2312" w:cs="仿宋_GB2312"/>
          <w:color w:val="auto"/>
          <w:sz w:val="32"/>
          <w:szCs w:val="32"/>
        </w:rPr>
        <w:t>.00元</w:t>
      </w:r>
    </w:p>
    <w:p w14:paraId="16B55555">
      <w:pPr>
        <w:widowControl/>
        <w:spacing w:line="640" w:lineRule="exact"/>
        <w:ind w:firstLine="640" w:firstLineChars="200"/>
        <w:jc w:val="left"/>
        <w:textAlignment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采购方式：反向竞价</w:t>
      </w:r>
    </w:p>
    <w:p w14:paraId="183580AC">
      <w:pPr>
        <w:widowControl/>
        <w:spacing w:line="640" w:lineRule="exact"/>
        <w:ind w:firstLine="640" w:firstLineChars="200"/>
        <w:jc w:val="left"/>
        <w:textAlignment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项目概况：</w:t>
      </w:r>
    </w:p>
    <w:p w14:paraId="63D7B3E7">
      <w:pPr>
        <w:widowControl/>
        <w:spacing w:line="640" w:lineRule="exact"/>
        <w:ind w:firstLine="640" w:firstLineChars="200"/>
        <w:jc w:val="left"/>
        <w:textAlignment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详见采购需求一览表。</w:t>
      </w:r>
    </w:p>
    <w:p w14:paraId="3A9105F4">
      <w:pPr>
        <w:widowControl/>
        <w:spacing w:line="288" w:lineRule="auto"/>
        <w:jc w:val="center"/>
        <w:rPr>
          <w:rFonts w:ascii="宋体" w:hAnsi="宋体" w:cs="宋体"/>
          <w:b/>
          <w:bCs/>
          <w:color w:val="auto"/>
          <w:sz w:val="40"/>
          <w:szCs w:val="40"/>
        </w:rPr>
      </w:pPr>
    </w:p>
    <w:p w14:paraId="677C7B47">
      <w:pPr>
        <w:widowControl/>
        <w:spacing w:line="288" w:lineRule="auto"/>
        <w:jc w:val="center"/>
        <w:rPr>
          <w:rFonts w:ascii="宋体" w:hAnsi="宋体" w:cs="宋体"/>
          <w:b/>
          <w:bCs/>
          <w:color w:val="auto"/>
          <w:sz w:val="40"/>
          <w:szCs w:val="40"/>
        </w:rPr>
      </w:pPr>
    </w:p>
    <w:p w14:paraId="3A5C66DB">
      <w:pPr>
        <w:widowControl/>
        <w:spacing w:line="288" w:lineRule="auto"/>
        <w:jc w:val="center"/>
        <w:rPr>
          <w:rFonts w:ascii="宋体" w:hAnsi="宋体" w:cs="宋体"/>
          <w:b/>
          <w:bCs/>
          <w:color w:val="auto"/>
          <w:sz w:val="40"/>
          <w:szCs w:val="40"/>
        </w:rPr>
      </w:pPr>
    </w:p>
    <w:p w14:paraId="4C4BD489">
      <w:pPr>
        <w:widowControl/>
        <w:spacing w:line="288" w:lineRule="auto"/>
        <w:jc w:val="center"/>
        <w:rPr>
          <w:rFonts w:ascii="宋体" w:hAnsi="宋体" w:cs="宋体"/>
          <w:b/>
          <w:bCs/>
          <w:color w:val="auto"/>
          <w:sz w:val="40"/>
          <w:szCs w:val="40"/>
        </w:rPr>
      </w:pPr>
    </w:p>
    <w:p w14:paraId="2B3C727A">
      <w:pPr>
        <w:widowControl/>
        <w:spacing w:line="288" w:lineRule="auto"/>
        <w:jc w:val="center"/>
        <w:rPr>
          <w:rFonts w:ascii="宋体" w:hAnsi="宋体" w:cs="宋体"/>
          <w:b/>
          <w:bCs/>
          <w:color w:val="auto"/>
          <w:sz w:val="40"/>
          <w:szCs w:val="40"/>
        </w:rPr>
      </w:pPr>
    </w:p>
    <w:p w14:paraId="739B32E9">
      <w:pPr>
        <w:widowControl/>
        <w:spacing w:line="288" w:lineRule="auto"/>
        <w:jc w:val="center"/>
        <w:rPr>
          <w:rFonts w:ascii="宋体" w:hAnsi="宋体" w:cs="宋体"/>
          <w:b/>
          <w:bCs/>
          <w:color w:val="auto"/>
          <w:sz w:val="40"/>
          <w:szCs w:val="40"/>
        </w:rPr>
      </w:pPr>
    </w:p>
    <w:p w14:paraId="5002A65C">
      <w:pPr>
        <w:widowControl/>
        <w:spacing w:line="288" w:lineRule="auto"/>
        <w:jc w:val="center"/>
        <w:rPr>
          <w:rFonts w:ascii="宋体" w:hAnsi="宋体" w:cs="宋体"/>
          <w:b/>
          <w:bCs/>
          <w:color w:val="auto"/>
          <w:sz w:val="40"/>
          <w:szCs w:val="40"/>
        </w:rPr>
      </w:pPr>
    </w:p>
    <w:p w14:paraId="3021756C">
      <w:pPr>
        <w:widowControl/>
        <w:spacing w:line="288" w:lineRule="auto"/>
        <w:jc w:val="center"/>
        <w:rPr>
          <w:rFonts w:ascii="宋体" w:hAnsi="宋体" w:cs="宋体"/>
          <w:b/>
          <w:bCs/>
          <w:color w:val="auto"/>
          <w:sz w:val="40"/>
          <w:szCs w:val="40"/>
        </w:rPr>
      </w:pPr>
    </w:p>
    <w:p w14:paraId="1C992D70">
      <w:pPr>
        <w:widowControl/>
        <w:spacing w:line="288" w:lineRule="auto"/>
        <w:jc w:val="center"/>
        <w:rPr>
          <w:rFonts w:ascii="宋体" w:hAnsi="宋体" w:cs="宋体"/>
          <w:b/>
          <w:bCs/>
          <w:color w:val="auto"/>
          <w:sz w:val="40"/>
          <w:szCs w:val="40"/>
        </w:rPr>
      </w:pPr>
    </w:p>
    <w:p w14:paraId="47FFE4AF">
      <w:pPr>
        <w:widowControl/>
        <w:spacing w:line="288" w:lineRule="auto"/>
        <w:jc w:val="center"/>
        <w:rPr>
          <w:rFonts w:ascii="宋体" w:hAnsi="宋体" w:cs="宋体"/>
          <w:b/>
          <w:bCs/>
          <w:color w:val="auto"/>
          <w:sz w:val="40"/>
          <w:szCs w:val="40"/>
        </w:rPr>
      </w:pPr>
    </w:p>
    <w:p w14:paraId="2848A4FD">
      <w:pPr>
        <w:widowControl/>
        <w:spacing w:line="288" w:lineRule="auto"/>
        <w:jc w:val="center"/>
        <w:rPr>
          <w:rFonts w:ascii="宋体" w:hAnsi="宋体" w:cs="宋体"/>
          <w:b/>
          <w:bCs/>
          <w:color w:val="auto"/>
          <w:sz w:val="40"/>
          <w:szCs w:val="40"/>
        </w:rPr>
      </w:pPr>
    </w:p>
    <w:p w14:paraId="688036B7">
      <w:pPr>
        <w:widowControl/>
        <w:spacing w:line="288" w:lineRule="auto"/>
        <w:jc w:val="center"/>
        <w:rPr>
          <w:rFonts w:ascii="宋体" w:hAnsi="宋体" w:cs="宋体"/>
          <w:b/>
          <w:bCs/>
          <w:color w:val="auto"/>
          <w:sz w:val="40"/>
          <w:szCs w:val="40"/>
        </w:rPr>
      </w:pPr>
    </w:p>
    <w:p w14:paraId="58443873">
      <w:pPr>
        <w:widowControl/>
        <w:spacing w:line="288" w:lineRule="auto"/>
        <w:jc w:val="center"/>
        <w:rPr>
          <w:rFonts w:ascii="宋体" w:hAnsi="宋体" w:cs="宋体"/>
          <w:b/>
          <w:bCs/>
          <w:color w:val="auto"/>
          <w:sz w:val="40"/>
          <w:szCs w:val="40"/>
        </w:rPr>
      </w:pPr>
      <w:r>
        <w:rPr>
          <w:rFonts w:hint="eastAsia" w:ascii="宋体" w:hAnsi="宋体" w:cs="宋体"/>
          <w:b/>
          <w:bCs/>
          <w:color w:val="auto"/>
          <w:sz w:val="40"/>
          <w:szCs w:val="40"/>
        </w:rPr>
        <w:t>采购需求一览表</w:t>
      </w:r>
    </w:p>
    <w:tbl>
      <w:tblPr>
        <w:tblStyle w:val="1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
        <w:gridCol w:w="884"/>
        <w:gridCol w:w="886"/>
        <w:gridCol w:w="3384"/>
        <w:gridCol w:w="417"/>
        <w:gridCol w:w="530"/>
        <w:gridCol w:w="840"/>
        <w:gridCol w:w="1114"/>
      </w:tblGrid>
      <w:tr w14:paraId="6C54A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273" w:type="pct"/>
            <w:vAlign w:val="center"/>
          </w:tcPr>
          <w:p w14:paraId="616B89FE">
            <w:pPr>
              <w:spacing w:line="288" w:lineRule="auto"/>
              <w:jc w:val="center"/>
              <w:rPr>
                <w:rFonts w:ascii="宋体" w:hAnsi="宋体" w:cs="宋体"/>
                <w:b/>
                <w:bCs/>
                <w:color w:val="auto"/>
                <w:sz w:val="20"/>
                <w:szCs w:val="20"/>
                <w:highlight w:val="none"/>
              </w:rPr>
            </w:pPr>
            <w:r>
              <w:rPr>
                <w:rFonts w:hint="eastAsia" w:ascii="宋体" w:hAnsi="宋体" w:cs="宋体"/>
                <w:b/>
                <w:bCs/>
                <w:color w:val="auto"/>
                <w:sz w:val="20"/>
                <w:szCs w:val="20"/>
                <w:highlight w:val="none"/>
              </w:rPr>
              <w:t>序号</w:t>
            </w:r>
          </w:p>
        </w:tc>
        <w:tc>
          <w:tcPr>
            <w:tcW w:w="519" w:type="pct"/>
            <w:vAlign w:val="center"/>
          </w:tcPr>
          <w:p w14:paraId="64C0605D">
            <w:pPr>
              <w:spacing w:line="288" w:lineRule="auto"/>
              <w:jc w:val="center"/>
              <w:rPr>
                <w:rFonts w:ascii="宋体" w:hAnsi="宋体" w:cs="宋体"/>
                <w:b/>
                <w:bCs/>
                <w:color w:val="auto"/>
                <w:sz w:val="20"/>
                <w:szCs w:val="20"/>
                <w:highlight w:val="none"/>
              </w:rPr>
            </w:pPr>
            <w:r>
              <w:rPr>
                <w:rFonts w:hint="eastAsia" w:ascii="宋体" w:hAnsi="宋体" w:cs="宋体"/>
                <w:b/>
                <w:bCs/>
                <w:color w:val="auto"/>
                <w:sz w:val="20"/>
                <w:szCs w:val="20"/>
                <w:highlight w:val="none"/>
              </w:rPr>
              <w:t>货物名称</w:t>
            </w:r>
          </w:p>
        </w:tc>
        <w:tc>
          <w:tcPr>
            <w:tcW w:w="520" w:type="pct"/>
            <w:vAlign w:val="center"/>
          </w:tcPr>
          <w:p w14:paraId="11664D32">
            <w:pPr>
              <w:spacing w:line="288" w:lineRule="auto"/>
              <w:jc w:val="center"/>
              <w:rPr>
                <w:rFonts w:ascii="宋体" w:hAnsi="宋体" w:cs="宋体"/>
                <w:b/>
                <w:bCs/>
                <w:color w:val="auto"/>
                <w:sz w:val="20"/>
                <w:szCs w:val="20"/>
                <w:highlight w:val="none"/>
              </w:rPr>
            </w:pPr>
            <w:r>
              <w:rPr>
                <w:rFonts w:hint="eastAsia" w:ascii="宋体" w:hAnsi="宋体" w:cs="宋体"/>
                <w:b/>
                <w:bCs/>
                <w:color w:val="auto"/>
                <w:sz w:val="20"/>
                <w:szCs w:val="20"/>
                <w:highlight w:val="none"/>
              </w:rPr>
              <w:t>品牌型号</w:t>
            </w:r>
          </w:p>
        </w:tc>
        <w:tc>
          <w:tcPr>
            <w:tcW w:w="1986" w:type="pct"/>
            <w:vAlign w:val="center"/>
          </w:tcPr>
          <w:p w14:paraId="78FC9F7A">
            <w:pPr>
              <w:spacing w:line="288" w:lineRule="auto"/>
              <w:jc w:val="center"/>
              <w:rPr>
                <w:rFonts w:ascii="宋体" w:hAnsi="宋体" w:cs="宋体"/>
                <w:b/>
                <w:bCs/>
                <w:color w:val="auto"/>
                <w:sz w:val="20"/>
                <w:szCs w:val="20"/>
                <w:highlight w:val="none"/>
              </w:rPr>
            </w:pPr>
            <w:r>
              <w:rPr>
                <w:rFonts w:hint="eastAsia" w:ascii="宋体" w:hAnsi="宋体" w:cs="宋体"/>
                <w:b/>
                <w:bCs/>
                <w:color w:val="auto"/>
                <w:sz w:val="20"/>
                <w:szCs w:val="20"/>
                <w:highlight w:val="none"/>
              </w:rPr>
              <w:t>规格参数</w:t>
            </w:r>
          </w:p>
        </w:tc>
        <w:tc>
          <w:tcPr>
            <w:tcW w:w="244" w:type="pct"/>
            <w:vAlign w:val="center"/>
          </w:tcPr>
          <w:p w14:paraId="4061937A">
            <w:pPr>
              <w:spacing w:line="288" w:lineRule="auto"/>
              <w:rPr>
                <w:rFonts w:ascii="宋体" w:hAnsi="宋体" w:cs="宋体"/>
                <w:b/>
                <w:bCs/>
                <w:color w:val="auto"/>
                <w:sz w:val="20"/>
                <w:szCs w:val="20"/>
                <w:highlight w:val="none"/>
              </w:rPr>
            </w:pPr>
            <w:r>
              <w:rPr>
                <w:rFonts w:hint="eastAsia" w:ascii="宋体" w:hAnsi="宋体" w:cs="宋体"/>
                <w:b/>
                <w:bCs/>
                <w:color w:val="auto"/>
                <w:sz w:val="20"/>
                <w:szCs w:val="20"/>
                <w:highlight w:val="none"/>
              </w:rPr>
              <w:t>数量</w:t>
            </w:r>
          </w:p>
        </w:tc>
        <w:tc>
          <w:tcPr>
            <w:tcW w:w="311" w:type="pct"/>
            <w:vAlign w:val="center"/>
          </w:tcPr>
          <w:p w14:paraId="1EF7988A">
            <w:pPr>
              <w:spacing w:line="288" w:lineRule="auto"/>
              <w:rPr>
                <w:rFonts w:ascii="宋体" w:hAnsi="宋体" w:cs="宋体"/>
                <w:b/>
                <w:bCs/>
                <w:color w:val="auto"/>
                <w:sz w:val="20"/>
                <w:szCs w:val="20"/>
                <w:highlight w:val="none"/>
              </w:rPr>
            </w:pPr>
            <w:r>
              <w:rPr>
                <w:rFonts w:hint="eastAsia" w:ascii="宋体" w:hAnsi="宋体" w:cs="宋体"/>
                <w:b/>
                <w:bCs/>
                <w:color w:val="auto"/>
                <w:sz w:val="20"/>
                <w:szCs w:val="20"/>
                <w:highlight w:val="none"/>
              </w:rPr>
              <w:t>单位</w:t>
            </w:r>
          </w:p>
        </w:tc>
        <w:tc>
          <w:tcPr>
            <w:tcW w:w="491" w:type="pct"/>
            <w:vAlign w:val="center"/>
          </w:tcPr>
          <w:p w14:paraId="24E5295D">
            <w:pPr>
              <w:spacing w:line="288" w:lineRule="auto"/>
              <w:rPr>
                <w:rFonts w:ascii="宋体" w:hAnsi="宋体" w:cs="宋体"/>
                <w:b/>
                <w:bCs/>
                <w:color w:val="auto"/>
                <w:sz w:val="20"/>
                <w:szCs w:val="20"/>
                <w:highlight w:val="none"/>
              </w:rPr>
            </w:pPr>
            <w:r>
              <w:rPr>
                <w:rFonts w:hint="eastAsia" w:ascii="宋体" w:hAnsi="宋体" w:cs="宋体"/>
                <w:b/>
                <w:bCs/>
                <w:color w:val="auto"/>
                <w:sz w:val="20"/>
                <w:szCs w:val="20"/>
                <w:highlight w:val="none"/>
              </w:rPr>
              <w:t>单价限价（元）</w:t>
            </w:r>
          </w:p>
        </w:tc>
        <w:tc>
          <w:tcPr>
            <w:tcW w:w="653" w:type="pct"/>
            <w:vAlign w:val="center"/>
          </w:tcPr>
          <w:p w14:paraId="007B1EA1">
            <w:pPr>
              <w:spacing w:line="288" w:lineRule="auto"/>
              <w:rPr>
                <w:rFonts w:ascii="宋体" w:hAnsi="宋体" w:cs="宋体"/>
                <w:b/>
                <w:bCs/>
                <w:color w:val="auto"/>
                <w:sz w:val="20"/>
                <w:szCs w:val="20"/>
                <w:highlight w:val="none"/>
              </w:rPr>
            </w:pPr>
            <w:r>
              <w:rPr>
                <w:rFonts w:hint="eastAsia" w:ascii="宋体" w:hAnsi="宋体" w:cs="宋体"/>
                <w:b/>
                <w:bCs/>
                <w:color w:val="auto"/>
                <w:sz w:val="20"/>
                <w:szCs w:val="20"/>
                <w:highlight w:val="none"/>
                <w:lang w:val="en-US" w:eastAsia="zh-CN"/>
              </w:rPr>
              <w:t>小计限价</w:t>
            </w:r>
            <w:r>
              <w:rPr>
                <w:rFonts w:hint="eastAsia" w:ascii="宋体" w:hAnsi="宋体" w:cs="宋体"/>
                <w:b/>
                <w:bCs/>
                <w:color w:val="auto"/>
                <w:sz w:val="20"/>
                <w:szCs w:val="20"/>
                <w:highlight w:val="none"/>
              </w:rPr>
              <w:t>（元）</w:t>
            </w:r>
          </w:p>
        </w:tc>
      </w:tr>
      <w:tr w14:paraId="096BF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9" w:hRule="atLeast"/>
        </w:trPr>
        <w:tc>
          <w:tcPr>
            <w:tcW w:w="273" w:type="pct"/>
            <w:vAlign w:val="center"/>
          </w:tcPr>
          <w:p w14:paraId="699523F5">
            <w:pPr>
              <w:spacing w:line="288" w:lineRule="auto"/>
              <w:jc w:val="center"/>
              <w:rPr>
                <w:rFonts w:ascii="宋体" w:hAnsi="宋体" w:cs="宋体"/>
                <w:color w:val="auto"/>
                <w:sz w:val="20"/>
                <w:szCs w:val="20"/>
                <w:highlight w:val="none"/>
              </w:rPr>
            </w:pPr>
            <w:r>
              <w:rPr>
                <w:rFonts w:hint="eastAsia" w:ascii="宋体" w:hAnsi="宋体" w:cs="宋体"/>
                <w:color w:val="auto"/>
                <w:sz w:val="20"/>
                <w:szCs w:val="20"/>
                <w:highlight w:val="none"/>
              </w:rPr>
              <w:t>1</w:t>
            </w:r>
          </w:p>
        </w:tc>
        <w:tc>
          <w:tcPr>
            <w:tcW w:w="519" w:type="pct"/>
            <w:vAlign w:val="center"/>
          </w:tcPr>
          <w:p w14:paraId="64562F29">
            <w:pPr>
              <w:spacing w:line="288" w:lineRule="auto"/>
              <w:jc w:val="center"/>
              <w:rPr>
                <w:rFonts w:ascii="宋体" w:hAnsi="宋体" w:cs="宋体"/>
                <w:color w:val="auto"/>
                <w:sz w:val="20"/>
                <w:szCs w:val="20"/>
                <w:highlight w:val="none"/>
              </w:rPr>
            </w:pPr>
            <w:r>
              <w:rPr>
                <w:rFonts w:hint="eastAsia" w:ascii="宋体" w:hAnsi="宋体" w:cs="宋体"/>
                <w:color w:val="auto"/>
                <w:sz w:val="20"/>
                <w:szCs w:val="20"/>
                <w:highlight w:val="none"/>
              </w:rPr>
              <w:t>智慧</w:t>
            </w:r>
            <w:r>
              <w:rPr>
                <w:rFonts w:ascii="宋体" w:hAnsi="宋体" w:cs="宋体"/>
                <w:color w:val="auto"/>
                <w:sz w:val="20"/>
                <w:szCs w:val="20"/>
                <w:highlight w:val="none"/>
              </w:rPr>
              <w:t>黑板</w:t>
            </w:r>
          </w:p>
        </w:tc>
        <w:tc>
          <w:tcPr>
            <w:tcW w:w="520" w:type="pct"/>
            <w:vAlign w:val="center"/>
          </w:tcPr>
          <w:p w14:paraId="38AB37C7">
            <w:pPr>
              <w:spacing w:line="288" w:lineRule="auto"/>
              <w:jc w:val="center"/>
              <w:rPr>
                <w:rFonts w:ascii="宋体" w:hAnsi="宋体" w:cs="宋体"/>
                <w:color w:val="auto"/>
                <w:sz w:val="20"/>
                <w:szCs w:val="20"/>
                <w:highlight w:val="none"/>
              </w:rPr>
            </w:pPr>
            <w:r>
              <w:rPr>
                <w:rFonts w:hint="eastAsia" w:ascii="宋体" w:hAnsi="宋体" w:cs="宋体"/>
                <w:color w:val="auto"/>
                <w:sz w:val="20"/>
                <w:szCs w:val="20"/>
                <w:highlight w:val="none"/>
              </w:rPr>
              <w:t>希沃</w:t>
            </w:r>
          </w:p>
          <w:p w14:paraId="1440F54D">
            <w:pPr>
              <w:spacing w:line="288" w:lineRule="auto"/>
              <w:jc w:val="center"/>
              <w:rPr>
                <w:rFonts w:ascii="宋体" w:hAnsi="宋体" w:cs="宋体"/>
                <w:color w:val="auto"/>
                <w:sz w:val="20"/>
                <w:szCs w:val="20"/>
                <w:highlight w:val="none"/>
              </w:rPr>
            </w:pPr>
            <w:r>
              <w:rPr>
                <w:rFonts w:ascii="宋体" w:hAnsi="宋体" w:cs="宋体"/>
                <w:color w:val="auto"/>
                <w:sz w:val="20"/>
                <w:szCs w:val="20"/>
                <w:highlight w:val="none"/>
              </w:rPr>
              <w:t>BH86EA</w:t>
            </w:r>
          </w:p>
        </w:tc>
        <w:tc>
          <w:tcPr>
            <w:tcW w:w="1986" w:type="pct"/>
          </w:tcPr>
          <w:p w14:paraId="435F5BDE">
            <w:pPr>
              <w:spacing w:line="460" w:lineRule="exact"/>
              <w:jc w:val="left"/>
              <w:rPr>
                <w:rFonts w:ascii="宋体" w:hAnsi="宋体" w:cs="宋体"/>
                <w:b/>
                <w:color w:val="auto"/>
                <w:kern w:val="0"/>
                <w:sz w:val="20"/>
                <w:szCs w:val="20"/>
                <w:highlight w:val="none"/>
              </w:rPr>
            </w:pPr>
            <w:r>
              <w:rPr>
                <w:rFonts w:hint="eastAsia" w:ascii="宋体" w:hAnsi="宋体" w:cs="宋体"/>
                <w:b/>
                <w:color w:val="auto"/>
                <w:kern w:val="0"/>
                <w:sz w:val="20"/>
                <w:szCs w:val="20"/>
                <w:highlight w:val="none"/>
              </w:rPr>
              <w:t>一、整体设计</w:t>
            </w:r>
          </w:p>
          <w:p w14:paraId="6581B290">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 整体外观尺寸：宽≥6000mm，高≥1200mm，厚≤111mm。</w:t>
            </w:r>
          </w:p>
          <w:p w14:paraId="72CC099F">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 整机屏幕边缘采用金属圆角包边防护，整机背板采用金属材质，有效屏蔽内部电路器件辐射；防潮耐盐雾蚀锈，适应多种教学环境。</w:t>
            </w:r>
          </w:p>
          <w:p w14:paraId="5482DB55">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 长时间无人使用屏幕可自动息屏，用户可通过整机内置触摸中控菜单进行开启和关闭，可自定义无人操作息屏时间间隔为1小时、2小时。</w:t>
            </w:r>
          </w:p>
          <w:p w14:paraId="795AE2C6">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4. 整机能感应并自动调节屏幕亮度来达到在不同光照环境下的不同亮度显示效果。此功能可自行开启或关闭。</w:t>
            </w:r>
          </w:p>
          <w:p w14:paraId="0D8F7CB1">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 主屏支持普通粉笔直接书写。整机两侧副屏可支持以下媒介（普通粉笔、液体粉笔、成膜笔）进行板书书写。</w:t>
            </w:r>
          </w:p>
          <w:p w14:paraId="5F013D7E">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6. 整机设备副屏支持磁吸附功能，可以满足带有磁吸的板擦教具进行吸附在副屏上。</w:t>
            </w:r>
          </w:p>
          <w:p w14:paraId="505B033A">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★7. 整机屏幕采用2块≥86英寸液晶显示器。</w:t>
            </w:r>
          </w:p>
          <w:p w14:paraId="4628CFC9">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8. 侧置输入接口具备≥2路HDMI、≥1路RS232（RJ45形态）、≥1路USB接口。侧置输出接口具备≥1路音频输出、≥1路触控USB输出。前置输入接口≥3路USB接口（包含1路Type-C、2路USB）。</w:t>
            </w:r>
          </w:p>
          <w:p w14:paraId="484710AD">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9.前置USB接口支持Android系统、Windows系统读取外接移动存储设备。</w:t>
            </w:r>
          </w:p>
          <w:p w14:paraId="6E1482DA">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 整机嵌入式系统版本≥Android 15，CPU≥8核，主频≥1.6GHz，内存≥2GB，存储空间≥32GB。（供货时须提供具有CMA或CNAS认证资质的第三方检测机构出具的该功能检测报告复印件）</w:t>
            </w:r>
          </w:p>
          <w:p w14:paraId="37AEDF49">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11. 整机CPU芯片，WIFI与蓝牙芯片、摄像头图像处理芯片、均采用国产自主芯片。</w:t>
            </w:r>
          </w:p>
          <w:p w14:paraId="6FAE9C30">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12. 整机从待机状态下（待机功耗≤0.5W），可12s内开机进入到系统主页，并达到可触控状态。</w:t>
            </w:r>
          </w:p>
          <w:p w14:paraId="03E10575">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13. 整机全通道支持4K显示，包括安卓通道、PC通道、HDMI通道。</w:t>
            </w:r>
          </w:p>
          <w:p w14:paraId="2A30637C">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14. 整机设备支持非外部插拔式运行内存扩展技术，实时可用运行内存可达4GB，提高运行速度。</w:t>
            </w:r>
          </w:p>
          <w:p w14:paraId="02A982A1">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15. 从内部Android通道切换到内部PC通道后，触摸框在1s内达到可触控状态。</w:t>
            </w:r>
          </w:p>
          <w:p w14:paraId="5113A8CF">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16. 从内部PC通道切换到外部通道后，触摸框在3s内达到可触控状态。</w:t>
            </w:r>
          </w:p>
          <w:p w14:paraId="6E4E10F1">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17. 部署单根网线可实现Android、Windows双系统有线网络连通。</w:t>
            </w:r>
          </w:p>
          <w:p w14:paraId="69E9C391">
            <w:pPr>
              <w:spacing w:line="460" w:lineRule="exact"/>
              <w:jc w:val="left"/>
              <w:rPr>
                <w:rFonts w:ascii="宋体" w:hAnsi="宋体" w:cs="宋体"/>
                <w:b/>
                <w:color w:val="auto"/>
                <w:kern w:val="0"/>
                <w:sz w:val="20"/>
                <w:szCs w:val="20"/>
                <w:highlight w:val="none"/>
              </w:rPr>
            </w:pPr>
            <w:r>
              <w:rPr>
                <w:rFonts w:hint="eastAsia" w:ascii="宋体" w:hAnsi="宋体" w:cs="宋体"/>
                <w:b/>
                <w:color w:val="auto"/>
                <w:kern w:val="0"/>
                <w:sz w:val="20"/>
                <w:szCs w:val="20"/>
                <w:highlight w:val="none"/>
              </w:rPr>
              <w:t>二、OPS电脑配置</w:t>
            </w:r>
          </w:p>
          <w:p w14:paraId="72E68A39">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 采用≥Intel 12代i5酷睿系列CPU，内存≥16GB，固态硬盘≥512GB。</w:t>
            </w:r>
          </w:p>
          <w:p w14:paraId="70AF627C">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 预装正版Windows操作系统。</w:t>
            </w:r>
          </w:p>
          <w:p w14:paraId="77A5564F">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 采用按压式卡扣，无需工具即可快速拆卸电脑模块。</w:t>
            </w:r>
          </w:p>
          <w:p w14:paraId="64238DA9">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4. PC模块可抽拉式插入整机，可实现无单独接线的拔插。</w:t>
            </w:r>
          </w:p>
          <w:p w14:paraId="5EB3F18B">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 具有独立非外拓展的视频输出接口：≥1路HDMI。</w:t>
            </w:r>
          </w:p>
          <w:p w14:paraId="1C49EEB9">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6. 具有独立非外拓展的电脑USB接口：至少具备≥3个USB3.0接口，≥3个USB2.0接口。</w:t>
            </w:r>
          </w:p>
          <w:p w14:paraId="6DC1D4C0">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7. 具有≥1个RJ45接口。</w:t>
            </w:r>
          </w:p>
          <w:p w14:paraId="2253C8EC">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8. 支持≥1个3.5mm MIC in音频接口。</w:t>
            </w:r>
          </w:p>
          <w:p w14:paraId="239D9712">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9. 具有标准PC防盗锁孔，确保电脑模块安全防盗。</w:t>
            </w:r>
          </w:p>
          <w:p w14:paraId="5D481452">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 和整机的连接采用万兆级接口，传输速率≥10Gbps。</w:t>
            </w:r>
          </w:p>
          <w:p w14:paraId="5562B30E">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三、显示设计</w:t>
            </w:r>
          </w:p>
          <w:p w14:paraId="18EC6973">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 整机采用超高清LED液晶A规屏，显示分辨率3840x2160，可视角度≥178°,显示比例16:9。</w:t>
            </w:r>
          </w:p>
          <w:p w14:paraId="2F716A3C">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 整机显示屏幕采用全贴合方式，减少显示面板与玻璃间的偏光、散射，画面显示更加清晰通透、可视角度更广。</w:t>
            </w:r>
          </w:p>
          <w:p w14:paraId="1D3C9E9F">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 整机屏幕保护玻璃与显示液晶屏组件，在结构上通过光学胶完全贴合在一起，中间贴合层无空气介质。</w:t>
            </w:r>
          </w:p>
          <w:p w14:paraId="295D2A7B">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4. 整机设备屏幕亮度≥350cd/㎡，整机色域覆盖率（NTSC）≥72%，灰阶等级≥256级。</w:t>
            </w:r>
          </w:p>
          <w:p w14:paraId="6A283EB4">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 整机内置全视角背光增光膜，通过增光膜对背光光源进行均光，整机屏幕中心亮度三分之一的亮度观看视角≥130°。</w:t>
            </w:r>
          </w:p>
          <w:p w14:paraId="285663EE">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6. 整机内置全视角背光增光膜，通过增光膜对背光光源进行均光，在屏幕中心亮度≥350cd/㎡下，增加屏幕两侧亮度，使得整机水平方向法线60度视角下，实际屏幕的观看有效亮度≥110cd/㎡。</w:t>
            </w:r>
          </w:p>
          <w:p w14:paraId="22D3DB2E">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7. 整机内置全视角背光增光膜，通过增光膜对背光光源进行均光，整机白场画面下亮度均匀性≥85%。</w:t>
            </w:r>
          </w:p>
          <w:p w14:paraId="434A2351">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8. 屏幕采用≤3mm防眩光钢化玻璃保护，表面硬度≥9H，莫氏硬度≥7级，透光率不低于91%，雾度≤8%。</w:t>
            </w:r>
          </w:p>
          <w:p w14:paraId="0580745F">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9. 整机背光系统支持DC调光方式，多级亮度调节，支持白颜色背景下最暗亮度≤100nit，用于提升显示对比度。</w:t>
            </w:r>
          </w:p>
          <w:p w14:paraId="5CD89BB9">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 整机屏幕蓝光占比（有害蓝光415～455nm能量综合）/（整体蓝光400～500nm能量综合）＜50%。</w:t>
            </w:r>
          </w:p>
          <w:p w14:paraId="60A9BB6F">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11. 支持标准、多媒体和节能三种图像模式调节。</w:t>
            </w:r>
          </w:p>
          <w:p w14:paraId="54B6B764">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12. 支持自定义图像设置，可对对比度、屏幕色温、图像亮度、亮度范围、色彩空间调节设置。</w:t>
            </w:r>
          </w:p>
          <w:p w14:paraId="31AA6F14">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13. 整机系统支持手势上滑调出智能画质调节，开启AIPQ功能后，播放视频即可根据屏幕内容自动调节画质参数，当屏幕出现人物、建筑、夜景元素时，自动调整对比度、饱和度、锐利度、色调色相值、高光/阴影，让整个画面显示效果更佳。</w:t>
            </w:r>
          </w:p>
          <w:p w14:paraId="4003100B">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14. 整机视网膜蓝光危害（蓝光加权辐射亮度LB）满足IEC TR 62778:2014蓝光危害RG0级别。</w:t>
            </w:r>
          </w:p>
          <w:p w14:paraId="2DD95FE8">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15. 整机全通道支持纸质护眼模式，可实现画面纹理的实时调整；支持纸质纹理：牛皮纸、素描纸、宣纸、水彩纸、水纹纸；支持透明度调节；支持色温调节。</w:t>
            </w:r>
          </w:p>
          <w:p w14:paraId="318F52B0">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16. 纸质护眼模式下，显示画面各像素点灰度不规则，减少背景干扰。</w:t>
            </w:r>
          </w:p>
          <w:p w14:paraId="54075D2A">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17. 采用全物理钢化玻璃，有效保护屏幕显示画面。支持防眩光功能，玻璃表面采用纳米材料镀膜环保工艺，书写更加顺滑，防眩光效果更加优异。</w:t>
            </w:r>
          </w:p>
          <w:p w14:paraId="550E1395">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18. 触摸屏在照度≥100k lx（勒克司）环境下仍能正常工作。</w:t>
            </w:r>
          </w:p>
          <w:p w14:paraId="69B83679">
            <w:pPr>
              <w:spacing w:line="460" w:lineRule="exact"/>
              <w:jc w:val="left"/>
              <w:rPr>
                <w:rFonts w:ascii="宋体" w:hAnsi="宋体" w:cs="宋体"/>
                <w:b/>
                <w:color w:val="auto"/>
                <w:kern w:val="0"/>
                <w:sz w:val="20"/>
                <w:szCs w:val="20"/>
                <w:highlight w:val="none"/>
              </w:rPr>
            </w:pPr>
            <w:r>
              <w:rPr>
                <w:rFonts w:hint="eastAsia" w:ascii="宋体" w:hAnsi="宋体" w:cs="宋体"/>
                <w:b/>
                <w:color w:val="auto"/>
                <w:kern w:val="0"/>
                <w:sz w:val="20"/>
                <w:szCs w:val="20"/>
                <w:highlight w:val="none"/>
              </w:rPr>
              <w:t>四、按键设计</w:t>
            </w:r>
          </w:p>
          <w:p w14:paraId="4D762238">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 三合一电源按键，同一电源物理按键完成Android系统和Windows系统的开机、节能熄屏、关机操作；关机状态下按按键开机；开机状态下按按键实现节能熄屏/唤醒，长按按键实现关机。</w:t>
            </w:r>
          </w:p>
          <w:p w14:paraId="5A31EA66">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 整机具备≥6前置按键，可实现开关机、音量＋－、护眼、录屏、设置功能。</w:t>
            </w:r>
          </w:p>
          <w:p w14:paraId="07B039E4">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 整机为适配教学场景的便捷使用，设备按键采用简洁化设计，前置接口与按键在设备同一侧。</w:t>
            </w:r>
          </w:p>
          <w:p w14:paraId="4A49BE3E">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4. 支持经典护眼模式，可通过前置面板物理功能按键一键启用经典护眼模式。</w:t>
            </w:r>
          </w:p>
          <w:p w14:paraId="74CD97C4">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 设备支持通过前置面板物理按键一键启动录屏功能，可将屏幕中显示的课件、音频内容与人声同时录制。</w:t>
            </w:r>
          </w:p>
          <w:p w14:paraId="2DAAA8CC">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6. 整机前置按键支持自定义设置，可通过自定义设置实现前置面板功能按键一键启用任一全局小工具（批注、截屏、计时、降半屏、放大镜、倒数日、日历）、快捷开关（节能模式、纸质护眼模式、经典护眼模式、自动亮度模式）。</w:t>
            </w:r>
          </w:p>
          <w:p w14:paraId="229AF150">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五、</w:t>
            </w:r>
            <w:r>
              <w:rPr>
                <w:rFonts w:hint="eastAsia" w:ascii="宋体" w:hAnsi="宋体" w:cs="宋体"/>
                <w:b/>
                <w:color w:val="auto"/>
                <w:kern w:val="0"/>
                <w:sz w:val="20"/>
                <w:szCs w:val="20"/>
                <w:highlight w:val="none"/>
              </w:rPr>
              <w:t>无线设计</w:t>
            </w:r>
          </w:p>
          <w:p w14:paraId="1C5E7570">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 整机无需外接无线网卡，在Windows系统下可实现Wi-Fi无线上网连接、AP无线热点发射和BT蓝牙连接功能。</w:t>
            </w:r>
          </w:p>
          <w:p w14:paraId="2F56CB74">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 整机无线模块（Wi-Fi和蓝牙）采用独立模块化设计，无需拆卸整机后壳即可独立拆装。</w:t>
            </w:r>
          </w:p>
          <w:p w14:paraId="4EB18A9A">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 Wi-Fi和AP热点工作距离≥12m。</w:t>
            </w:r>
          </w:p>
          <w:p w14:paraId="754B1EBF">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★4. 整机支持≥蓝牙Bluetooth 5.4标准，固件版本号HCI13.0/LMP13.0。（供货时须提供具有CMA或CNAS认证资质的第三方检测机构出具的该功能检测报告复印件）</w:t>
            </w:r>
          </w:p>
          <w:p w14:paraId="558E7792">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 整机PC端支持主动发现蓝牙外设从而连接（无需整机进入发现模式），支持连接外部蓝牙音箱播放音频。</w:t>
            </w:r>
          </w:p>
          <w:p w14:paraId="383436EF">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★6. 整机支持发出频率为18kHz-22kHz超声波信号，智能手机和笔记本电脑接收超声波信号后可以自动识别附近投屏设备，点击对应设备即可完成投屏操作。（供货时须提供具有CMA或CNAS认证资质的第三方检测机构出具的该功能检测报告复印件）</w:t>
            </w:r>
          </w:p>
          <w:p w14:paraId="71AB6D91">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★7. 整机配套教学应用APP可通过wifi直连技术，近场发现附近教学大屏设备，无需扫码、账号密码输入步骤，即可直接连接并登录教学大屏设备，基于统一身份认证机制可实现其他教学软件免登录操作。（供货时须提供具有CMA或CNAS认证资质的第三方检测机构出具的该功能检测报告复印件）</w:t>
            </w:r>
          </w:p>
          <w:p w14:paraId="5B870EAC">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★8. 整机内置传屏接收模块，整机不需要连接任何附加设备，可实现外部电脑、手机设备的音视频信号实时传输到整机上；当使用外部电脑传屏时，支持触摸回传，屏幕上部显示传屏工具栏，可以进行触摸回传控制、勿扰模式、暂停投屏功能；开启勿扰模式时，不允许其他人再进行传屏；投屏时可以选择特定应用窗口，从而实现过滤其他应用窗口，如邮件应用窗口。（供货时须提供具有CMA或CNAS认证资质的第三方检测机构出具的该功能检测报告复印件）</w:t>
            </w:r>
          </w:p>
          <w:p w14:paraId="77DEF287">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9. 整机内置双WiFi6无线网卡（不接受外接），在Android和Windows系统下，可实现Wi-Fi无线上网连接、AP无线热点发射。</w:t>
            </w:r>
          </w:p>
          <w:p w14:paraId="56154DC3">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 整机内置双WiFi6无线网卡（不接受外接），在Android下支持无线设备同时连接数量≥32个，在Windows系统下支持无线设备同时连接≥8个。</w:t>
            </w:r>
          </w:p>
          <w:p w14:paraId="19DA9948">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11. 整机无需外接无线网卡，在Windows系统下接入无线网络，切换到嵌入式Android系统下可直接实现无线上网功能，不需手动重复设置。（供货时须提供具有CMA或CNAS认证资质的第三方检测机构出具的该功能检测报告复印件）12. Wi-Fi及AP热点支持频段2.4GHz/5GHz 。</w:t>
            </w:r>
          </w:p>
          <w:p w14:paraId="70BE808F">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13. Wi-Fi制式支持IEEE 802.11 a/b/g/n/ac/ax；支持版本Wi-Fi6。</w:t>
            </w:r>
          </w:p>
          <w:p w14:paraId="5E2831C5">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14. 整机PC通道及安卓通道各具备一颗WiFi6无线芯片，PC和安卓通道均可通过大屏发送WiFi6热点以及连接WiFi6的路由器。</w:t>
            </w:r>
          </w:p>
          <w:p w14:paraId="0F8FDDAA">
            <w:pPr>
              <w:spacing w:line="460" w:lineRule="exact"/>
              <w:jc w:val="left"/>
              <w:rPr>
                <w:rFonts w:ascii="宋体" w:hAnsi="宋体" w:cs="宋体"/>
                <w:b/>
                <w:color w:val="auto"/>
                <w:kern w:val="0"/>
                <w:sz w:val="20"/>
                <w:szCs w:val="20"/>
                <w:highlight w:val="none"/>
              </w:rPr>
            </w:pPr>
            <w:r>
              <w:rPr>
                <w:rFonts w:hint="eastAsia" w:ascii="宋体" w:hAnsi="宋体" w:cs="宋体"/>
                <w:b/>
                <w:color w:val="auto"/>
                <w:kern w:val="0"/>
                <w:sz w:val="20"/>
                <w:szCs w:val="20"/>
                <w:highlight w:val="none"/>
              </w:rPr>
              <w:t>六、摄像头设计</w:t>
            </w:r>
          </w:p>
          <w:p w14:paraId="700F0CC8">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 整机内置摄像头（非外扩），PC通道下支持通过视频展台软件调用摄像头进行二维码扫码识别。</w:t>
            </w:r>
          </w:p>
          <w:p w14:paraId="3F474A9A">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 整机上边框内置非独立式摄像头，摄像头数量≥5个，其中至少四个摄像头像素值均≥1300 万，支持拍摄有效像素数≥5200万的照片，支持拍摄8192×2772分辨率的视频。（供货时须提供具有CMA或CNAS认证资质的第三方检测机构出具的该功能检测报告复印件）</w:t>
            </w:r>
          </w:p>
          <w:p w14:paraId="12B42412">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 整机上边框内置至少5个摄像头，其中广角摄像头最大视场角≥145度且水平视场角≥130度，支持输出4:3、16:9比例的图片和视频；在清晰度为3840x2160分辨率下，支持30帧的视频输出。</w:t>
            </w:r>
          </w:p>
          <w:p w14:paraId="5ED62153">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4. 整机内置广角主摄，支持畸变矫正功能，TV畸变≤10%。</w:t>
            </w:r>
          </w:p>
          <w:p w14:paraId="19FCCFC3">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 整机上边框内置非独立式四个智能拼接摄像头，在1.5m处拍摄ISO12233 8倍大小图卡，边缘和中心的清晰度TV lines 均≥ 1800 lines。</w:t>
            </w:r>
          </w:p>
          <w:p w14:paraId="12356310">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★6. 整机上边框内置非独立式四个智能拼接摄像头，视场角≥151度且水平视场角≥132度。（供货时须提供具有CMA或CNAS认证资质的第三方检测机构出具的该功能检测报告复印件）</w:t>
            </w:r>
          </w:p>
          <w:p w14:paraId="7CFDFA3E">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7. 整机具备多个摄像头画面智能拼接技术，拼接摄像头画面可支持1s内快速动态融合。</w:t>
            </w:r>
          </w:p>
          <w:p w14:paraId="5325C44F">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8. 整机支持距离摄像头位置≥10米距离的AI识别人脸。</w:t>
            </w:r>
          </w:p>
          <w:p w14:paraId="6D47EBD3">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9. 整机上边框内置非独立式广角摄像头和智能拼接摄像头，均支持3D降噪算法和数字宽动态范围成像WDR技术，支持输出MJPG、H.264视频格式。</w:t>
            </w:r>
          </w:p>
          <w:p w14:paraId="0C5DC097">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 整机上边框内置非独立的广角高清摄像头，在距离整机1.7米情况下，且拍摄范围可以覆盖摄像头垂直法线左右距离大于等于4米，可以实现人脸识别。</w:t>
            </w:r>
          </w:p>
          <w:p w14:paraId="3E1CD6BF">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11. 整机支持上边框内置非独立摄像头模组，同时输出至少3路视频流，同时支持课堂远程巡课、课堂教学数据采集、本地画面预览（拍照或视频录制）。</w:t>
            </w:r>
          </w:p>
          <w:p w14:paraId="6650D3F5">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12. 整机具备五个摄像头，支持同时输出5路画面，视频画面覆盖整个教室1.7m-9m处全教室场景图像采集。</w:t>
            </w:r>
          </w:p>
          <w:p w14:paraId="25EDC8D1">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13. 整机内置2 Tops AI算力，最高支持8K级视频解码及5路视频流输入。</w:t>
            </w:r>
          </w:p>
          <w:p w14:paraId="35CBF7B3">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14. 具备摄像头工作指示灯，摄像头运行时，有指示灯提示。</w:t>
            </w:r>
          </w:p>
          <w:p w14:paraId="0B40A714">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15. 整机内置非独立的高清摄像头，可用于远程巡课。</w:t>
            </w:r>
          </w:p>
          <w:p w14:paraId="09796BBA">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★16. 整机摄像头支持人脸识别、清点人数、随机抽人；识别所有学生，显示标记，然后随机抽选，同时显示标记不少于60人。（供货时须提供具有CMA或CNAS认证资质的第三方检测机构出具的该功能检测报告复印件）</w:t>
            </w:r>
          </w:p>
          <w:p w14:paraId="76D81C28">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17. 整机支持通过人脸识别进行登录账号。</w:t>
            </w:r>
          </w:p>
          <w:p w14:paraId="06454561">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18. 整机摄像头支持环境色温判断，根据环境调节合适的显示图像效果。</w:t>
            </w:r>
          </w:p>
          <w:p w14:paraId="5D4D605E">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★19. 整机内置智能体AI图像生成功能，支持通过语音与大屏开展职业主题对话交互。大屏可同步生成对应职业形象，并将其转化为对话智能体实现双向对话交流。（供货时须提供具有CMA或CNAS认证资质的第三方检测机构出具的该功能检测报告复印件）</w:t>
            </w:r>
          </w:p>
          <w:p w14:paraId="4082D0CA">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20. 整机内置投票统计小工具，通过内置多摄像头捕捉每个同学的投票动作，如举手，双手交叉并进行AI识别，统计投票情况及占比，并以柱状图图表形式呈现。</w:t>
            </w:r>
          </w:p>
          <w:p w14:paraId="0CB4E4E3">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★21. 整机内置手势答题小工具，支持老师在课中发起互动选择题，学生通过手势给出对应答案，通过摄像头进行捕捉和AI识别，最终收集回作答情况，形成课中的互动学情。（供货时须提供具有CMA或CNAS认证资质的第三方检测机构出具的该功能检测报告复印件）</w:t>
            </w:r>
          </w:p>
          <w:p w14:paraId="147D110C">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22. 整机具备班级视力检测功能，学生站在距离屏幕前5m处，可通过手势识别方式来标识方向进行视力测试，测试完成后可直接生成视力检测结果，并建立学生视力档案，对学生视力情况进行管理。</w:t>
            </w:r>
          </w:p>
          <w:p w14:paraId="4DEBB156">
            <w:pPr>
              <w:spacing w:line="460" w:lineRule="exact"/>
              <w:jc w:val="left"/>
              <w:rPr>
                <w:rFonts w:ascii="宋体" w:hAnsi="宋体" w:cs="宋体"/>
                <w:color w:val="auto"/>
                <w:kern w:val="0"/>
                <w:sz w:val="20"/>
                <w:szCs w:val="20"/>
                <w:highlight w:val="none"/>
              </w:rPr>
            </w:pPr>
          </w:p>
          <w:p w14:paraId="1C74A994">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七、触摸系统设计</w:t>
            </w:r>
          </w:p>
          <w:p w14:paraId="105D6617">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 整机采用电容触控技术，Windows系统和Android系统均支持≥50点触控及书写划线。（供货时须提供具有CMA或CNAS认证资质的第三方检测机构出具的该功能检测报告复印件）</w:t>
            </w:r>
          </w:p>
          <w:p w14:paraId="283F1F6E">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 支持Windows 7、Windows 8、Windows 10、Windows11、Linux、Mac Os、UOS和麒麟系统外置电脑操作系统接入时，无需安装触摸驱动。</w:t>
            </w:r>
          </w:p>
          <w:p w14:paraId="66779FAC">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 触摸分辨率≥32768×32768。</w:t>
            </w:r>
          </w:p>
          <w:p w14:paraId="702E0EE0">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4. 整机书写触控延迟≤25ms，触摸响应≤4ms。触摸最小识别物≤3mm。</w:t>
            </w:r>
          </w:p>
          <w:p w14:paraId="427B07CE">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5.支持智能板擦功能，系统可根据触控物体的形状自动识别出实物板擦，可擦除电子白板中的内容，无需依赖外部电子设备。</w:t>
            </w:r>
          </w:p>
          <w:p w14:paraId="010495FF">
            <w:pPr>
              <w:spacing w:line="460" w:lineRule="exact"/>
              <w:jc w:val="left"/>
              <w:rPr>
                <w:rFonts w:ascii="宋体" w:hAnsi="宋体" w:cs="宋体"/>
                <w:color w:val="auto"/>
                <w:kern w:val="0"/>
                <w:sz w:val="20"/>
                <w:szCs w:val="20"/>
                <w:highlight w:val="none"/>
              </w:rPr>
            </w:pPr>
          </w:p>
          <w:p w14:paraId="51E93D75">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八、整机主要功能设计</w:t>
            </w:r>
          </w:p>
          <w:p w14:paraId="1FFA0476">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 外接电脑设备连接整机且触摸信号连通时，外接电脑设备可直接读取整机前置USB接口的移动存储设备数据，连接整机前置USB接口的翻页笔和无线键鼠外接设备可直接使用于外接电脑。</w:t>
            </w:r>
          </w:p>
          <w:p w14:paraId="44797A73">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 支持智能U盘锁功能，U盘锁开启后整机触摸及按键被锁定，锁定后无法随意自由操作，需要使用时插入USB key可解锁。</w:t>
            </w:r>
          </w:p>
          <w:p w14:paraId="4DE876D8">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 整机关机状态下，通过长按电源键进入设置界面后，可点击屏幕选择恢复Android系统及Windows操作系统到出厂默认状态，无需额外工具辅助。</w:t>
            </w:r>
          </w:p>
          <w:p w14:paraId="4DD76F2E">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4. 整机关机状态下，通过长按电源键进入设置界面后，可点击屏幕选择故障检测、系统还原功能，系统还原可单独还原PC系统，单独还原整机系统。</w:t>
            </w:r>
          </w:p>
          <w:p w14:paraId="35AAA2F9">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 整机具备屏体温度实时监控、高温预警及断电保护功能。</w:t>
            </w:r>
          </w:p>
          <w:p w14:paraId="3796DBCE">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6. 整机用户菜单下即可进行触摸信号、显示信号、网络信号等进行状态监测和异常判断。系统异常崩溃弹窗提醒用户并自动上报异常日志。</w:t>
            </w:r>
          </w:p>
          <w:p w14:paraId="00918AE6">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7. 整机显示异常时屏幕会提示对应故障码，辅助问题诊断。</w:t>
            </w:r>
          </w:p>
          <w:p w14:paraId="5D455CC3">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8. 整机支持通过机器序列号定向进行软件OTA升级。</w:t>
            </w:r>
          </w:p>
          <w:p w14:paraId="33EC2E53">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9. 在整机全信号源通道下，支持十指长按屏幕5秒的方式实现触摸锁定及解锁，触摸锁定时整机无法被触控操作。</w:t>
            </w:r>
          </w:p>
          <w:p w14:paraId="0CFE1D22">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 支持通道自动跳转功能，如整机处于正常使用状态，HDMI信号接入时，能自动识别并切换到对应的HDMI信号源通道，且断开后能回到上一通道。</w:t>
            </w:r>
          </w:p>
          <w:p w14:paraId="767F89AB">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11. 在HDMI、Android以及Windows信号源模式下，整机屏幕支持手势下移实现半屏显示，半屏显示时可通过点击上方屏幕返回全屏。</w:t>
            </w:r>
          </w:p>
          <w:p w14:paraId="43D4C72E">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12. 支持半屏模式，将Windows显示画面上半部分下拉到屏幕下半部分显示，此时依然可以正常触控操作Windows系统；点击非Windows显示画面区域（屏幕上半部分），即可退出该模式。</w:t>
            </w:r>
          </w:p>
          <w:p w14:paraId="4F0F8544">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13. 支持通道记忆功能，开机默认回到最近一次关机时的显示通道。</w:t>
            </w:r>
          </w:p>
          <w:p w14:paraId="19FEDDE9">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14. 支持外接信号输入时自动唤醒功能，整机处于关机通电状态，外接电脑显示信号通过HDMI传输线连接至整机时，整机可智能识别外接电脑设备信号输入并自动开机。</w:t>
            </w:r>
          </w:p>
          <w:p w14:paraId="036A9AED">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15. 整机内置专业硬件自检维护工具（非第三方工具），支持对整机内部的板卡及部件模块进行故障检测、系统还原功能。</w:t>
            </w:r>
          </w:p>
          <w:p w14:paraId="12C4E335">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16. 当整机处于黑暗环境中并无人操作，一分钟后整机将可以自动进入熄屏模式。</w:t>
            </w:r>
          </w:p>
          <w:p w14:paraId="73232F07">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17. 支持将自定义图片、动画设置为开机画面。</w:t>
            </w:r>
          </w:p>
          <w:p w14:paraId="51C2D240">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18. 支持通过Type-C接口U盘进行文件传输，兼容Type-C接口手机充电。</w:t>
            </w:r>
          </w:p>
          <w:p w14:paraId="230C8707">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19. 整机在五分钟内处于无信号接收状态时，能够自动关机。</w:t>
            </w:r>
          </w:p>
          <w:p w14:paraId="0BAA2121">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20. 整机具备供电保护模块，能够检测内置电脑是否插好在位，在内置电脑未在位的情况下，内置电脑无法上电工作。</w:t>
            </w:r>
          </w:p>
          <w:p w14:paraId="7A2783F1">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21. 支持云端在线系统固件升级。</w:t>
            </w:r>
          </w:p>
          <w:p w14:paraId="10E42277">
            <w:pPr>
              <w:spacing w:line="460" w:lineRule="exact"/>
              <w:jc w:val="left"/>
              <w:rPr>
                <w:rFonts w:ascii="宋体" w:hAnsi="宋体" w:cs="宋体"/>
                <w:b/>
                <w:color w:val="auto"/>
                <w:kern w:val="0"/>
                <w:sz w:val="20"/>
                <w:szCs w:val="20"/>
                <w:highlight w:val="none"/>
              </w:rPr>
            </w:pPr>
            <w:r>
              <w:rPr>
                <w:rFonts w:hint="eastAsia" w:ascii="宋体" w:hAnsi="宋体" w:cs="宋体"/>
                <w:b/>
                <w:color w:val="auto"/>
                <w:kern w:val="0"/>
                <w:sz w:val="20"/>
                <w:szCs w:val="20"/>
                <w:highlight w:val="none"/>
              </w:rPr>
              <w:t>九、音频设计</w:t>
            </w:r>
          </w:p>
          <w:p w14:paraId="1153F22F">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 整机设备内置2.2声道扬声器，位于设备上边框，顶置朝前发声，12W高音扬声器≥2个，上朝向30W中低音扬声器≥2个，最大功率≥84W。（供货时须提供具有CMA或CNAS认证资质的第三方检测机构出具的该功能检测报告复印件）</w:t>
            </w:r>
          </w:p>
          <w:p w14:paraId="396DDD2F">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 整机全部扬声器均采用模块化设计，无需打开背板即可单独拆卸，便于维护。</w:t>
            </w:r>
          </w:p>
          <w:p w14:paraId="6654820A">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 整机可选择高级音效设置，支持在左右声道平衡显示范围中进行更改。中低频段可选择调节范围125Hz～1kHz，高频段可选择调节范围2kHz～16kHz，分贝可选择调节范围-12dB～12dB。</w:t>
            </w:r>
          </w:p>
          <w:p w14:paraId="69B0E115">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4. 整机内置非独立外扩展的8阵列麦克风，拾音角度≥180°，可用于对教室环境音频进行采集，拾音距离≥12m。</w:t>
            </w:r>
          </w:p>
          <w:p w14:paraId="1A4005AB">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 整机内置麦克风声源定位算法，声源定位精度≤5度，可以识别回答问题的学生方位。（供货时须提供具有CMA或CNAS认证资质的第三方检测机构出具的该功能检测报告复印件）</w:t>
            </w:r>
          </w:p>
          <w:p w14:paraId="1022AD06">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6. 整机内置扬声器采用缝隙发声技术，喇叭采用槽式开口设计。</w:t>
            </w:r>
          </w:p>
          <w:p w14:paraId="5B880D3E">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7. 整机扬声器在100%音量下，可做到1米处声压级≥92dB，10米处声压级≥82dB。</w:t>
            </w:r>
          </w:p>
          <w:p w14:paraId="5D5B57C5">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8. 内置摄像头、麦克风无需外接线材连接，无任何可见外接线材及模块化拼接痕迹，未占用整机设备端口。</w:t>
            </w:r>
          </w:p>
          <w:p w14:paraId="1D955937">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9. 支持标准、听力、观影和AI空间感知音效模式，AI空间感知音效模式可通过内置麦克风采集教室物理环境声音，自动生成符合当前教室物理环境的频段、音量、音效。</w:t>
            </w:r>
          </w:p>
          <w:p w14:paraId="3A9DC313">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 整机听力模式下具备AI人声语言增强功能，支持三挡强弱调节，通过AI算法提取视频/音频中的语言进行效果增强，在不增加音量的情况下提升语言清晰度，扩声系统语言传输指数（STIPA）≥0.75。（供货时须提供具有CMA或CNAS认证资质的第三方检测机构出具的该功能检测报告复印件）</w:t>
            </w:r>
          </w:p>
          <w:p w14:paraId="47001C90">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11. 整机影院模式下具备AI环绕声功能，支持三挡强弱调节。</w:t>
            </w:r>
          </w:p>
          <w:p w14:paraId="7919D424">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12. 整机内置语音助手，通过整机麦克风及智能笔以唤醒词调起语音助手，支持语音交互的方式调节整机音量、亮度，语音操控打开系统已安装应用如：教学白板、浏览器、计算器、画板，语音搜索指定网页内容，支持选择网页中的视频进行播放或暂停。</w:t>
            </w:r>
          </w:p>
          <w:p w14:paraId="6E27AF7E">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13. 整机具备熄屏扩声功能，在关闭显示部分的情况下可播放音频及本地扩音。</w:t>
            </w:r>
          </w:p>
          <w:p w14:paraId="3F6E4CC9">
            <w:pPr>
              <w:spacing w:line="460" w:lineRule="exact"/>
              <w:jc w:val="left"/>
              <w:rPr>
                <w:rFonts w:ascii="宋体" w:hAnsi="宋体" w:cs="宋体"/>
                <w:b/>
                <w:color w:val="auto"/>
                <w:kern w:val="0"/>
                <w:sz w:val="20"/>
                <w:szCs w:val="20"/>
                <w:highlight w:val="none"/>
              </w:rPr>
            </w:pPr>
            <w:r>
              <w:rPr>
                <w:rFonts w:hint="eastAsia" w:ascii="宋体" w:hAnsi="宋体" w:cs="宋体"/>
                <w:b/>
                <w:color w:val="auto"/>
                <w:kern w:val="0"/>
                <w:sz w:val="20"/>
                <w:szCs w:val="20"/>
                <w:highlight w:val="none"/>
              </w:rPr>
              <w:t>十、全通道侧边栏设计</w:t>
            </w:r>
          </w:p>
          <w:p w14:paraId="116BF5B5">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 整机内置全通道侧边栏快捷菜单，小工具、应用软件、快捷设置、亮度/音量调节、教室物联入口。</w:t>
            </w:r>
          </w:p>
          <w:p w14:paraId="0A9DCB4C">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 整机全通道侧边栏支持展示学校名称、设备班级、场地信息。</w:t>
            </w:r>
          </w:p>
          <w:p w14:paraId="5CF29EEF">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 整机全通道侧边栏快捷菜单包含如下小工具：批注、降半屏、截屏、放大镜、倒计时、日历、聚光灯、秒表、冻屏、倒数日、答题、节拍器。</w:t>
            </w:r>
          </w:p>
          <w:p w14:paraId="6AEBDDFE">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4. 整机全通道侧边栏快捷菜单小工具支持自定义，支持设置对应小工具的显示/隐藏。</w:t>
            </w:r>
          </w:p>
          <w:p w14:paraId="01EA5FD0">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 侧边栏内置文件管理，可便捷打开存放在桌面上的文件、文件夹；支持快速打开桌面文件夹目录，以便查看更多文件。</w:t>
            </w:r>
          </w:p>
          <w:p w14:paraId="057A62FA">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6. 侧边栏内置应用管理，可查看全部应用列表，并可点击其中应用进行快捷打开。</w:t>
            </w:r>
          </w:p>
          <w:p w14:paraId="4DB7CF1A">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7. 教学桌面支持增加网页快捷打开方式，数量≥8个，并支持自定义网址命名。</w:t>
            </w:r>
          </w:p>
          <w:p w14:paraId="4D82AEC2">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8. 整机侧边栏小工具支持自定义显示和隐藏，可通过拖拽进行顺序自定义；可自定义侧边栏物联模块、进程管理、桌面文件模块的显示和隐藏。</w:t>
            </w:r>
          </w:p>
          <w:p w14:paraId="7A6683A5">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9. 整机支持在设备上通过摄像头获取教室内图像并自动识别图像内所有人员，并随机抽选1人，支持在大屏幕上手动框选特定教室区域作为抽选范围进行抽选。</w:t>
            </w:r>
          </w:p>
          <w:p w14:paraId="10443CE0">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 整机支持在设备上通过摄像头获取教室内图像并自动识别图像内所有人员，并自动进行人数统计。</w:t>
            </w:r>
          </w:p>
          <w:p w14:paraId="106F1C70">
            <w:pPr>
              <w:spacing w:line="460" w:lineRule="exact"/>
              <w:jc w:val="left"/>
              <w:rPr>
                <w:rFonts w:ascii="宋体" w:hAnsi="宋体" w:cs="宋体"/>
                <w:b/>
                <w:color w:val="auto"/>
                <w:kern w:val="0"/>
                <w:sz w:val="20"/>
                <w:szCs w:val="20"/>
                <w:highlight w:val="none"/>
              </w:rPr>
            </w:pPr>
            <w:r>
              <w:rPr>
                <w:rFonts w:hint="eastAsia" w:ascii="宋体" w:hAnsi="宋体" w:cs="宋体"/>
                <w:b/>
                <w:color w:val="auto"/>
                <w:kern w:val="0"/>
                <w:sz w:val="20"/>
                <w:szCs w:val="20"/>
                <w:highlight w:val="none"/>
              </w:rPr>
              <w:t>十一、管理功能设计</w:t>
            </w:r>
          </w:p>
          <w:p w14:paraId="22BD349C">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 整机内置触摸中控菜单，在整机全信号源通道下通过手势在屏幕上调取该触摸菜单；支持信号源通道切换、护眼、声音调节功能；支持切换智能息屏、经典护眼模式、纸质护眼模式、自动亮度模式；并可支持调节音量、亮度，支持自动亮度模式，支持点击静音按钮静音。</w:t>
            </w:r>
          </w:p>
          <w:p w14:paraId="4A1AFF6D">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 整机内置触摸中控菜单，可查看当前正在运行的应用，支持应用切换，在全屏应用下无需退出全屏应用即可进行切换；支持应用关闭，以及关闭所有应用。</w:t>
            </w:r>
          </w:p>
          <w:p w14:paraId="752011E1">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 整机具备智能手势识别功能，在整机全信号源通道下均可识别五指上、下、左、右方向手势，五指画O、画~、左右晃动、缩/放方向手势滑动并调用相应功能。支持将各手势滑动方向自定义设置为无操作、熄屏、批注、桌面、半屏模式。</w:t>
            </w:r>
          </w:p>
          <w:p w14:paraId="4857DE11">
            <w:pPr>
              <w:spacing w:line="460" w:lineRule="exact"/>
              <w:jc w:val="left"/>
              <w:rPr>
                <w:rFonts w:ascii="宋体" w:hAnsi="宋体" w:cs="宋体"/>
                <w:b/>
                <w:color w:val="auto"/>
                <w:kern w:val="0"/>
                <w:sz w:val="20"/>
                <w:szCs w:val="20"/>
                <w:highlight w:val="none"/>
              </w:rPr>
            </w:pPr>
            <w:r>
              <w:rPr>
                <w:rFonts w:hint="eastAsia" w:ascii="宋体" w:hAnsi="宋体" w:cs="宋体"/>
                <w:b/>
                <w:color w:val="auto"/>
                <w:kern w:val="0"/>
                <w:sz w:val="20"/>
                <w:szCs w:val="20"/>
                <w:highlight w:val="none"/>
              </w:rPr>
              <w:t>十二、其它功能设计</w:t>
            </w:r>
          </w:p>
          <w:p w14:paraId="0CBE2E91">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 整机Windows通道支持文件传输应用，支持多人同时将手机文件传输到整机上；当手机端登录账号与整机一致时，接收文件不需要二次确认，当手机端登录账号与整机不一致时，且距离连接成功或上次传输超过3分钟，则接收文件需要二次确认。</w:t>
            </w:r>
          </w:p>
          <w:p w14:paraId="4B75BB23">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 整机Windows通道支持文件传输应用，可将手机文件传输到整机上，无需借助第三方网页、第三方应用，传输文件格式支持：pptx、pdf、docx、txt、xlsx、enbx、jpg、png、gif、svg、mp4、rmvb、avi、3gp、wmv、flv、mkv、mp3、wav、wma、ogg、zip。</w:t>
            </w:r>
          </w:p>
          <w:p w14:paraId="611C7104">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 整机Windows通道支持文件传输应用，支持通过扫码、超声、wifi直连三种方式与手机进行握手连接，实现文件传输功能。（供货时须提供具有CMA或CNAS认证资质的第三方检测机构出具的该功能检测报告复印件）</w:t>
            </w:r>
          </w:p>
          <w:p w14:paraId="32BB4F84">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4. 整机Windows通道支持文件传输应用，传输方式支持公网传输、局域网传输。</w:t>
            </w:r>
          </w:p>
          <w:p w14:paraId="76BD54A3">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 整机Windows通道支持文件传输应用，接收的文件支持单份删除；接收的文件支持手动全部清空，为防止误清空，全部清空需要经过二次确认。</w:t>
            </w:r>
          </w:p>
          <w:p w14:paraId="321FE505">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6. 整机Windows通道支持文件传输应用，支持打开文件所在文件夹。</w:t>
            </w:r>
          </w:p>
          <w:p w14:paraId="4AC25BE0">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7. 整机Windows通道支持文件传输应用，开启该应用后，可自动打开整机热点，并在文件传输应用中显示热点信息，无需手动在设置中查看热点。</w:t>
            </w:r>
          </w:p>
          <w:p w14:paraId="7B470A07">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★8. 支持智能书写功能，书写文字自动识别为标准印刷体，支持图形识别功能，可将多种手绘图形转化为矩形、三角形、圆形标准图形。（供货时须提供具有CMA或CNAS认证资质的第三方检测机构出具的该功能检测报告复印件）</w:t>
            </w:r>
          </w:p>
          <w:p w14:paraId="0C2D718C">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9. 整机侧边栏内置朗读工具，通过整机麦克风监测教室中学生的朗读情况，并以游戏化界面反馈学生朗读音量大小。</w:t>
            </w:r>
          </w:p>
          <w:p w14:paraId="57E47E74">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 整机侧边栏内置自习工具，通过整机麦克风监测教室中学生音量大小，当学生音量大于阈值时，屏幕自动弹窗提醒进行自习纪律干预。</w:t>
            </w:r>
          </w:p>
          <w:p w14:paraId="29822369">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11. 整机支持在无任何外部设备的情况下，实时录制用户朗读内容，识别用户声纹并进行统一身份登录，登录后自动获取个人云端教学课件列表，打开教学白板软件时可跳过软件自带登录步骤。</w:t>
            </w:r>
          </w:p>
          <w:p w14:paraId="6A8EF863">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12. 整机内置交互式白板软件支持课件多人在线协同编辑，支持以链接的形式进行课件分享、邀请协作，支持查看当前在线用户，针对邀请协同的用户可设置可编辑、可阅读权限，支持将PPT课件转化为交互式课件进行协同编辑。</w:t>
            </w:r>
          </w:p>
          <w:p w14:paraId="38BC5D7D">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13. 整机白板软件支持智能图表绘制，可将手绘表格转化为智能表格，形成表格对象后表格中书写区域可根据书写内容自适应调整大小，支持将表格外书写内容一键拖动到表格中。</w:t>
            </w:r>
          </w:p>
          <w:p w14:paraId="372D09C7">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14. 交互式白板软件支持手写笔迹的智能编辑，支持通过手绘置换符置换前后文字语序，支持手动涂抹笔迹对象进行删除，支持圈选笔迹对象进行手写笔迹缩放，支持文字间手绘竖线进行文字间距的调整。</w:t>
            </w:r>
          </w:p>
          <w:p w14:paraId="16C81F7D">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15. 整机侧边栏内置智能语音转文字工具，将整机内置麦克风拾取的语音进行文字转译，以悬浮字幕形式将转译文字显示在屏幕上。</w:t>
            </w:r>
          </w:p>
          <w:p w14:paraId="635DA889">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16. 整机侧边栏内置智能语音转文字工具，支持实时拾取整机系统播放的音视频源内容并进行文字转译，以悬浮字幕形式将文字显示在屏幕上。</w:t>
            </w:r>
          </w:p>
          <w:p w14:paraId="2A8EE2D2">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★17. 整机内置欢迎词应用，可自定义欢迎词或选择使用默认模板，欢迎词可展示、替换背景、添加文字、设置倒计时。（供货时须提供具有CMA或CNAS认证资质的第三方检测机构出具的该功能检测报告复印件）</w:t>
            </w:r>
          </w:p>
          <w:p w14:paraId="0F9AE1E0">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★18. 整机内置计算器应用，支持多项式复杂计算，对多项式进行积分、求导、多项式展开和多项式分解，支持对多项式进行绘制图像，展示绘制结果。（供货时须提供具有CMA或CNAS认证资质的第三方检测机构出具的该功能检测报告复印件）</w:t>
            </w:r>
          </w:p>
          <w:p w14:paraId="0AB08607">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19. 支持通过悬浮球调起元素周期表，支持对不同类别元素进行颜色区分，可通过点击对不同元素进行分类展示，展示样式支持按原子数/原子结构/相对原子质量/电子构型配置元素方式进行调整。</w:t>
            </w:r>
          </w:p>
          <w:p w14:paraId="10EB60DF">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20. 整机内置交互式白板软件支持汉字语音测评功能，通过整机拾音麦进行用户声音采集分析，判断用户发音是否标准。</w:t>
            </w:r>
          </w:p>
          <w:p w14:paraId="0D44FBBF">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21. 整机内置趣味画板功能，支持自由画、涂色和拼图模式；保存绘画作品时，支持调用整机麦克风进行录音，并将录音和画作合成为作品保存在画廊；在画廊查看作品时支持录音回放功能。</w:t>
            </w:r>
          </w:p>
          <w:p w14:paraId="67E5716D">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22. 整机内置学生日历功能，支持全屏查看日历、显示法定节日；用户可以添加日历事件，设定特定时间并关联本机安卓应用，事件到期后，可以通过事件提醒打开关联的应用，如欢迎词、白板应用。</w:t>
            </w:r>
          </w:p>
          <w:p w14:paraId="16B3614B">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23. 整机内置AR授课工具，支持对视频展台所采集的画面中叠加动态的3D模型。3D模型包括：动物、微生物、人体骨骼、乐器、星球、地形。</w:t>
            </w:r>
          </w:p>
          <w:p w14:paraId="02F10BF4">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24. 整机内置AI授课工具，支持对整机页面显示的题目或视频展台所采集的题目内容进行识别，支持手动框选题目范围，能够对题目进行详细的讲解，讲解内容包括解题步骤和注意事项。</w:t>
            </w:r>
          </w:p>
          <w:p w14:paraId="789D8B28">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25. 整机内置AI授课工具，可根据题目所涉及的知识点和难度级别，可推荐相似题目，推荐题目数量可根据用户需求进行设置（如3道、5道、10道）。</w:t>
            </w:r>
          </w:p>
          <w:p w14:paraId="1EB68602">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26. 整机内置AI作文批改工具，支持对视频展台所采集的内容进行识别，识别到英文作文类型后，支持作文内容进行批改。可根据作文的整体表现给出一个综合评分，并提供详细的评分依据。</w:t>
            </w:r>
          </w:p>
          <w:p w14:paraId="2F2AAAF0">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27. 整机内置AI作文批改工具，能够从作文的词汇词组、语法句子、内容连贯性多个维度进行分析和评价。对于存在的语法错误和错别字，能够指出并提供修改建议。</w:t>
            </w:r>
          </w:p>
          <w:p w14:paraId="1B286D03">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28. 整机内置AI智能体（非第三方应用），根据教学和学习需求可创建，支持个性化设定角色信息包括角色性格、技能与头像信息，支持语音和文字两种方式与智能体进行对话交互，创建的智能体可上传到本校资源进行共享使用。</w:t>
            </w:r>
          </w:p>
          <w:p w14:paraId="216A371D">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29. 整机内置AI智能体（非第三方应用），支持用户通过当前设备与历史学家智能体进行对话交流。智能体包涵历史文物、文化遗址、博物馆展览文博知识。用户可通过语音方式向智能体提问，智能体能够根据用户的问题提供准确、详细的回答，支持多轮对话，可根据用户的兴趣偏好，推荐相关的文博展览、文物故事内容。</w:t>
            </w:r>
          </w:p>
          <w:p w14:paraId="4D5DB8FA">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30. 整机自带AI书写美化能力，智能识别批注的书写轨迹，进行笔锋智能美化，模拟纸上书写的起笔、行笔和收笔效果。</w:t>
            </w:r>
          </w:p>
          <w:p w14:paraId="02FF66C6">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31. 整机内置微课制作工具，支持对全屏/区域的屏幕内容、整机声音、麦克风声音、摄像头内容进行录制，支持切换录制分辨率，支持录制过程中进行画笔标注与擦除；支持中途暂停录制和继续录制。</w:t>
            </w:r>
          </w:p>
          <w:p w14:paraId="1C5D5329">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32. 整机内置文字快剪功能，支持微课录制结束后提取视频中的文字，按照提取出的文字，对视频进行视频剪辑。</w:t>
            </w:r>
          </w:p>
          <w:p w14:paraId="411DC7C9">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33. 整机内置评语生成应用，支持用户输入名字，选择点评标签，即可生成学生评语。</w:t>
            </w:r>
          </w:p>
          <w:p w14:paraId="2AB78F80">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34. 整机内置奖状生成应用，支持用户输入名字，调整奖状模版，奖状信息，批量生成奖状。</w:t>
            </w:r>
          </w:p>
          <w:p w14:paraId="50AB3AE1">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35. 整机自带学生古诗词学习软件，提供古诗词的赏析与作者背景介绍，部分诗词配套音频或视频资源。软件搭载游戏闯关模式，可进行古诗词相关的答题挑战。</w:t>
            </w:r>
          </w:p>
          <w:p w14:paraId="76155FCC">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十三、互动教学软件</w:t>
            </w:r>
          </w:p>
          <w:p w14:paraId="25B3772D">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互动反馈系统：具备公网互动反馈功能，将所有学生端和教师端连接一起构建成互动反馈系统，在系统里面教师可以单选，多选，判断，观点，抢答，抽选，提问箱，文件下发，批注下发。（供货时须提供具有CMA或CNAS认证资质的第三方检测机构出具的该功能检测报告复印件）</w:t>
            </w:r>
          </w:p>
          <w:p w14:paraId="005034F3">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2.资料下发：支持教师下载教师空间的文档格式的资料给全员和小组端，支持的文件包以下格式：音视频格式，文档格式，图片格式。</w:t>
            </w:r>
          </w:p>
          <w:p w14:paraId="55BBA357">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课堂报告：互动反馈系统支持一键生成课堂互动报告，包含签到人数，考勤情况，互动次数、学生参与度、题目详情、答题结果，提问记录，同时还可以课堂报告进行备注。（供货时须提供具有CMA或CNAS认证资质的第三方检测机构出具的该功能检测报告复印件）</w:t>
            </w:r>
          </w:p>
          <w:p w14:paraId="0FF8C8CC">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4.统计考勤：互动反馈系统支持无感考勤功能，学生连接成功后名字可显示在签到列表上，签到列表实时统计已签到人数，并查看未到的人员。（供货时须提供具有CMA或CNAS认证资质的第三方检测机构出具的该功能检测报告复印件）</w:t>
            </w:r>
          </w:p>
          <w:p w14:paraId="1200D9A4">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5.批注分发：教师端批注功能支持在课中任意时刻对教师端内容进行批注，并且支持批注内容一键保存，自动上传到教师空间，同时发送到全员学生端。</w:t>
            </w:r>
          </w:p>
          <w:p w14:paraId="6BA8BCDB">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★6.授课小工具：教师播放课件时，提供授课小工具，包括画笔、橡皮擦、板中板、放大镜和批注分享功能等。（供货时须提供具有CMA或CNAS认证资质的第三方检测机构出具的该功能检测报告复印件）</w:t>
            </w:r>
          </w:p>
          <w:p w14:paraId="67443DE7">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7.无线传屏：教师端工具栏支持无线传屏，点击开启无线传屏则打开传屏码，老师自带笔记本在互动教学软件输入传屏码即可进行无线传屏。（供货时须提供具有CMA或CNAS认证资质的第三方检测机构出具的该功能检测报告复印件）</w:t>
            </w:r>
          </w:p>
          <w:p w14:paraId="59F53576">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8.教师云盘：支持教师上传文档格式的资料，支持的文件包含以下格式：音视频格式，文档格式，图片格式。</w:t>
            </w:r>
          </w:p>
          <w:p w14:paraId="194FE8A4">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9.多端投屏：可支持至少6个学生端投屏画面同时在大屏上显示，同时显示来自Android、iOS、Windows、MacOS 等不同系统的投屏画面，并且根据连接数量自动排布。支持将六分屏画面内其中一个画面一键全屏显示，以及一键将全屏画面切换回六分屏，方便灵活讲解。</w:t>
            </w:r>
          </w:p>
          <w:p w14:paraId="560B87CC">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10.课堂动态：支持在课堂中记录课堂动态，包括老师下发的文件，老师课堂中的板书，课堂互动结果记录，课堂提问多种类型的记录。</w:t>
            </w:r>
          </w:p>
          <w:p w14:paraId="3123A213">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11.同步课件：当教师在全屏播放课件的时候，学生端也会同时播放课件，老师翻页学生端也会一起翻页，保证课堂课件同步展示。</w:t>
            </w:r>
          </w:p>
          <w:p w14:paraId="3FC990AA">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★12.加入课堂：学生端小程序支持微信扫码加入课堂，方便快捷开启课堂互动。（供货时须提供具有CMA或CNAS认证资质的第三方检测机构出具的该功能检测报告复印件）</w:t>
            </w:r>
          </w:p>
          <w:p w14:paraId="64B62BB9">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13.课堂互动：支持在小程序接收课堂答题互动，支持单选，多选，判断，抢答，观点多种类型的答题互动。</w:t>
            </w:r>
          </w:p>
          <w:p w14:paraId="6CE0647E">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14.同步课件：当教师在全屏播放课件的时候，学生端也会同时播放课件，老师翻页学生端也会一起翻页，保证课堂课件同步展示。</w:t>
            </w:r>
          </w:p>
          <w:p w14:paraId="723A7BF2">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十四、双屏教学系统</w:t>
            </w:r>
          </w:p>
          <w:p w14:paraId="44AE8AAA">
            <w:pPr>
              <w:spacing w:line="460" w:lineRule="exact"/>
              <w:jc w:val="left"/>
              <w:rPr>
                <w:rFonts w:ascii="宋体" w:hAnsi="宋体" w:cs="宋体"/>
                <w:color w:val="auto"/>
                <w:kern w:val="0"/>
                <w:sz w:val="20"/>
                <w:szCs w:val="20"/>
                <w:highlight w:val="none"/>
              </w:rPr>
            </w:pPr>
            <w:r>
              <w:rPr>
                <w:rFonts w:ascii="宋体" w:hAnsi="宋体" w:cs="宋体"/>
                <w:color w:val="auto"/>
                <w:kern w:val="0"/>
                <w:sz w:val="20"/>
                <w:szCs w:val="20"/>
                <w:highlight w:val="none"/>
              </w:rPr>
              <w:t>★1、同时在主屏和扩展屏上都有互动教学软件的侧边栏老师可以对任意的侧边栏进行操作；</w:t>
            </w:r>
          </w:p>
          <w:p w14:paraId="5CDEE549">
            <w:pPr>
              <w:spacing w:line="460" w:lineRule="exact"/>
              <w:jc w:val="left"/>
              <w:rPr>
                <w:rFonts w:ascii="宋体" w:hAnsi="宋体" w:cs="宋体"/>
                <w:color w:val="auto"/>
                <w:kern w:val="0"/>
                <w:sz w:val="20"/>
                <w:szCs w:val="20"/>
                <w:highlight w:val="none"/>
              </w:rPr>
            </w:pPr>
            <w:r>
              <w:rPr>
                <w:rFonts w:ascii="宋体" w:hAnsi="宋体" w:cs="宋体"/>
                <w:color w:val="auto"/>
                <w:kern w:val="0"/>
                <w:sz w:val="20"/>
                <w:szCs w:val="20"/>
                <w:highlight w:val="none"/>
              </w:rPr>
              <w:t>2、双线教学：支持在一边的屏幕上打开课件，一边的屏幕上打开黑板，实现课件的板书同步展示；</w:t>
            </w:r>
          </w:p>
          <w:p w14:paraId="4AD01372">
            <w:pPr>
              <w:spacing w:line="460" w:lineRule="exact"/>
              <w:jc w:val="left"/>
              <w:rPr>
                <w:rFonts w:ascii="宋体" w:hAnsi="宋体" w:cs="宋体"/>
                <w:color w:val="auto"/>
                <w:kern w:val="0"/>
                <w:sz w:val="20"/>
                <w:szCs w:val="20"/>
                <w:highlight w:val="none"/>
              </w:rPr>
            </w:pPr>
            <w:r>
              <w:rPr>
                <w:rFonts w:ascii="宋体" w:hAnsi="宋体" w:cs="宋体"/>
                <w:color w:val="auto"/>
                <w:kern w:val="0"/>
                <w:sz w:val="20"/>
                <w:szCs w:val="20"/>
                <w:highlight w:val="none"/>
              </w:rPr>
              <w:t>3、同步放映：支持一边的屏幕使用无线传屏投屏上来笔记本画面，一边的屏幕播放一体机本地的教学素材；</w:t>
            </w:r>
          </w:p>
          <w:p w14:paraId="4D0587E6">
            <w:pPr>
              <w:spacing w:line="460" w:lineRule="exact"/>
              <w:jc w:val="left"/>
              <w:rPr>
                <w:rFonts w:ascii="宋体" w:hAnsi="宋体" w:cs="宋体"/>
                <w:color w:val="auto"/>
                <w:kern w:val="0"/>
                <w:sz w:val="20"/>
                <w:szCs w:val="20"/>
                <w:highlight w:val="none"/>
              </w:rPr>
            </w:pPr>
            <w:r>
              <w:rPr>
                <w:rFonts w:ascii="宋体" w:hAnsi="宋体" w:cs="宋体"/>
                <w:color w:val="auto"/>
                <w:kern w:val="0"/>
                <w:sz w:val="20"/>
                <w:szCs w:val="20"/>
                <w:highlight w:val="none"/>
              </w:rPr>
              <w:t>4、扩展屏广播：研讨模式广播支持任一屏的画面广播到学生端；</w:t>
            </w:r>
          </w:p>
          <w:p w14:paraId="55487353">
            <w:pPr>
              <w:spacing w:line="460" w:lineRule="exact"/>
              <w:jc w:val="left"/>
              <w:rPr>
                <w:rFonts w:ascii="宋体" w:hAnsi="宋体" w:cs="宋体"/>
                <w:color w:val="auto"/>
                <w:kern w:val="0"/>
                <w:sz w:val="20"/>
                <w:szCs w:val="20"/>
                <w:highlight w:val="none"/>
              </w:rPr>
            </w:pPr>
            <w:r>
              <w:rPr>
                <w:rFonts w:ascii="宋体" w:hAnsi="宋体" w:cs="宋体"/>
                <w:color w:val="auto"/>
                <w:kern w:val="0"/>
                <w:sz w:val="20"/>
                <w:szCs w:val="20"/>
                <w:highlight w:val="none"/>
              </w:rPr>
              <w:t>★5、课件上下页联动：支持课件上下页联动放映，一边屏幕放映当前课件页面，另外一边屏幕放映课件上一页面，方便展示更多课件内容；</w:t>
            </w:r>
          </w:p>
          <w:p w14:paraId="659FE2EF">
            <w:pPr>
              <w:spacing w:line="460" w:lineRule="exact"/>
              <w:jc w:val="left"/>
              <w:rPr>
                <w:rFonts w:hint="eastAsia" w:ascii="宋体" w:hAnsi="宋体" w:cs="宋体"/>
                <w:color w:val="auto"/>
                <w:kern w:val="0"/>
                <w:sz w:val="20"/>
                <w:szCs w:val="20"/>
                <w:highlight w:val="none"/>
              </w:rPr>
            </w:pPr>
            <w:r>
              <w:rPr>
                <w:rFonts w:ascii="宋体" w:hAnsi="宋体" w:cs="宋体"/>
                <w:color w:val="auto"/>
                <w:kern w:val="0"/>
                <w:sz w:val="20"/>
                <w:szCs w:val="20"/>
                <w:highlight w:val="none"/>
              </w:rPr>
              <w:t>6、★课件同步展示：支持双屏同步放映课件，增加课件内容的可视角，让学生看得更加清楚。</w:t>
            </w:r>
          </w:p>
          <w:p w14:paraId="5EA66D40">
            <w:pPr>
              <w:spacing w:line="460" w:lineRule="exact"/>
              <w:jc w:val="left"/>
              <w:rPr>
                <w:rFonts w:ascii="宋体" w:hAnsi="宋体" w:cs="宋体"/>
                <w:b/>
                <w:color w:val="auto"/>
                <w:kern w:val="0"/>
                <w:sz w:val="20"/>
                <w:szCs w:val="20"/>
                <w:highlight w:val="none"/>
              </w:rPr>
            </w:pPr>
            <w:r>
              <w:rPr>
                <w:rFonts w:hint="eastAsia" w:ascii="宋体" w:hAnsi="宋体" w:cs="宋体"/>
                <w:b/>
                <w:color w:val="auto"/>
                <w:kern w:val="0"/>
                <w:sz w:val="20"/>
                <w:szCs w:val="20"/>
                <w:highlight w:val="none"/>
              </w:rPr>
              <w:t>十五、其他要求</w:t>
            </w:r>
          </w:p>
          <w:p w14:paraId="08670F46">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为确保功能的真实性和有效性，在签订合同后正式供货时，业主有权要求供应商提供与标书技术要求及功能符合的设备一套，与标书文件进行所有性能的核对，作为项目验收的依据，如出现所提供设备不符合招标要求，即视为虚假应标处理并依法追究责任。</w:t>
            </w:r>
          </w:p>
          <w:p w14:paraId="1A641320">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2.为确保所供应货物为全新且含质保产品，在签订合同后正式供货时，中标单位须提供制造商针对此项目的供货证明原件、售后服务承诺函原件，且均须加盖生产厂家公章。</w:t>
            </w:r>
          </w:p>
          <w:p w14:paraId="3798DF51">
            <w:pPr>
              <w:spacing w:line="460" w:lineRule="exact"/>
              <w:jc w:val="left"/>
              <w:rPr>
                <w:rFonts w:ascii="宋体" w:hAnsi="宋体"/>
                <w:color w:val="auto"/>
                <w:szCs w:val="21"/>
                <w:highlight w:val="none"/>
              </w:rPr>
            </w:pPr>
            <w:r>
              <w:rPr>
                <w:rFonts w:hint="eastAsia" w:ascii="宋体" w:hAnsi="宋体" w:cs="宋体"/>
                <w:color w:val="auto"/>
                <w:kern w:val="0"/>
                <w:sz w:val="20"/>
                <w:szCs w:val="20"/>
                <w:highlight w:val="none"/>
              </w:rPr>
              <w:t>3、</w:t>
            </w:r>
            <w:r>
              <w:rPr>
                <w:rFonts w:hint="eastAsia" w:ascii="宋体" w:hAnsi="宋体"/>
                <w:color w:val="auto"/>
                <w:szCs w:val="21"/>
                <w:highlight w:val="none"/>
              </w:rPr>
              <w:t>▲</w:t>
            </w:r>
            <w:r>
              <w:rPr>
                <w:rFonts w:ascii="宋体" w:hAnsi="宋体"/>
                <w:color w:val="auto"/>
                <w:szCs w:val="21"/>
                <w:highlight w:val="none"/>
              </w:rPr>
              <w:fldChar w:fldCharType="begin"/>
            </w:r>
            <w:r>
              <w:rPr>
                <w:rFonts w:ascii="宋体" w:hAnsi="宋体"/>
                <w:color w:val="auto"/>
                <w:szCs w:val="21"/>
                <w:highlight w:val="none"/>
              </w:rPr>
              <w:instrText xml:space="preserve"> </w:instrText>
            </w:r>
            <w:r>
              <w:rPr>
                <w:rFonts w:hint="eastAsia" w:ascii="宋体" w:hAnsi="宋体"/>
                <w:color w:val="auto"/>
                <w:szCs w:val="21"/>
                <w:highlight w:val="none"/>
              </w:rPr>
              <w:instrText xml:space="preserve">= 8 \* GB2</w:instrText>
            </w:r>
            <w:r>
              <w:rPr>
                <w:rFonts w:ascii="宋体" w:hAnsi="宋体"/>
                <w:color w:val="auto"/>
                <w:szCs w:val="21"/>
                <w:highlight w:val="none"/>
              </w:rPr>
              <w:instrText xml:space="preserve"> </w:instrText>
            </w:r>
            <w:r>
              <w:rPr>
                <w:rFonts w:ascii="宋体" w:hAnsi="宋体"/>
                <w:color w:val="auto"/>
                <w:szCs w:val="21"/>
                <w:highlight w:val="none"/>
              </w:rPr>
              <w:fldChar w:fldCharType="separate"/>
            </w:r>
            <w:r>
              <w:rPr>
                <w:rFonts w:hint="eastAsia" w:ascii="宋体" w:hAnsi="宋体"/>
                <w:color w:val="auto"/>
                <w:szCs w:val="21"/>
                <w:highlight w:val="none"/>
              </w:rPr>
              <w:t>⑻</w:t>
            </w:r>
            <w:r>
              <w:rPr>
                <w:rFonts w:ascii="宋体" w:hAnsi="宋体"/>
                <w:color w:val="auto"/>
                <w:szCs w:val="21"/>
                <w:highlight w:val="none"/>
              </w:rPr>
              <w:fldChar w:fldCharType="end"/>
            </w:r>
            <w:bookmarkStart w:id="0" w:name="OLE_LINK9"/>
            <w:bookmarkStart w:id="1" w:name="OLE_LINK10"/>
            <w:r>
              <w:rPr>
                <w:rFonts w:hint="eastAsia" w:ascii="宋体" w:hAnsi="宋体"/>
                <w:color w:val="auto"/>
                <w:szCs w:val="21"/>
                <w:highlight w:val="none"/>
              </w:rPr>
              <w:t>在</w:t>
            </w:r>
            <w:r>
              <w:rPr>
                <w:rFonts w:ascii="宋体" w:hAnsi="宋体"/>
                <w:color w:val="auto"/>
                <w:szCs w:val="21"/>
                <w:highlight w:val="none"/>
              </w:rPr>
              <w:t>三年的保修期限内，</w:t>
            </w:r>
            <w:r>
              <w:rPr>
                <w:rFonts w:hint="eastAsia" w:ascii="宋体" w:hAnsi="宋体"/>
                <w:color w:val="auto"/>
                <w:szCs w:val="21"/>
                <w:highlight w:val="none"/>
              </w:rPr>
              <w:t>每个春季、秋季学期开学前，必须对智慧黑板设备等，进行设备软件和硬件的巡检，发现问题及时处理和解决</w:t>
            </w:r>
            <w:bookmarkEnd w:id="0"/>
            <w:bookmarkEnd w:id="1"/>
          </w:p>
          <w:p w14:paraId="1C3FA48A">
            <w:pPr>
              <w:tabs>
                <w:tab w:val="center" w:pos="1965"/>
              </w:tabs>
              <w:spacing w:line="460" w:lineRule="exact"/>
              <w:jc w:val="left"/>
              <w:rPr>
                <w:rFonts w:hint="eastAsia" w:ascii="宋体" w:hAnsi="宋体"/>
                <w:color w:val="auto"/>
                <w:szCs w:val="21"/>
                <w:highlight w:val="none"/>
              </w:rPr>
            </w:pPr>
          </w:p>
          <w:p w14:paraId="0C92D1D3">
            <w:pPr>
              <w:spacing w:line="460" w:lineRule="exact"/>
              <w:jc w:val="left"/>
              <w:rPr>
                <w:rFonts w:ascii="宋体" w:hAnsi="宋体"/>
                <w:color w:val="auto"/>
                <w:szCs w:val="21"/>
                <w:highlight w:val="none"/>
              </w:rPr>
            </w:pPr>
            <w:r>
              <w:rPr>
                <w:rFonts w:ascii="宋体" w:hAnsi="宋体" w:cs="宋体"/>
                <w:color w:val="auto"/>
                <w:kern w:val="0"/>
                <w:sz w:val="20"/>
                <w:szCs w:val="20"/>
                <w:highlight w:val="none"/>
              </w:rPr>
              <w:drawing>
                <wp:anchor distT="0" distB="0" distL="114300" distR="114300" simplePos="0" relativeHeight="251659264" behindDoc="1" locked="0" layoutInCell="1" allowOverlap="1">
                  <wp:simplePos x="0" y="0"/>
                  <wp:positionH relativeFrom="column">
                    <wp:posOffset>123190</wp:posOffset>
                  </wp:positionH>
                  <wp:positionV relativeFrom="paragraph">
                    <wp:posOffset>222885</wp:posOffset>
                  </wp:positionV>
                  <wp:extent cx="1679575" cy="1169670"/>
                  <wp:effectExtent l="0" t="0" r="0" b="0"/>
                  <wp:wrapNone/>
                  <wp:docPr id="2" name="图片 2" descr="E:\微信\WeChat Files\superen2012\FileStorage\Temp\786494a8ad52d2f8224d2b8f7b8eb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微信\WeChat Files\superen2012\FileStorage\Temp\786494a8ad52d2f8224d2b8f7b8eb6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679622" cy="1169957"/>
                          </a:xfrm>
                          <a:prstGeom prst="rect">
                            <a:avLst/>
                          </a:prstGeom>
                          <a:noFill/>
                          <a:ln>
                            <a:noFill/>
                          </a:ln>
                        </pic:spPr>
                      </pic:pic>
                    </a:graphicData>
                  </a:graphic>
                </wp:anchor>
              </w:drawing>
            </w:r>
          </w:p>
          <w:p w14:paraId="3D5646B1">
            <w:pPr>
              <w:spacing w:line="460" w:lineRule="exact"/>
              <w:jc w:val="left"/>
              <w:rPr>
                <w:rFonts w:hint="eastAsia" w:ascii="宋体" w:hAnsi="宋体"/>
                <w:color w:val="auto"/>
                <w:szCs w:val="21"/>
                <w:highlight w:val="none"/>
              </w:rPr>
            </w:pPr>
          </w:p>
        </w:tc>
        <w:tc>
          <w:tcPr>
            <w:tcW w:w="244" w:type="pct"/>
            <w:vAlign w:val="center"/>
          </w:tcPr>
          <w:p w14:paraId="041E8897">
            <w:pPr>
              <w:widowControl/>
              <w:jc w:val="center"/>
              <w:textAlignment w:val="center"/>
              <w:rPr>
                <w:rFonts w:ascii="宋体" w:hAnsi="宋体" w:cs="宋体"/>
                <w:color w:val="auto"/>
                <w:sz w:val="20"/>
                <w:szCs w:val="20"/>
                <w:highlight w:val="none"/>
              </w:rPr>
            </w:pPr>
          </w:p>
          <w:p w14:paraId="35209C0C">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2</w:t>
            </w:r>
          </w:p>
          <w:p w14:paraId="2D2157F9">
            <w:pPr>
              <w:widowControl/>
              <w:textAlignment w:val="center"/>
              <w:rPr>
                <w:rFonts w:ascii="宋体" w:hAnsi="宋体" w:cs="宋体"/>
                <w:color w:val="auto"/>
                <w:sz w:val="20"/>
                <w:szCs w:val="20"/>
                <w:highlight w:val="none"/>
              </w:rPr>
            </w:pPr>
          </w:p>
        </w:tc>
        <w:tc>
          <w:tcPr>
            <w:tcW w:w="311" w:type="pct"/>
            <w:vAlign w:val="center"/>
          </w:tcPr>
          <w:p w14:paraId="2D5A8383">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套</w:t>
            </w:r>
          </w:p>
        </w:tc>
        <w:tc>
          <w:tcPr>
            <w:tcW w:w="491" w:type="pct"/>
            <w:vAlign w:val="center"/>
          </w:tcPr>
          <w:p w14:paraId="24E9C6D9">
            <w:pPr>
              <w:widowControl/>
              <w:jc w:val="center"/>
              <w:textAlignment w:val="center"/>
              <w:rPr>
                <w:rFonts w:ascii="黑体" w:hAnsi="宋体" w:eastAsia="黑体" w:cs="黑体"/>
                <w:b/>
                <w:bCs/>
                <w:color w:val="auto"/>
                <w:sz w:val="22"/>
                <w:highlight w:val="none"/>
              </w:rPr>
            </w:pPr>
            <w:r>
              <w:rPr>
                <w:rFonts w:asciiTheme="minorEastAsia" w:hAnsiTheme="minorEastAsia" w:eastAsiaTheme="minorEastAsia" w:cstheme="minorEastAsia"/>
                <w:color w:val="auto"/>
                <w:sz w:val="22"/>
                <w:highlight w:val="none"/>
              </w:rPr>
              <w:t>50000</w:t>
            </w:r>
          </w:p>
        </w:tc>
        <w:tc>
          <w:tcPr>
            <w:tcW w:w="653" w:type="pct"/>
            <w:vAlign w:val="center"/>
          </w:tcPr>
          <w:p w14:paraId="6534867B">
            <w:pPr>
              <w:widowControl/>
              <w:jc w:val="center"/>
              <w:textAlignment w:val="center"/>
              <w:rPr>
                <w:rFonts w:ascii="黑体" w:hAnsi="宋体" w:cs="黑体" w:eastAsiaTheme="minorEastAsia"/>
                <w:color w:val="auto"/>
                <w:sz w:val="22"/>
                <w:highlight w:val="none"/>
              </w:rPr>
            </w:pPr>
            <w:r>
              <w:rPr>
                <w:rFonts w:hint="eastAsia" w:asciiTheme="minorEastAsia" w:hAnsiTheme="minorEastAsia" w:eastAsiaTheme="minorEastAsia" w:cstheme="minorEastAsia"/>
                <w:color w:val="auto"/>
                <w:sz w:val="22"/>
                <w:highlight w:val="none"/>
              </w:rPr>
              <w:t>10</w:t>
            </w:r>
            <w:r>
              <w:rPr>
                <w:rFonts w:asciiTheme="minorEastAsia" w:hAnsiTheme="minorEastAsia" w:eastAsiaTheme="minorEastAsia" w:cstheme="minorEastAsia"/>
                <w:color w:val="auto"/>
                <w:sz w:val="22"/>
                <w:highlight w:val="none"/>
              </w:rPr>
              <w:t>0000</w:t>
            </w:r>
          </w:p>
        </w:tc>
      </w:tr>
      <w:tr w14:paraId="0452C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4" w:hRule="atLeast"/>
        </w:trPr>
        <w:tc>
          <w:tcPr>
            <w:tcW w:w="273" w:type="pct"/>
            <w:vAlign w:val="center"/>
          </w:tcPr>
          <w:p w14:paraId="3BD1900A">
            <w:pPr>
              <w:spacing w:line="288" w:lineRule="auto"/>
              <w:jc w:val="center"/>
              <w:rPr>
                <w:rFonts w:ascii="宋体" w:hAnsi="宋体" w:cs="宋体"/>
                <w:color w:val="auto"/>
                <w:sz w:val="20"/>
                <w:szCs w:val="20"/>
                <w:highlight w:val="none"/>
              </w:rPr>
            </w:pPr>
            <w:r>
              <w:rPr>
                <w:rFonts w:hint="eastAsia" w:ascii="宋体" w:hAnsi="宋体" w:cs="宋体"/>
                <w:color w:val="auto"/>
                <w:sz w:val="20"/>
                <w:szCs w:val="20"/>
                <w:highlight w:val="none"/>
              </w:rPr>
              <w:t>2</w:t>
            </w:r>
          </w:p>
        </w:tc>
        <w:tc>
          <w:tcPr>
            <w:tcW w:w="519" w:type="pct"/>
            <w:vAlign w:val="center"/>
          </w:tcPr>
          <w:p w14:paraId="78C52A24">
            <w:pPr>
              <w:spacing w:line="288" w:lineRule="auto"/>
              <w:jc w:val="center"/>
              <w:rPr>
                <w:rFonts w:ascii="宋体" w:hAnsi="宋体" w:cs="宋体"/>
                <w:color w:val="auto"/>
                <w:sz w:val="20"/>
                <w:szCs w:val="20"/>
                <w:highlight w:val="none"/>
              </w:rPr>
            </w:pPr>
            <w:r>
              <w:rPr>
                <w:rFonts w:hint="eastAsia" w:ascii="宋体" w:hAnsi="宋体" w:cs="宋体"/>
                <w:color w:val="auto"/>
                <w:sz w:val="20"/>
                <w:szCs w:val="20"/>
                <w:highlight w:val="none"/>
              </w:rPr>
              <w:t>教学</w:t>
            </w:r>
          </w:p>
          <w:p w14:paraId="59B8E68C">
            <w:pPr>
              <w:spacing w:line="288" w:lineRule="auto"/>
              <w:jc w:val="center"/>
              <w:rPr>
                <w:rFonts w:ascii="宋体" w:hAnsi="宋体" w:cs="宋体"/>
                <w:color w:val="auto"/>
                <w:sz w:val="20"/>
                <w:szCs w:val="20"/>
                <w:highlight w:val="none"/>
              </w:rPr>
            </w:pPr>
            <w:r>
              <w:rPr>
                <w:rFonts w:hint="eastAsia" w:ascii="宋体" w:hAnsi="宋体" w:cs="宋体"/>
                <w:color w:val="auto"/>
                <w:sz w:val="20"/>
                <w:szCs w:val="20"/>
                <w:highlight w:val="none"/>
              </w:rPr>
              <w:t>一体机</w:t>
            </w:r>
          </w:p>
        </w:tc>
        <w:tc>
          <w:tcPr>
            <w:tcW w:w="520" w:type="pct"/>
            <w:vAlign w:val="center"/>
          </w:tcPr>
          <w:p w14:paraId="42824ED1">
            <w:pPr>
              <w:spacing w:line="288" w:lineRule="auto"/>
              <w:jc w:val="center"/>
              <w:rPr>
                <w:rFonts w:ascii="宋体" w:hAnsi="宋体" w:cs="宋体"/>
                <w:color w:val="auto"/>
                <w:sz w:val="20"/>
                <w:szCs w:val="20"/>
                <w:highlight w:val="none"/>
              </w:rPr>
            </w:pPr>
            <w:r>
              <w:rPr>
                <w:rFonts w:hint="eastAsia" w:ascii="宋体" w:hAnsi="宋体" w:cs="宋体"/>
                <w:color w:val="auto"/>
                <w:sz w:val="20"/>
                <w:szCs w:val="20"/>
                <w:highlight w:val="none"/>
                <w:lang w:val="en-US" w:eastAsia="zh-CN"/>
              </w:rPr>
              <w:t>希沃</w:t>
            </w:r>
            <w:r>
              <w:rPr>
                <w:rFonts w:hint="eastAsia" w:ascii="宋体" w:hAnsi="宋体" w:cs="宋体"/>
                <w:color w:val="auto"/>
                <w:sz w:val="20"/>
                <w:szCs w:val="20"/>
                <w:highlight w:val="none"/>
              </w:rPr>
              <w:t>FH86EA</w:t>
            </w:r>
          </w:p>
        </w:tc>
        <w:tc>
          <w:tcPr>
            <w:tcW w:w="1986" w:type="pct"/>
          </w:tcPr>
          <w:p w14:paraId="6214C98B">
            <w:pPr>
              <w:spacing w:line="460" w:lineRule="exact"/>
              <w:jc w:val="left"/>
              <w:rPr>
                <w:b/>
                <w:color w:val="auto"/>
                <w:highlight w:val="none"/>
              </w:rPr>
            </w:pPr>
            <w:r>
              <w:rPr>
                <w:rFonts w:hint="eastAsia"/>
                <w:b/>
                <w:color w:val="auto"/>
                <w:highlight w:val="none"/>
              </w:rPr>
              <w:t>一、视听与交互功能</w:t>
            </w:r>
          </w:p>
          <w:p w14:paraId="1E8494B2">
            <w:pPr>
              <w:spacing w:line="460" w:lineRule="exact"/>
              <w:jc w:val="left"/>
              <w:rPr>
                <w:color w:val="auto"/>
                <w:highlight w:val="none"/>
              </w:rPr>
            </w:pPr>
            <w:r>
              <w:rPr>
                <w:rFonts w:hint="eastAsia"/>
                <w:color w:val="auto"/>
                <w:highlight w:val="none"/>
              </w:rPr>
              <w:t>(1) 显示系统</w:t>
            </w:r>
          </w:p>
          <w:p w14:paraId="73360AE6">
            <w:pPr>
              <w:spacing w:line="460" w:lineRule="exact"/>
              <w:jc w:val="left"/>
              <w:rPr>
                <w:color w:val="auto"/>
                <w:highlight w:val="none"/>
              </w:rPr>
            </w:pPr>
            <w:r>
              <w:rPr>
                <w:rFonts w:hint="eastAsia"/>
                <w:color w:val="auto"/>
                <w:highlight w:val="none"/>
              </w:rPr>
              <w:t>1. 整机采用一体设计，外部无任何可见内部功能模块连接线。边角采用弧形设计，表面无尖锐边缘或凸起。</w:t>
            </w:r>
          </w:p>
          <w:p w14:paraId="47D90A56">
            <w:pPr>
              <w:spacing w:line="460" w:lineRule="exact"/>
              <w:jc w:val="left"/>
              <w:rPr>
                <w:color w:val="auto"/>
                <w:highlight w:val="none"/>
              </w:rPr>
            </w:pPr>
            <w:r>
              <w:rPr>
                <w:rFonts w:hint="eastAsia"/>
                <w:color w:val="auto"/>
                <w:highlight w:val="none"/>
              </w:rPr>
              <w:t>2. 整机采用边框背板一体化冲压成型，上左右三边边框与背板连接处无拼缝，提升整机整体强度和刚性，坚固可靠。</w:t>
            </w:r>
          </w:p>
          <w:p w14:paraId="7DDCB475">
            <w:pPr>
              <w:spacing w:line="460" w:lineRule="exact"/>
              <w:jc w:val="left"/>
              <w:rPr>
                <w:color w:val="auto"/>
                <w:highlight w:val="none"/>
              </w:rPr>
            </w:pPr>
            <w:r>
              <w:rPr>
                <w:rFonts w:hint="eastAsia"/>
                <w:color w:val="auto"/>
                <w:highlight w:val="none"/>
              </w:rPr>
              <w:t>3. 整机屏幕边缘采用金属圆角包边防护，整机背板采用金属材质，有效屏蔽内部电路器件辐射；防潮耐盐雾蚀锈，适应多种教学环境。</w:t>
            </w:r>
          </w:p>
          <w:p w14:paraId="6A22259A">
            <w:pPr>
              <w:spacing w:line="460" w:lineRule="exact"/>
              <w:jc w:val="left"/>
              <w:rPr>
                <w:color w:val="auto"/>
                <w:highlight w:val="none"/>
              </w:rPr>
            </w:pPr>
            <w:r>
              <w:rPr>
                <w:rFonts w:hint="eastAsia"/>
                <w:color w:val="auto"/>
                <w:highlight w:val="none"/>
              </w:rPr>
              <w:t>▲4. 整机左、右、下三边框皆具备磁吸功能，边框任意位置可吸附具备磁吸功能的书写笔，吸附稳定不掉落，磁吸拉力≥60g，方便教具的收纳管理。（</w:t>
            </w:r>
            <w:r>
              <w:rPr>
                <w:rFonts w:hint="eastAsia" w:ascii="宋体" w:hAnsi="宋体" w:cs="宋体"/>
                <w:color w:val="auto"/>
                <w:kern w:val="0"/>
                <w:sz w:val="20"/>
                <w:szCs w:val="20"/>
                <w:highlight w:val="none"/>
              </w:rPr>
              <w:t>供货时</w:t>
            </w:r>
            <w:r>
              <w:rPr>
                <w:rFonts w:hint="eastAsia"/>
                <w:color w:val="auto"/>
                <w:highlight w:val="none"/>
              </w:rPr>
              <w:t>须提供具有 CMA 或 CNAS 认证的第三方检测机构所出具的关于该功能的检测报告复印件）</w:t>
            </w:r>
          </w:p>
          <w:p w14:paraId="481D1926">
            <w:pPr>
              <w:spacing w:line="460" w:lineRule="exact"/>
              <w:jc w:val="left"/>
              <w:rPr>
                <w:color w:val="auto"/>
                <w:highlight w:val="none"/>
              </w:rPr>
            </w:pPr>
            <w:r>
              <w:rPr>
                <w:rFonts w:hint="eastAsia"/>
                <w:color w:val="auto"/>
                <w:highlight w:val="none"/>
              </w:rPr>
              <w:t>▲5. 整机屏幕采用≥86 英寸液晶显示器，整机采用超高清 LED 液晶屏，显示比例 16:9，分辨率 3840x2160，可视</w:t>
            </w:r>
            <w:bookmarkStart w:id="3" w:name="_GoBack"/>
            <w:bookmarkEnd w:id="3"/>
            <w:r>
              <w:rPr>
                <w:rFonts w:hint="eastAsia"/>
                <w:color w:val="auto"/>
                <w:highlight w:val="none"/>
              </w:rPr>
              <w:t>角度≥178°。</w:t>
            </w:r>
          </w:p>
          <w:p w14:paraId="1A797E7B">
            <w:pPr>
              <w:spacing w:line="460" w:lineRule="exact"/>
              <w:jc w:val="left"/>
              <w:rPr>
                <w:color w:val="auto"/>
                <w:highlight w:val="none"/>
              </w:rPr>
            </w:pPr>
            <w:r>
              <w:rPr>
                <w:rFonts w:hint="eastAsia"/>
                <w:color w:val="auto"/>
                <w:highlight w:val="none"/>
              </w:rPr>
              <w:t>6. 色域覆盖率（NTSC）≥72%，灰阶等级≥256 级。</w:t>
            </w:r>
          </w:p>
          <w:p w14:paraId="0B5290F0">
            <w:pPr>
              <w:spacing w:line="460" w:lineRule="exact"/>
              <w:jc w:val="left"/>
              <w:rPr>
                <w:color w:val="auto"/>
                <w:highlight w:val="none"/>
              </w:rPr>
            </w:pPr>
            <w:r>
              <w:rPr>
                <w:rFonts w:hint="eastAsia"/>
                <w:color w:val="auto"/>
                <w:highlight w:val="none"/>
              </w:rPr>
              <w:t>7. 采用全物理钢化玻璃，有效保护屏幕显示画面，采用防眩光玻璃，屏幕支持防眩光功能，钢化玻璃表面硬度≥9H。</w:t>
            </w:r>
          </w:p>
          <w:p w14:paraId="27C7A069">
            <w:pPr>
              <w:spacing w:line="460" w:lineRule="exact"/>
              <w:jc w:val="left"/>
              <w:rPr>
                <w:color w:val="auto"/>
                <w:highlight w:val="none"/>
              </w:rPr>
            </w:pPr>
            <w:r>
              <w:rPr>
                <w:rFonts w:hint="eastAsia"/>
                <w:color w:val="auto"/>
                <w:highlight w:val="none"/>
              </w:rPr>
              <w:t>8. 整机背光系统支持 DC 调光方式，多级亮度调节，支持白颜色背景下最暗亮度≤100nit，用于提升显示对比度。</w:t>
            </w:r>
          </w:p>
          <w:p w14:paraId="4142844C">
            <w:pPr>
              <w:spacing w:line="460" w:lineRule="exact"/>
              <w:jc w:val="left"/>
              <w:rPr>
                <w:color w:val="auto"/>
                <w:highlight w:val="none"/>
              </w:rPr>
            </w:pPr>
            <w:r>
              <w:rPr>
                <w:rFonts w:hint="eastAsia"/>
                <w:color w:val="auto"/>
                <w:highlight w:val="none"/>
              </w:rPr>
              <w:t>9. 整机屏幕蓝光占比（有害蓝光 415～455nm 能量综合）/（整体蓝光 400～500nm 能量综合）＜50%。</w:t>
            </w:r>
          </w:p>
          <w:p w14:paraId="0ADECEDC">
            <w:pPr>
              <w:spacing w:line="460" w:lineRule="exact"/>
              <w:jc w:val="left"/>
              <w:rPr>
                <w:color w:val="auto"/>
                <w:highlight w:val="none"/>
              </w:rPr>
            </w:pPr>
            <w:r>
              <w:rPr>
                <w:rFonts w:hint="eastAsia"/>
                <w:color w:val="auto"/>
                <w:highlight w:val="none"/>
              </w:rPr>
              <w:t>10. 支持自定义图像设置，可对对比度、屏幕色温、图像亮度、亮度范围、色彩空间调节设置。</w:t>
            </w:r>
          </w:p>
          <w:p w14:paraId="0791A57B">
            <w:pPr>
              <w:spacing w:line="460" w:lineRule="exact"/>
              <w:jc w:val="left"/>
              <w:rPr>
                <w:color w:val="auto"/>
                <w:highlight w:val="none"/>
              </w:rPr>
            </w:pPr>
            <w:r>
              <w:rPr>
                <w:rFonts w:hint="eastAsia"/>
                <w:color w:val="auto"/>
                <w:highlight w:val="none"/>
              </w:rPr>
              <w:t>11. 整机全通道支持纸质护眼模式，可实现画面纹理的实时调整；支持纸质纹理：牛皮纸、素描纸、宣纸、水彩纸、水纹纸；支持透明度调节；支持色温调节。</w:t>
            </w:r>
          </w:p>
          <w:p w14:paraId="78A4913B">
            <w:pPr>
              <w:spacing w:line="460" w:lineRule="exact"/>
              <w:jc w:val="left"/>
              <w:rPr>
                <w:color w:val="auto"/>
                <w:highlight w:val="none"/>
              </w:rPr>
            </w:pPr>
            <w:r>
              <w:rPr>
                <w:rFonts w:hint="eastAsia"/>
                <w:color w:val="auto"/>
                <w:highlight w:val="none"/>
              </w:rPr>
              <w:t>12. 纸质护眼模式下，显示画面各像素点灰度不规则，减少背景干扰。</w:t>
            </w:r>
          </w:p>
          <w:p w14:paraId="13C58866">
            <w:pPr>
              <w:spacing w:line="460" w:lineRule="exact"/>
              <w:jc w:val="left"/>
              <w:rPr>
                <w:color w:val="auto"/>
                <w:highlight w:val="none"/>
              </w:rPr>
            </w:pPr>
            <w:r>
              <w:rPr>
                <w:rFonts w:hint="eastAsia"/>
                <w:color w:val="auto"/>
                <w:highlight w:val="none"/>
              </w:rPr>
              <w:t>13. 支持半屏模式，将 Windows 显示画面上半部分下拉到屏幕下半部分显示，此时依然可以正常触控操作 Windows 系统；点击非 Windows 显示画面区域（屏幕上半部分），即可退出该模式。</w:t>
            </w:r>
          </w:p>
          <w:p w14:paraId="47E0AAEC">
            <w:pPr>
              <w:spacing w:line="460" w:lineRule="exact"/>
              <w:jc w:val="left"/>
              <w:rPr>
                <w:color w:val="auto"/>
                <w:highlight w:val="none"/>
              </w:rPr>
            </w:pPr>
            <w:r>
              <w:rPr>
                <w:rFonts w:hint="eastAsia"/>
                <w:color w:val="auto"/>
                <w:highlight w:val="none"/>
              </w:rPr>
              <w:t>(2) 触控系统</w:t>
            </w:r>
          </w:p>
          <w:p w14:paraId="08E278E2">
            <w:pPr>
              <w:spacing w:line="460" w:lineRule="exact"/>
              <w:jc w:val="left"/>
              <w:rPr>
                <w:color w:val="auto"/>
                <w:highlight w:val="none"/>
              </w:rPr>
            </w:pPr>
            <w:r>
              <w:rPr>
                <w:rFonts w:hint="eastAsia"/>
                <w:color w:val="auto"/>
                <w:highlight w:val="none"/>
              </w:rPr>
              <w:t>▲1. 采用红外触控技术，Windows 系统和 Android 系统均支持≥50 点触控及书写划线。（</w:t>
            </w:r>
            <w:r>
              <w:rPr>
                <w:rFonts w:hint="eastAsia" w:ascii="宋体" w:hAnsi="宋体" w:cs="宋体"/>
                <w:color w:val="auto"/>
                <w:kern w:val="0"/>
                <w:sz w:val="20"/>
                <w:szCs w:val="20"/>
                <w:highlight w:val="none"/>
              </w:rPr>
              <w:t>供货时</w:t>
            </w:r>
            <w:r>
              <w:rPr>
                <w:rFonts w:hint="eastAsia"/>
                <w:color w:val="auto"/>
                <w:highlight w:val="none"/>
              </w:rPr>
              <w:t>须提供具有 CMA 或 CNAS 认证的第三方检测机构所出具的关于该功能的检测报告复印件）</w:t>
            </w:r>
          </w:p>
          <w:p w14:paraId="08F0DD2E">
            <w:pPr>
              <w:spacing w:line="460" w:lineRule="exact"/>
              <w:jc w:val="left"/>
              <w:rPr>
                <w:color w:val="auto"/>
                <w:highlight w:val="none"/>
              </w:rPr>
            </w:pPr>
            <w:r>
              <w:rPr>
                <w:rFonts w:hint="eastAsia"/>
                <w:color w:val="auto"/>
                <w:highlight w:val="none"/>
              </w:rPr>
              <w:t>2. 整机屏幕触摸有效识别高度不超过 1.5mm，即触摸物体距离玻璃外表面高度不超过 1.5mm 时，触摸屏识别为点击操作。</w:t>
            </w:r>
          </w:p>
          <w:p w14:paraId="605A0D88">
            <w:pPr>
              <w:spacing w:line="460" w:lineRule="exact"/>
              <w:jc w:val="left"/>
              <w:rPr>
                <w:color w:val="auto"/>
                <w:highlight w:val="none"/>
              </w:rPr>
            </w:pPr>
            <w:r>
              <w:rPr>
                <w:rFonts w:hint="eastAsia"/>
                <w:color w:val="auto"/>
                <w:highlight w:val="none"/>
              </w:rPr>
              <w:t>3. 整机触控书写功能集成预测算法，支持多档预测速度可调节，在书写速度≥50cm/s，支持笔迹距离笔的距离小于 20mm。</w:t>
            </w:r>
          </w:p>
          <w:p w14:paraId="3F16A5C3">
            <w:pPr>
              <w:spacing w:line="460" w:lineRule="exact"/>
              <w:jc w:val="left"/>
              <w:rPr>
                <w:color w:val="auto"/>
                <w:highlight w:val="none"/>
              </w:rPr>
            </w:pPr>
            <w:r>
              <w:rPr>
                <w:rFonts w:hint="eastAsia"/>
                <w:color w:val="auto"/>
                <w:highlight w:val="none"/>
              </w:rPr>
              <w:t>4. 整机书写触控延迟≤25ms。</w:t>
            </w:r>
          </w:p>
          <w:p w14:paraId="715CC45D">
            <w:pPr>
              <w:spacing w:line="460" w:lineRule="exact"/>
              <w:jc w:val="left"/>
              <w:rPr>
                <w:color w:val="auto"/>
                <w:highlight w:val="none"/>
              </w:rPr>
            </w:pPr>
            <w:r>
              <w:rPr>
                <w:rFonts w:hint="eastAsia"/>
                <w:color w:val="auto"/>
                <w:highlight w:val="none"/>
              </w:rPr>
              <w:t>▲5. 整机支持提笔书写，在 Windows 系统下可实现无需点击任意功能入口，当检测到红外笔笔尖接触屏幕时，自动进入书写模式。（</w:t>
            </w:r>
            <w:r>
              <w:rPr>
                <w:rFonts w:hint="eastAsia" w:ascii="宋体" w:hAnsi="宋体" w:cs="宋体"/>
                <w:color w:val="auto"/>
                <w:kern w:val="0"/>
                <w:sz w:val="20"/>
                <w:szCs w:val="20"/>
                <w:highlight w:val="none"/>
              </w:rPr>
              <w:t>供货时</w:t>
            </w:r>
            <w:r>
              <w:rPr>
                <w:rFonts w:hint="eastAsia"/>
                <w:color w:val="auto"/>
                <w:highlight w:val="none"/>
              </w:rPr>
              <w:t>须提供具有 CMA 或 CNAS 认证的第三方检测机构所出具的关于该功能的检测报告复印件）</w:t>
            </w:r>
          </w:p>
          <w:p w14:paraId="78735495">
            <w:pPr>
              <w:spacing w:line="460" w:lineRule="exact"/>
              <w:jc w:val="left"/>
              <w:rPr>
                <w:color w:val="auto"/>
                <w:highlight w:val="none"/>
              </w:rPr>
            </w:pPr>
            <w:r>
              <w:rPr>
                <w:rFonts w:hint="eastAsia"/>
                <w:color w:val="auto"/>
                <w:highlight w:val="none"/>
              </w:rPr>
              <w:t>6. 支持智能板擦功能，系统可根据触控物体的形状自动识别出实物板擦，可擦除电子白板中的内容，无需依赖外部电子设备。</w:t>
            </w:r>
          </w:p>
          <w:p w14:paraId="6D0869DC">
            <w:pPr>
              <w:spacing w:line="460" w:lineRule="exact"/>
              <w:jc w:val="left"/>
              <w:rPr>
                <w:color w:val="auto"/>
                <w:highlight w:val="none"/>
              </w:rPr>
            </w:pPr>
            <w:r>
              <w:rPr>
                <w:rFonts w:hint="eastAsia"/>
                <w:color w:val="auto"/>
                <w:highlight w:val="none"/>
              </w:rPr>
              <w:t>7. 支持 Windows 7、Windows 8、Windows 10、Windows11、Linux、Mac Os、UOS 和麒麟系统外置电脑操作系统接入时，无需安装触摸驱动。</w:t>
            </w:r>
          </w:p>
          <w:p w14:paraId="4A4184E3">
            <w:pPr>
              <w:spacing w:line="460" w:lineRule="exact"/>
              <w:jc w:val="left"/>
              <w:rPr>
                <w:color w:val="auto"/>
                <w:highlight w:val="none"/>
              </w:rPr>
            </w:pPr>
            <w:r>
              <w:rPr>
                <w:rFonts w:hint="eastAsia"/>
                <w:color w:val="auto"/>
                <w:highlight w:val="none"/>
              </w:rPr>
              <w:t>▲8. 整机触摸支持动态压力感应，支持无任何电子功能的普通书写笔在整机上书写或点压时，整机能感应压力变化，书写或点压过程笔迹呈现不同粗细。（</w:t>
            </w:r>
            <w:r>
              <w:rPr>
                <w:rFonts w:hint="eastAsia" w:ascii="宋体" w:hAnsi="宋体" w:cs="宋体"/>
                <w:color w:val="auto"/>
                <w:kern w:val="0"/>
                <w:sz w:val="20"/>
                <w:szCs w:val="20"/>
                <w:highlight w:val="none"/>
              </w:rPr>
              <w:t>供货时</w:t>
            </w:r>
            <w:r>
              <w:rPr>
                <w:rFonts w:hint="eastAsia"/>
                <w:color w:val="auto"/>
                <w:highlight w:val="none"/>
              </w:rPr>
              <w:t>须提供具有 CMA 或 CNAS 认证的第三方检测机构所出具的关于该功能的检测报告复印件）</w:t>
            </w:r>
          </w:p>
          <w:p w14:paraId="5E7A8E09">
            <w:pPr>
              <w:spacing w:line="460" w:lineRule="exact"/>
              <w:jc w:val="left"/>
              <w:rPr>
                <w:color w:val="auto"/>
                <w:highlight w:val="none"/>
              </w:rPr>
            </w:pPr>
            <w:r>
              <w:rPr>
                <w:rFonts w:hint="eastAsia"/>
                <w:color w:val="auto"/>
                <w:highlight w:val="none"/>
              </w:rPr>
              <w:t>9. 外接电脑设备连接整机且触摸信号连通时，外接电脑设备可直接读取整机前置 USB 接口的移动存储设备数据，连接整机前置 USB 接口的翻页笔和无线键鼠外接设备可直接使用于外接电脑。</w:t>
            </w:r>
          </w:p>
          <w:p w14:paraId="425E4C98">
            <w:pPr>
              <w:spacing w:line="460" w:lineRule="exact"/>
              <w:jc w:val="left"/>
              <w:rPr>
                <w:color w:val="auto"/>
                <w:highlight w:val="none"/>
              </w:rPr>
            </w:pPr>
            <w:r>
              <w:rPr>
                <w:rFonts w:hint="eastAsia"/>
                <w:color w:val="auto"/>
                <w:highlight w:val="none"/>
              </w:rPr>
              <w:t>10. 支持智能 U 盘锁功能，U 盘锁开启后整机触摸及按键被锁定，锁定后无法随意自由操作，需要使用时插入 USB key 可解锁。</w:t>
            </w:r>
          </w:p>
          <w:p w14:paraId="5DBA2C83">
            <w:pPr>
              <w:spacing w:line="460" w:lineRule="exact"/>
              <w:jc w:val="left"/>
              <w:rPr>
                <w:color w:val="auto"/>
                <w:highlight w:val="none"/>
              </w:rPr>
            </w:pPr>
            <w:r>
              <w:rPr>
                <w:rFonts w:hint="eastAsia"/>
                <w:color w:val="auto"/>
                <w:highlight w:val="none"/>
              </w:rPr>
              <w:t>11. 在整机全信号源通道下，支持十指长按屏幕 5 秒的方式实现触摸锁定及解锁，触摸锁定时整机无法被触控操作。</w:t>
            </w:r>
          </w:p>
          <w:p w14:paraId="43427A00">
            <w:pPr>
              <w:spacing w:line="460" w:lineRule="exact"/>
              <w:jc w:val="left"/>
              <w:rPr>
                <w:color w:val="auto"/>
                <w:highlight w:val="none"/>
              </w:rPr>
            </w:pPr>
            <w:r>
              <w:rPr>
                <w:rFonts w:hint="eastAsia"/>
                <w:color w:val="auto"/>
                <w:highlight w:val="none"/>
              </w:rPr>
              <w:t>12. 整机具备智能手势识别功能，在整机全信号源通道下均可识别五指上、下、左、右方向手势，五指画 O、画～、左右晃动、缩 / 放方向手势滑动并调用相应功能。支持将各手势滑动方向自定义设置为无操作、熄屏、批注、桌面、半屏模式。</w:t>
            </w:r>
          </w:p>
          <w:p w14:paraId="1CEC9681">
            <w:pPr>
              <w:spacing w:line="460" w:lineRule="exact"/>
              <w:jc w:val="left"/>
              <w:rPr>
                <w:color w:val="auto"/>
                <w:highlight w:val="none"/>
              </w:rPr>
            </w:pPr>
            <w:r>
              <w:rPr>
                <w:rFonts w:hint="eastAsia"/>
                <w:color w:val="auto"/>
                <w:highlight w:val="none"/>
              </w:rPr>
              <w:t>(3) 音频系统</w:t>
            </w:r>
          </w:p>
          <w:p w14:paraId="4BDC7B3F">
            <w:pPr>
              <w:spacing w:line="460" w:lineRule="exact"/>
              <w:jc w:val="left"/>
              <w:rPr>
                <w:color w:val="auto"/>
                <w:highlight w:val="none"/>
              </w:rPr>
            </w:pPr>
            <w:r>
              <w:rPr>
                <w:rFonts w:hint="eastAsia"/>
                <w:color w:val="auto"/>
                <w:highlight w:val="none"/>
              </w:rPr>
              <w:t>▲1. 整机内置 2.2 声道扬声器，位于设备上边框，顶置朝前发声，12W 高音扬声器 2 个，上朝向 30W 中低音扬声器 2 个，最大功率≥84W，单个扬声器容积≥0.62L，最低谐振频率≤85Hz。（</w:t>
            </w:r>
            <w:r>
              <w:rPr>
                <w:rFonts w:hint="eastAsia" w:ascii="宋体" w:hAnsi="宋体" w:cs="宋体"/>
                <w:color w:val="auto"/>
                <w:kern w:val="0"/>
                <w:sz w:val="20"/>
                <w:szCs w:val="20"/>
                <w:highlight w:val="none"/>
              </w:rPr>
              <w:t>供货时</w:t>
            </w:r>
            <w:r>
              <w:rPr>
                <w:rFonts w:hint="eastAsia"/>
                <w:color w:val="auto"/>
                <w:highlight w:val="none"/>
              </w:rPr>
              <w:t>须提供具有 CMA 或 CNAS 认证的第三方检测机构所出具的关于该功能的检测报告复印件）</w:t>
            </w:r>
          </w:p>
          <w:p w14:paraId="5BFA27B5">
            <w:pPr>
              <w:spacing w:line="460" w:lineRule="exact"/>
              <w:jc w:val="left"/>
              <w:rPr>
                <w:color w:val="auto"/>
                <w:highlight w:val="none"/>
              </w:rPr>
            </w:pPr>
            <w:r>
              <w:rPr>
                <w:rFonts w:hint="eastAsia"/>
                <w:color w:val="auto"/>
                <w:highlight w:val="none"/>
              </w:rPr>
              <w:t>2. 整机可选择高级音效设置，支持在左右声道平衡显示范围中进行更改。中低频段可选择调节范围 125Hz～1kHz，高频段可选择调节范围 2kHz～16kHz，分贝可选择调节范围 - 12dB～12dB。</w:t>
            </w:r>
          </w:p>
          <w:p w14:paraId="3D9EA7F9">
            <w:pPr>
              <w:spacing w:line="460" w:lineRule="exact"/>
              <w:jc w:val="left"/>
              <w:rPr>
                <w:color w:val="auto"/>
                <w:highlight w:val="none"/>
              </w:rPr>
            </w:pPr>
            <w:r>
              <w:rPr>
                <w:rFonts w:hint="eastAsia"/>
                <w:color w:val="auto"/>
                <w:highlight w:val="none"/>
              </w:rPr>
              <w:t>3. 整机内置扬声器采用缝隙发声技术，喇叭采用槽式开口设计。</w:t>
            </w:r>
          </w:p>
          <w:p w14:paraId="4591479B">
            <w:pPr>
              <w:spacing w:line="460" w:lineRule="exact"/>
              <w:jc w:val="left"/>
              <w:rPr>
                <w:color w:val="auto"/>
                <w:highlight w:val="none"/>
              </w:rPr>
            </w:pPr>
            <w:r>
              <w:rPr>
                <w:rFonts w:hint="eastAsia"/>
                <w:color w:val="auto"/>
                <w:highlight w:val="none"/>
              </w:rPr>
              <w:t>4. 整机扬声器在 100% 音量下，可做到 1 米处声压级≥92dB，10 米处声压级≥82dB。</w:t>
            </w:r>
          </w:p>
          <w:p w14:paraId="6EE4019B">
            <w:pPr>
              <w:spacing w:line="460" w:lineRule="exact"/>
              <w:jc w:val="left"/>
              <w:rPr>
                <w:color w:val="auto"/>
                <w:highlight w:val="none"/>
              </w:rPr>
            </w:pPr>
            <w:r>
              <w:rPr>
                <w:rFonts w:hint="eastAsia"/>
                <w:color w:val="auto"/>
                <w:highlight w:val="none"/>
              </w:rPr>
              <w:t>5. 整机全通道侧边栏快捷菜单支持快捷调节音量、亮度，支持自动亮度模式，支持点击静音按钮静音。</w:t>
            </w:r>
          </w:p>
          <w:p w14:paraId="68382B9F">
            <w:pPr>
              <w:spacing w:line="460" w:lineRule="exact"/>
              <w:jc w:val="left"/>
              <w:rPr>
                <w:color w:val="auto"/>
                <w:highlight w:val="none"/>
              </w:rPr>
            </w:pPr>
            <w:r>
              <w:rPr>
                <w:rFonts w:hint="eastAsia"/>
                <w:color w:val="auto"/>
                <w:highlight w:val="none"/>
              </w:rPr>
              <w:t>二、智能内核与连接能力</w:t>
            </w:r>
          </w:p>
          <w:p w14:paraId="202B4040">
            <w:pPr>
              <w:spacing w:line="460" w:lineRule="exact"/>
              <w:jc w:val="left"/>
              <w:rPr>
                <w:color w:val="auto"/>
                <w:highlight w:val="none"/>
              </w:rPr>
            </w:pPr>
            <w:r>
              <w:rPr>
                <w:rFonts w:hint="eastAsia"/>
                <w:color w:val="auto"/>
                <w:highlight w:val="none"/>
              </w:rPr>
              <w:t>(1) 嵌入式系统</w:t>
            </w:r>
          </w:p>
          <w:p w14:paraId="116118D6">
            <w:pPr>
              <w:spacing w:line="460" w:lineRule="exact"/>
              <w:jc w:val="left"/>
              <w:rPr>
                <w:color w:val="auto"/>
                <w:highlight w:val="none"/>
              </w:rPr>
            </w:pPr>
            <w:r>
              <w:rPr>
                <w:rFonts w:hint="eastAsia"/>
                <w:color w:val="auto"/>
                <w:highlight w:val="none"/>
              </w:rPr>
              <w:t>▲1. 整机嵌入式系统版本≥Android 15，内存≥2GB，存储空间≥32GB。（</w:t>
            </w:r>
            <w:r>
              <w:rPr>
                <w:rFonts w:hint="eastAsia" w:ascii="宋体" w:hAnsi="宋体" w:cs="宋体"/>
                <w:color w:val="auto"/>
                <w:kern w:val="0"/>
                <w:sz w:val="20"/>
                <w:szCs w:val="20"/>
                <w:highlight w:val="none"/>
              </w:rPr>
              <w:t>供货时</w:t>
            </w:r>
            <w:r>
              <w:rPr>
                <w:rFonts w:hint="eastAsia"/>
                <w:color w:val="auto"/>
                <w:highlight w:val="none"/>
              </w:rPr>
              <w:t>须提供具有 CMA 或 CNAS 认证的第三方检测机构所出具的关于该功能的检测报告复印件）</w:t>
            </w:r>
          </w:p>
          <w:p w14:paraId="6B83B3F4">
            <w:pPr>
              <w:spacing w:line="460" w:lineRule="exact"/>
              <w:jc w:val="left"/>
              <w:rPr>
                <w:color w:val="auto"/>
                <w:highlight w:val="none"/>
              </w:rPr>
            </w:pPr>
            <w:r>
              <w:rPr>
                <w:rFonts w:hint="eastAsia"/>
                <w:color w:val="auto"/>
                <w:highlight w:val="none"/>
              </w:rPr>
              <w:t>2. 嵌入式 Android 操作系统下，白板支持对已经书写的笔迹和形状和颜色进行更换。</w:t>
            </w:r>
          </w:p>
          <w:p w14:paraId="7AF12B61">
            <w:pPr>
              <w:spacing w:line="460" w:lineRule="exact"/>
              <w:jc w:val="left"/>
              <w:rPr>
                <w:color w:val="auto"/>
                <w:highlight w:val="none"/>
              </w:rPr>
            </w:pPr>
            <w:r>
              <w:rPr>
                <w:rFonts w:hint="eastAsia"/>
                <w:color w:val="auto"/>
                <w:highlight w:val="none"/>
              </w:rPr>
              <w:t>3. 在嵌入式系统下使用白板软件时，整机可自行调节屏幕亮度。</w:t>
            </w:r>
          </w:p>
          <w:p w14:paraId="43ED0816">
            <w:pPr>
              <w:spacing w:line="460" w:lineRule="exact"/>
              <w:jc w:val="left"/>
              <w:rPr>
                <w:color w:val="auto"/>
                <w:highlight w:val="none"/>
              </w:rPr>
            </w:pPr>
            <w:r>
              <w:rPr>
                <w:rFonts w:hint="eastAsia"/>
                <w:color w:val="auto"/>
                <w:highlight w:val="none"/>
              </w:rPr>
              <w:t>4. 嵌入式 Android 操作系统下，互动白板支持不同背景颜色，同时提供学科背景，如：五线谱、信纸、田字格、英文格、篮球和足球场地平面图。</w:t>
            </w:r>
          </w:p>
          <w:p w14:paraId="2374C02F">
            <w:pPr>
              <w:spacing w:line="460" w:lineRule="exact"/>
              <w:jc w:val="left"/>
              <w:rPr>
                <w:color w:val="auto"/>
                <w:highlight w:val="none"/>
              </w:rPr>
            </w:pPr>
            <w:r>
              <w:rPr>
                <w:rFonts w:hint="eastAsia"/>
                <w:color w:val="auto"/>
                <w:highlight w:val="none"/>
              </w:rPr>
              <w:t>▲5. 无 PC 模块状态下，嵌入式 Android 系统内置白板软件支持十笔书写及手掌擦除（手掌擦除面积根据手掌与屏幕的接触面大小自动调整）， 白板书写内容可以 PDF 、IWB 和 SVG 格式导出。支持 10 种以上平面图形工具。支持 8 种以上立体图形工具。（</w:t>
            </w:r>
            <w:r>
              <w:rPr>
                <w:rFonts w:hint="eastAsia" w:ascii="宋体" w:hAnsi="宋体" w:cs="宋体"/>
                <w:color w:val="auto"/>
                <w:kern w:val="0"/>
                <w:sz w:val="20"/>
                <w:szCs w:val="20"/>
                <w:highlight w:val="none"/>
              </w:rPr>
              <w:t>供货时</w:t>
            </w:r>
            <w:r>
              <w:rPr>
                <w:rFonts w:hint="eastAsia"/>
                <w:color w:val="auto"/>
                <w:highlight w:val="none"/>
              </w:rPr>
              <w:t>须提供具有 CMA 或 CNAS 认证的第三方检测机构所出具的关于该功能的检测报告复印件）</w:t>
            </w:r>
          </w:p>
          <w:p w14:paraId="3D2C8F75">
            <w:pPr>
              <w:spacing w:line="460" w:lineRule="exact"/>
              <w:jc w:val="left"/>
              <w:rPr>
                <w:color w:val="auto"/>
                <w:highlight w:val="none"/>
              </w:rPr>
            </w:pPr>
            <w:r>
              <w:rPr>
                <w:rFonts w:hint="eastAsia"/>
                <w:color w:val="auto"/>
                <w:highlight w:val="none"/>
              </w:rPr>
              <w:t>(2) OPS 电脑系统</w:t>
            </w:r>
          </w:p>
          <w:p w14:paraId="70C73560">
            <w:pPr>
              <w:spacing w:line="460" w:lineRule="exact"/>
              <w:jc w:val="left"/>
              <w:rPr>
                <w:color w:val="auto"/>
                <w:highlight w:val="none"/>
              </w:rPr>
            </w:pPr>
            <w:r>
              <w:rPr>
                <w:rFonts w:hint="eastAsia"/>
                <w:color w:val="auto"/>
                <w:highlight w:val="none"/>
              </w:rPr>
              <w:t>▲1. 搭载 CPU：≥Intel 12 代酷睿 i5，内存：≥16GB，固态硬盘：≥512 GB 配置。</w:t>
            </w:r>
          </w:p>
          <w:p w14:paraId="392F9EF0">
            <w:pPr>
              <w:spacing w:line="460" w:lineRule="exact"/>
              <w:jc w:val="left"/>
              <w:rPr>
                <w:color w:val="auto"/>
                <w:highlight w:val="none"/>
              </w:rPr>
            </w:pPr>
            <w:r>
              <w:rPr>
                <w:rFonts w:hint="eastAsia"/>
                <w:color w:val="auto"/>
                <w:highlight w:val="none"/>
              </w:rPr>
              <w:t>2. 采用按压式卡扣，无需工具即可快速拆卸电脑模块。</w:t>
            </w:r>
          </w:p>
          <w:p w14:paraId="245180C6">
            <w:pPr>
              <w:spacing w:line="460" w:lineRule="exact"/>
              <w:jc w:val="left"/>
              <w:rPr>
                <w:color w:val="auto"/>
                <w:highlight w:val="none"/>
              </w:rPr>
            </w:pPr>
            <w:r>
              <w:rPr>
                <w:rFonts w:hint="eastAsia"/>
                <w:color w:val="auto"/>
                <w:highlight w:val="none"/>
              </w:rPr>
              <w:t>3.PC 模块可抽拉式插入整机，可实现无单独接线的拔插。</w:t>
            </w:r>
          </w:p>
          <w:p w14:paraId="3707853A">
            <w:pPr>
              <w:spacing w:line="460" w:lineRule="exact"/>
              <w:jc w:val="left"/>
              <w:rPr>
                <w:color w:val="auto"/>
                <w:highlight w:val="none"/>
              </w:rPr>
            </w:pPr>
            <w:r>
              <w:rPr>
                <w:rFonts w:hint="eastAsia"/>
                <w:color w:val="auto"/>
                <w:highlight w:val="none"/>
              </w:rPr>
              <w:t>4. 具有独立非外拓展的视频输出接口：≥1 路 HDMI，具有独立非外拓展的电脑 USB 接口：至少具备 3 个 USB3.0 接口，3 个 USB2.0 接口。</w:t>
            </w:r>
          </w:p>
          <w:p w14:paraId="05E3D496">
            <w:pPr>
              <w:spacing w:line="460" w:lineRule="exact"/>
              <w:jc w:val="left"/>
              <w:rPr>
                <w:color w:val="auto"/>
                <w:highlight w:val="none"/>
              </w:rPr>
            </w:pPr>
            <w:r>
              <w:rPr>
                <w:rFonts w:hint="eastAsia"/>
                <w:color w:val="auto"/>
                <w:highlight w:val="none"/>
              </w:rPr>
              <w:t>(3) 无线连接能力</w:t>
            </w:r>
          </w:p>
          <w:p w14:paraId="034DF48D">
            <w:pPr>
              <w:spacing w:line="460" w:lineRule="exact"/>
              <w:jc w:val="left"/>
              <w:rPr>
                <w:color w:val="auto"/>
                <w:highlight w:val="none"/>
              </w:rPr>
            </w:pPr>
            <w:r>
              <w:rPr>
                <w:rFonts w:hint="eastAsia"/>
                <w:color w:val="auto"/>
                <w:highlight w:val="none"/>
              </w:rPr>
              <w:t>1. 整机无需外接无线网卡，在 Windows 系统下可实现 Wi-Fi 无线上网连接、AP 无线热点发射和 BT 蓝牙连接功能。</w:t>
            </w:r>
          </w:p>
          <w:p w14:paraId="659FA9A1">
            <w:pPr>
              <w:spacing w:line="460" w:lineRule="exact"/>
              <w:jc w:val="left"/>
              <w:rPr>
                <w:color w:val="auto"/>
                <w:highlight w:val="none"/>
              </w:rPr>
            </w:pPr>
            <w:r>
              <w:rPr>
                <w:rFonts w:hint="eastAsia"/>
                <w:color w:val="auto"/>
                <w:highlight w:val="none"/>
              </w:rPr>
              <w:t>2. 整机无需外接无线网卡，在 Windows 系统下接入无线网络，切换到嵌入式 Android 系统下可直接实现无线上网功能，不需手动重复设置。</w:t>
            </w:r>
          </w:p>
          <w:p w14:paraId="1F7613B5">
            <w:pPr>
              <w:spacing w:line="460" w:lineRule="exact"/>
              <w:jc w:val="left"/>
              <w:rPr>
                <w:color w:val="auto"/>
                <w:highlight w:val="none"/>
              </w:rPr>
            </w:pPr>
            <w:r>
              <w:rPr>
                <w:rFonts w:hint="eastAsia"/>
                <w:color w:val="auto"/>
                <w:highlight w:val="none"/>
              </w:rPr>
              <w:t>3.Wi-Fi 和 AP 热点工作距离≥12m。</w:t>
            </w:r>
          </w:p>
          <w:p w14:paraId="11880744">
            <w:pPr>
              <w:spacing w:line="460" w:lineRule="exact"/>
              <w:jc w:val="left"/>
              <w:rPr>
                <w:color w:val="auto"/>
                <w:highlight w:val="none"/>
              </w:rPr>
            </w:pPr>
            <w:r>
              <w:rPr>
                <w:rFonts w:hint="eastAsia"/>
                <w:color w:val="auto"/>
                <w:highlight w:val="none"/>
              </w:rPr>
              <w:t>▲4. 整机支持蓝牙 Bluetooth 5.4 标准，固件版本号 HCI13.0/LMP13.0。（</w:t>
            </w:r>
            <w:r>
              <w:rPr>
                <w:rFonts w:hint="eastAsia" w:ascii="宋体" w:hAnsi="宋体" w:cs="宋体"/>
                <w:color w:val="auto"/>
                <w:kern w:val="0"/>
                <w:sz w:val="20"/>
                <w:szCs w:val="20"/>
                <w:highlight w:val="none"/>
              </w:rPr>
              <w:t>供货时</w:t>
            </w:r>
            <w:r>
              <w:rPr>
                <w:rFonts w:hint="eastAsia"/>
                <w:color w:val="auto"/>
                <w:highlight w:val="none"/>
              </w:rPr>
              <w:t>须提供具有 CMA 或 CNAS 认证的第三方检测机构所出具的关于该功能的检测报告复印件）</w:t>
            </w:r>
          </w:p>
          <w:p w14:paraId="10963416">
            <w:pPr>
              <w:spacing w:line="460" w:lineRule="exact"/>
              <w:jc w:val="left"/>
              <w:rPr>
                <w:color w:val="auto"/>
                <w:highlight w:val="none"/>
              </w:rPr>
            </w:pPr>
            <w:r>
              <w:rPr>
                <w:rFonts w:hint="eastAsia"/>
                <w:color w:val="auto"/>
                <w:highlight w:val="none"/>
              </w:rPr>
              <w:t>5. 整机 PC 端支持主动发现蓝牙外设从而连接（无需整机进入发现模式），支持连接外部蓝牙音箱播放音频。</w:t>
            </w:r>
          </w:p>
          <w:p w14:paraId="7D6AD199">
            <w:pPr>
              <w:spacing w:line="460" w:lineRule="exact"/>
              <w:jc w:val="left"/>
              <w:rPr>
                <w:color w:val="auto"/>
                <w:highlight w:val="none"/>
              </w:rPr>
            </w:pPr>
            <w:r>
              <w:rPr>
                <w:rFonts w:hint="eastAsia"/>
                <w:color w:val="auto"/>
                <w:highlight w:val="none"/>
              </w:rPr>
              <w:t>▲6. 整机支持发出频率为 18kHz-22kHz 超声波信号，智能手机和笔记本电脑接收超声波信号后可以自动识别附近投屏设备，点击对应设备即可完成投屏操作。（</w:t>
            </w:r>
            <w:r>
              <w:rPr>
                <w:rFonts w:hint="eastAsia" w:ascii="宋体" w:hAnsi="宋体" w:cs="宋体"/>
                <w:color w:val="auto"/>
                <w:kern w:val="0"/>
                <w:sz w:val="20"/>
                <w:szCs w:val="20"/>
                <w:highlight w:val="none"/>
              </w:rPr>
              <w:t>供货时</w:t>
            </w:r>
            <w:r>
              <w:rPr>
                <w:rFonts w:hint="eastAsia"/>
                <w:color w:val="auto"/>
                <w:highlight w:val="none"/>
              </w:rPr>
              <w:t>须提供具有 CMA 或 CNAS 认证的第三方检测机构所出具的关于该功能的检测报告复印件）</w:t>
            </w:r>
          </w:p>
          <w:p w14:paraId="27050708">
            <w:pPr>
              <w:spacing w:line="460" w:lineRule="exact"/>
              <w:jc w:val="left"/>
              <w:rPr>
                <w:color w:val="auto"/>
                <w:highlight w:val="none"/>
              </w:rPr>
            </w:pPr>
            <w:r>
              <w:rPr>
                <w:rFonts w:hint="eastAsia"/>
                <w:color w:val="auto"/>
                <w:highlight w:val="none"/>
              </w:rPr>
              <w:t>7. 整机内置传屏接收模块，整机不需要连接任何附加设备，可实现外部电脑、手机设备的音视频信号实时传输到整机上；当使用外部电脑传屏时，支持触摸回传，屏幕上部显示传屏工具栏，可以进行触摸回传控制、勿扰模式、暂停投屏功能；开启勿扰模式时，不允许其他人再进行传屏；投屏时可以选择特定应用窗口，从而实现过滤其他应用窗口，如邮件应用窗口。</w:t>
            </w:r>
          </w:p>
          <w:p w14:paraId="491B2518">
            <w:pPr>
              <w:spacing w:line="460" w:lineRule="exact"/>
              <w:jc w:val="left"/>
              <w:rPr>
                <w:color w:val="auto"/>
                <w:highlight w:val="none"/>
              </w:rPr>
            </w:pPr>
            <w:r>
              <w:rPr>
                <w:rFonts w:hint="eastAsia"/>
                <w:color w:val="auto"/>
                <w:highlight w:val="none"/>
              </w:rPr>
              <w:t>▲8. 整机内置双 WiFi6 无线网卡（不接受外接），在 Android 和 Windows 系统下，可实现 Wi-Fi 无线上网连接、AP 无线热点发射。</w:t>
            </w:r>
          </w:p>
          <w:p w14:paraId="28C79AE5">
            <w:pPr>
              <w:spacing w:line="460" w:lineRule="exact"/>
              <w:jc w:val="left"/>
              <w:rPr>
                <w:color w:val="auto"/>
                <w:highlight w:val="none"/>
              </w:rPr>
            </w:pPr>
            <w:r>
              <w:rPr>
                <w:rFonts w:hint="eastAsia"/>
                <w:color w:val="auto"/>
                <w:highlight w:val="none"/>
              </w:rPr>
              <w:t>▲9. 整机内置双 WiFi6 无线网卡（不接受外接），在 Android 下支持无线设备同时连接数量≥32 个，在 Windows 系统下支持无线设备同时连接≥8 个。（</w:t>
            </w:r>
            <w:r>
              <w:rPr>
                <w:rFonts w:hint="eastAsia" w:ascii="宋体" w:hAnsi="宋体" w:cs="宋体"/>
                <w:color w:val="auto"/>
                <w:kern w:val="0"/>
                <w:sz w:val="20"/>
                <w:szCs w:val="20"/>
                <w:highlight w:val="none"/>
              </w:rPr>
              <w:t>供货时</w:t>
            </w:r>
            <w:r>
              <w:rPr>
                <w:rFonts w:hint="eastAsia"/>
                <w:color w:val="auto"/>
                <w:highlight w:val="none"/>
              </w:rPr>
              <w:t>须提供具有 CMA 或 CNAS 认证的第三方检测机构所出具的关于该功能的检测报告复印件）</w:t>
            </w:r>
          </w:p>
          <w:p w14:paraId="44501B9A">
            <w:pPr>
              <w:spacing w:line="460" w:lineRule="exact"/>
              <w:jc w:val="left"/>
              <w:rPr>
                <w:color w:val="auto"/>
                <w:highlight w:val="none"/>
              </w:rPr>
            </w:pPr>
            <w:r>
              <w:rPr>
                <w:rFonts w:hint="eastAsia"/>
                <w:color w:val="auto"/>
                <w:highlight w:val="none"/>
              </w:rPr>
              <w:t>10.Wi-Fi 及 AP 热点支持频段 2.4GHz/5GHz ，Wi-Fi 制式支持 IEEE 802.11 a/b/g/n/ac/ax；支持版本 Wi-Fi6。</w:t>
            </w:r>
          </w:p>
          <w:p w14:paraId="2306DD28">
            <w:pPr>
              <w:spacing w:line="460" w:lineRule="exact"/>
              <w:jc w:val="left"/>
              <w:rPr>
                <w:color w:val="auto"/>
                <w:highlight w:val="none"/>
              </w:rPr>
            </w:pPr>
            <w:r>
              <w:rPr>
                <w:rFonts w:hint="eastAsia"/>
                <w:color w:val="auto"/>
                <w:highlight w:val="none"/>
              </w:rPr>
              <w:t>11. 整机支持可兼容的传屏器，通过 BLE（蓝牙低能耗技术）、Type-C、USB 方式连接，当整机和传屏器均支持 BLE 功能时，在指定区域内传屏器可自动发现、自动连接。</w:t>
            </w:r>
          </w:p>
          <w:p w14:paraId="708A072D">
            <w:pPr>
              <w:spacing w:line="460" w:lineRule="exact"/>
              <w:jc w:val="left"/>
              <w:rPr>
                <w:color w:val="auto"/>
                <w:highlight w:val="none"/>
              </w:rPr>
            </w:pPr>
            <w:r>
              <w:rPr>
                <w:rFonts w:hint="eastAsia"/>
                <w:color w:val="auto"/>
                <w:highlight w:val="none"/>
              </w:rPr>
              <w:t>12. 教师端工具栏支持无线传屏，点击开启无线传屏则打开传屏码，老师自带笔记本在互动教学软件输入传屏码即可进行无线传屏。</w:t>
            </w:r>
          </w:p>
          <w:p w14:paraId="61116834">
            <w:pPr>
              <w:spacing w:line="460" w:lineRule="exact"/>
              <w:jc w:val="left"/>
              <w:rPr>
                <w:color w:val="auto"/>
                <w:highlight w:val="none"/>
              </w:rPr>
            </w:pPr>
            <w:r>
              <w:rPr>
                <w:rFonts w:hint="eastAsia"/>
                <w:color w:val="auto"/>
                <w:highlight w:val="none"/>
              </w:rPr>
              <w:t>13. 多端投屏：可支持至少 6 个学生端投屏画面同时在大屏上显示，同时显示来自 Android、iOS、Windows、MacOS 等不同系统的投屏画面，并且根据连接数量自动排布。支持将六分屏画面内其中一个画面一键全屏显示，以及一键将全屏画面切换回六分屏，方便灵活讲解。</w:t>
            </w:r>
          </w:p>
          <w:p w14:paraId="1EDB47A7">
            <w:pPr>
              <w:spacing w:line="460" w:lineRule="exact"/>
              <w:jc w:val="left"/>
              <w:rPr>
                <w:color w:val="auto"/>
                <w:highlight w:val="none"/>
              </w:rPr>
            </w:pPr>
            <w:r>
              <w:rPr>
                <w:rFonts w:hint="eastAsia"/>
                <w:color w:val="auto"/>
                <w:highlight w:val="none"/>
              </w:rPr>
              <w:t>(4) 有线接口能力</w:t>
            </w:r>
          </w:p>
          <w:p w14:paraId="5DB6C869">
            <w:pPr>
              <w:spacing w:line="460" w:lineRule="exact"/>
              <w:jc w:val="left"/>
              <w:rPr>
                <w:color w:val="auto"/>
                <w:highlight w:val="none"/>
              </w:rPr>
            </w:pPr>
            <w:r>
              <w:rPr>
                <w:rFonts w:hint="eastAsia"/>
                <w:color w:val="auto"/>
                <w:highlight w:val="none"/>
              </w:rPr>
              <w:t>1. 侧置输入接口具备≥2 路 HDMI、≥1 路 RS232（RJ45 形态）、≥1 路 USB 接口。</w:t>
            </w:r>
          </w:p>
          <w:p w14:paraId="2B18C5F7">
            <w:pPr>
              <w:spacing w:line="460" w:lineRule="exact"/>
              <w:jc w:val="left"/>
              <w:rPr>
                <w:color w:val="auto"/>
                <w:highlight w:val="none"/>
              </w:rPr>
            </w:pPr>
            <w:r>
              <w:rPr>
                <w:rFonts w:hint="eastAsia"/>
                <w:color w:val="auto"/>
                <w:highlight w:val="none"/>
              </w:rPr>
              <w:t>2. 侧置输出接口具备≥1 路音频输出、≥1 路触控 USB 输出。</w:t>
            </w:r>
          </w:p>
          <w:p w14:paraId="78A45198">
            <w:pPr>
              <w:spacing w:line="460" w:lineRule="exact"/>
              <w:jc w:val="left"/>
              <w:rPr>
                <w:color w:val="auto"/>
                <w:highlight w:val="none"/>
              </w:rPr>
            </w:pPr>
            <w:r>
              <w:rPr>
                <w:rFonts w:hint="eastAsia"/>
                <w:color w:val="auto"/>
                <w:highlight w:val="none"/>
              </w:rPr>
              <w:t>3. 前置输入接口≥3 路 USB 接口（包含 1 路 Type-C、2 路 USB）。</w:t>
            </w:r>
          </w:p>
          <w:p w14:paraId="10C63AE4">
            <w:pPr>
              <w:spacing w:line="460" w:lineRule="exact"/>
              <w:jc w:val="left"/>
              <w:rPr>
                <w:color w:val="auto"/>
                <w:highlight w:val="none"/>
              </w:rPr>
            </w:pPr>
            <w:r>
              <w:rPr>
                <w:rFonts w:hint="eastAsia"/>
                <w:color w:val="auto"/>
                <w:highlight w:val="none"/>
              </w:rPr>
              <w:t>4. 前置 USB 接口支持 Android 系统、Windows 系统读取外接移动存储设备。</w:t>
            </w:r>
          </w:p>
          <w:p w14:paraId="61A82AE6">
            <w:pPr>
              <w:spacing w:line="460" w:lineRule="exact"/>
              <w:jc w:val="left"/>
              <w:rPr>
                <w:color w:val="auto"/>
                <w:highlight w:val="none"/>
              </w:rPr>
            </w:pPr>
            <w:r>
              <w:rPr>
                <w:rFonts w:hint="eastAsia"/>
                <w:color w:val="auto"/>
                <w:highlight w:val="none"/>
              </w:rPr>
              <w:t>5. 支持通过 Type-C 接口 U 盘进行文件传输，兼容 Type-C 接口手机充电。</w:t>
            </w:r>
          </w:p>
          <w:p w14:paraId="1B314412">
            <w:pPr>
              <w:spacing w:line="460" w:lineRule="exact"/>
              <w:jc w:val="left"/>
              <w:rPr>
                <w:color w:val="auto"/>
                <w:highlight w:val="none"/>
              </w:rPr>
            </w:pPr>
            <w:r>
              <w:rPr>
                <w:rFonts w:hint="eastAsia"/>
                <w:color w:val="auto"/>
                <w:highlight w:val="none"/>
              </w:rPr>
              <w:t>(5) 智能感知能力</w:t>
            </w:r>
          </w:p>
          <w:p w14:paraId="14C43E51">
            <w:pPr>
              <w:spacing w:line="460" w:lineRule="exact"/>
              <w:jc w:val="left"/>
              <w:rPr>
                <w:color w:val="auto"/>
                <w:highlight w:val="none"/>
              </w:rPr>
            </w:pPr>
            <w:r>
              <w:rPr>
                <w:rFonts w:hint="eastAsia"/>
                <w:color w:val="auto"/>
                <w:highlight w:val="none"/>
              </w:rPr>
              <w:t>▲1. 整机上边框内置非独立式摄像头，摄像头数量≥5 个，其中至少四个摄像头像素值均≥1300 万，支持拍摄有效像素数≥5200 万的照片，支持拍摄 8192×2772 分辨率的视频。（</w:t>
            </w:r>
            <w:r>
              <w:rPr>
                <w:rFonts w:hint="eastAsia" w:ascii="宋体" w:hAnsi="宋体" w:cs="宋体"/>
                <w:color w:val="auto"/>
                <w:kern w:val="0"/>
                <w:sz w:val="20"/>
                <w:szCs w:val="20"/>
                <w:highlight w:val="none"/>
              </w:rPr>
              <w:t>供货时</w:t>
            </w:r>
            <w:r>
              <w:rPr>
                <w:rFonts w:hint="eastAsia"/>
                <w:color w:val="auto"/>
                <w:highlight w:val="none"/>
              </w:rPr>
              <w:t>须提供具有 CMA 或 CNAS 认证的第三方检测机构所出具的关于该功能的检测报告复印件）</w:t>
            </w:r>
          </w:p>
          <w:p w14:paraId="6A2E1455">
            <w:pPr>
              <w:spacing w:line="460" w:lineRule="exact"/>
              <w:jc w:val="left"/>
              <w:rPr>
                <w:color w:val="auto"/>
                <w:highlight w:val="none"/>
              </w:rPr>
            </w:pPr>
            <w:r>
              <w:rPr>
                <w:rFonts w:hint="eastAsia"/>
                <w:color w:val="auto"/>
                <w:highlight w:val="none"/>
              </w:rPr>
              <w:t>▲2. 整机上边框内置至少 5 个摄像头，其中广角摄像头最大视场角≥145 度且水平视场角≥130 度，支持输出 4:3、16:9 比例的图片和视频；在清晰度为 3840x2160 分辨率下，支持 30 帧的视频输出。（</w:t>
            </w:r>
            <w:r>
              <w:rPr>
                <w:rFonts w:hint="eastAsia" w:ascii="宋体" w:hAnsi="宋体" w:cs="宋体"/>
                <w:color w:val="auto"/>
                <w:kern w:val="0"/>
                <w:sz w:val="20"/>
                <w:szCs w:val="20"/>
                <w:highlight w:val="none"/>
              </w:rPr>
              <w:t>供货时</w:t>
            </w:r>
            <w:r>
              <w:rPr>
                <w:rFonts w:hint="eastAsia"/>
                <w:color w:val="auto"/>
                <w:highlight w:val="none"/>
              </w:rPr>
              <w:t>须提供具有 CMA 或 CNAS 认证的第三方检测机构所出具的关于该功能的检测报告复印件）</w:t>
            </w:r>
          </w:p>
          <w:p w14:paraId="48F08C09">
            <w:pPr>
              <w:spacing w:line="460" w:lineRule="exact"/>
              <w:jc w:val="left"/>
              <w:rPr>
                <w:color w:val="auto"/>
                <w:highlight w:val="none"/>
              </w:rPr>
            </w:pPr>
            <w:r>
              <w:rPr>
                <w:rFonts w:hint="eastAsia"/>
                <w:color w:val="auto"/>
                <w:highlight w:val="none"/>
              </w:rPr>
              <w:t>3. 整机内置广角主摄，支持畸变矫正功能，TV 畸变≤10%。</w:t>
            </w:r>
          </w:p>
          <w:p w14:paraId="52BB6674">
            <w:pPr>
              <w:spacing w:line="460" w:lineRule="exact"/>
              <w:jc w:val="left"/>
              <w:rPr>
                <w:color w:val="auto"/>
                <w:highlight w:val="none"/>
              </w:rPr>
            </w:pPr>
            <w:r>
              <w:rPr>
                <w:rFonts w:hint="eastAsia"/>
                <w:color w:val="auto"/>
                <w:highlight w:val="none"/>
              </w:rPr>
              <w:t>▲4. 整机具备多个摄像头画面智能拼接技术，拼接摄像头画面可支持 1s 内快速动态融合。（</w:t>
            </w:r>
            <w:r>
              <w:rPr>
                <w:rFonts w:hint="eastAsia" w:ascii="宋体" w:hAnsi="宋体" w:cs="宋体"/>
                <w:color w:val="auto"/>
                <w:kern w:val="0"/>
                <w:sz w:val="20"/>
                <w:szCs w:val="20"/>
                <w:highlight w:val="none"/>
              </w:rPr>
              <w:t>供货时</w:t>
            </w:r>
            <w:r>
              <w:rPr>
                <w:rFonts w:hint="eastAsia"/>
                <w:color w:val="auto"/>
                <w:highlight w:val="none"/>
              </w:rPr>
              <w:t>须提供具有 CMA 或 CNAS 认证的第三方检测机构所出具的关于该功能的检测报告复印件）</w:t>
            </w:r>
          </w:p>
          <w:p w14:paraId="05FF0B2D">
            <w:pPr>
              <w:spacing w:line="460" w:lineRule="exact"/>
              <w:jc w:val="left"/>
              <w:rPr>
                <w:color w:val="auto"/>
                <w:highlight w:val="none"/>
              </w:rPr>
            </w:pPr>
            <w:r>
              <w:rPr>
                <w:rFonts w:hint="eastAsia"/>
                <w:color w:val="auto"/>
                <w:highlight w:val="none"/>
              </w:rPr>
              <w:t>5. 整机摄像头支持环境色温判断，根据环境调节合适的显示图像效果。</w:t>
            </w:r>
          </w:p>
          <w:p w14:paraId="191F0394">
            <w:pPr>
              <w:spacing w:line="460" w:lineRule="exact"/>
              <w:jc w:val="left"/>
              <w:rPr>
                <w:color w:val="auto"/>
                <w:highlight w:val="none"/>
              </w:rPr>
            </w:pPr>
            <w:r>
              <w:rPr>
                <w:rFonts w:hint="eastAsia"/>
                <w:color w:val="auto"/>
                <w:highlight w:val="none"/>
              </w:rPr>
              <w:t>▲6. 整机支持上边框内置非独立摄像头模组，同时输出至少 3 路视频流，同时支持课堂远程巡课、课堂教学数据采集、本地画面预览（拍照或视频录制）。（</w:t>
            </w:r>
            <w:r>
              <w:rPr>
                <w:rFonts w:hint="eastAsia" w:ascii="宋体" w:hAnsi="宋体" w:cs="宋体"/>
                <w:color w:val="auto"/>
                <w:kern w:val="0"/>
                <w:sz w:val="20"/>
                <w:szCs w:val="20"/>
                <w:highlight w:val="none"/>
              </w:rPr>
              <w:t>供货时</w:t>
            </w:r>
            <w:r>
              <w:rPr>
                <w:rFonts w:hint="eastAsia"/>
                <w:color w:val="auto"/>
                <w:highlight w:val="none"/>
              </w:rPr>
              <w:t>须提供具有 CMA 或 CNAS 认证的第三方检测机构所出具的关于该功能的检测报告复印件）</w:t>
            </w:r>
          </w:p>
          <w:p w14:paraId="5B7835E0">
            <w:pPr>
              <w:spacing w:line="460" w:lineRule="exact"/>
              <w:jc w:val="left"/>
              <w:rPr>
                <w:color w:val="auto"/>
                <w:highlight w:val="none"/>
              </w:rPr>
            </w:pPr>
            <w:r>
              <w:rPr>
                <w:rFonts w:hint="eastAsia"/>
                <w:color w:val="auto"/>
                <w:highlight w:val="none"/>
              </w:rPr>
              <w:t>7. 整机摄像头支持人脸识别、清点人数、随机抽人；识别所有学生，显示标记，然后随机抽选，同时显示标记不少于 60 人。</w:t>
            </w:r>
          </w:p>
          <w:p w14:paraId="7C529622">
            <w:pPr>
              <w:spacing w:line="460" w:lineRule="exact"/>
              <w:jc w:val="left"/>
              <w:rPr>
                <w:color w:val="auto"/>
                <w:highlight w:val="none"/>
              </w:rPr>
            </w:pPr>
            <w:r>
              <w:rPr>
                <w:rFonts w:hint="eastAsia"/>
                <w:color w:val="auto"/>
                <w:highlight w:val="none"/>
              </w:rPr>
              <w:t>三、教学辅助工具生态</w:t>
            </w:r>
          </w:p>
          <w:p w14:paraId="135AC3C8">
            <w:pPr>
              <w:spacing w:line="460" w:lineRule="exact"/>
              <w:jc w:val="left"/>
              <w:rPr>
                <w:color w:val="auto"/>
                <w:highlight w:val="none"/>
              </w:rPr>
            </w:pPr>
            <w:r>
              <w:rPr>
                <w:rFonts w:hint="eastAsia"/>
                <w:color w:val="auto"/>
                <w:highlight w:val="none"/>
              </w:rPr>
              <w:t>(1) 教学桌面</w:t>
            </w:r>
          </w:p>
          <w:p w14:paraId="79159A3E">
            <w:pPr>
              <w:spacing w:line="460" w:lineRule="exact"/>
              <w:jc w:val="left"/>
              <w:rPr>
                <w:color w:val="auto"/>
                <w:highlight w:val="none"/>
              </w:rPr>
            </w:pPr>
            <w:r>
              <w:rPr>
                <w:rFonts w:hint="eastAsia"/>
                <w:color w:val="auto"/>
                <w:highlight w:val="none"/>
              </w:rPr>
              <w:t>1. 整机设备开机启动后，自动进入教学桌面，支持账号登录、退出，自动获取个人云端教学课件列表、并可进入全部课件列表。</w:t>
            </w:r>
          </w:p>
          <w:p w14:paraId="003315AC">
            <w:pPr>
              <w:spacing w:line="460" w:lineRule="exact"/>
              <w:jc w:val="left"/>
              <w:rPr>
                <w:color w:val="auto"/>
                <w:highlight w:val="none"/>
              </w:rPr>
            </w:pPr>
            <w:r>
              <w:rPr>
                <w:rFonts w:hint="eastAsia"/>
                <w:color w:val="auto"/>
                <w:highlight w:val="none"/>
              </w:rPr>
              <w:t>2. 整机可将应用编辑到教学桌面首页，编辑方式支持从教学桌面首页进入编辑，支持在全部应用列表中进入编辑 2 种方式。教学桌面首页应用支持无需进入应用编辑页面，在首页指定应用上长按进行移除。</w:t>
            </w:r>
          </w:p>
          <w:p w14:paraId="383D8095">
            <w:pPr>
              <w:spacing w:line="460" w:lineRule="exact"/>
              <w:jc w:val="left"/>
              <w:rPr>
                <w:color w:val="auto"/>
                <w:highlight w:val="none"/>
              </w:rPr>
            </w:pPr>
            <w:r>
              <w:rPr>
                <w:rFonts w:hint="eastAsia"/>
                <w:color w:val="auto"/>
                <w:highlight w:val="none"/>
              </w:rPr>
              <w:t>3. 整机教学桌面支持查看设备盘符，支持本地磁盘和外接 U 盘、移动硬盘，点击可打开该磁盘查看磁盘文件。教学桌面支持显示存储空间状态，当存储空间即将满载时候进行红色标记明显提示。</w:t>
            </w:r>
          </w:p>
          <w:p w14:paraId="77C72AAE">
            <w:pPr>
              <w:spacing w:line="460" w:lineRule="exact"/>
              <w:jc w:val="left"/>
              <w:rPr>
                <w:color w:val="auto"/>
                <w:highlight w:val="none"/>
              </w:rPr>
            </w:pPr>
            <w:r>
              <w:rPr>
                <w:rFonts w:hint="eastAsia"/>
                <w:color w:val="auto"/>
                <w:highlight w:val="none"/>
              </w:rPr>
              <w:t>4. 整机教学桌面支持 U 盘、移动硬盘外接存储设备直接在桌面显示，无需打开文件浏览器即可查看文件列表，并且支持文件打开。支持查看全部文件列表以及按照文档、图片、音视频分类方式查看文件列表。</w:t>
            </w:r>
          </w:p>
          <w:p w14:paraId="67CD898B">
            <w:pPr>
              <w:spacing w:line="460" w:lineRule="exact"/>
              <w:jc w:val="left"/>
              <w:rPr>
                <w:color w:val="auto"/>
                <w:highlight w:val="none"/>
              </w:rPr>
            </w:pPr>
            <w:r>
              <w:rPr>
                <w:rFonts w:hint="eastAsia"/>
                <w:color w:val="auto"/>
                <w:highlight w:val="none"/>
              </w:rPr>
              <w:t>(2) 侧边栏工具</w:t>
            </w:r>
          </w:p>
          <w:p w14:paraId="429DB1B9">
            <w:pPr>
              <w:spacing w:line="460" w:lineRule="exact"/>
              <w:jc w:val="left"/>
              <w:rPr>
                <w:color w:val="auto"/>
                <w:highlight w:val="none"/>
              </w:rPr>
            </w:pPr>
            <w:r>
              <w:rPr>
                <w:rFonts w:hint="eastAsia"/>
                <w:color w:val="auto"/>
                <w:highlight w:val="none"/>
              </w:rPr>
              <w:t>1. 整机内置全通道侧边栏快捷菜单，小工具、应用软件、快捷设置、亮度 / 音量调节、教室物联入口。</w:t>
            </w:r>
          </w:p>
          <w:p w14:paraId="31A3C490">
            <w:pPr>
              <w:spacing w:line="460" w:lineRule="exact"/>
              <w:jc w:val="left"/>
              <w:rPr>
                <w:color w:val="auto"/>
                <w:highlight w:val="none"/>
              </w:rPr>
            </w:pPr>
            <w:r>
              <w:rPr>
                <w:rFonts w:hint="eastAsia"/>
                <w:color w:val="auto"/>
                <w:highlight w:val="none"/>
              </w:rPr>
              <w:t>2. 整机全通道侧边栏支持展示学校名称、设备班级、场地信息。</w:t>
            </w:r>
          </w:p>
          <w:p w14:paraId="35A73725">
            <w:pPr>
              <w:spacing w:line="460" w:lineRule="exact"/>
              <w:jc w:val="left"/>
              <w:rPr>
                <w:color w:val="auto"/>
                <w:highlight w:val="none"/>
              </w:rPr>
            </w:pPr>
            <w:r>
              <w:rPr>
                <w:rFonts w:hint="eastAsia"/>
                <w:color w:val="auto"/>
                <w:highlight w:val="none"/>
              </w:rPr>
              <w:t>3. 整机全通道侧边栏快捷菜单包含如下小工具：批注、降半屏、截屏、放大镜、倒计时、日历、聚光灯、秒表、冻屏、倒数日、答题、节拍器。</w:t>
            </w:r>
          </w:p>
          <w:p w14:paraId="240496FD">
            <w:pPr>
              <w:spacing w:line="460" w:lineRule="exact"/>
              <w:jc w:val="left"/>
              <w:rPr>
                <w:color w:val="auto"/>
                <w:highlight w:val="none"/>
              </w:rPr>
            </w:pPr>
            <w:r>
              <w:rPr>
                <w:rFonts w:hint="eastAsia"/>
                <w:color w:val="auto"/>
                <w:highlight w:val="none"/>
              </w:rPr>
              <w:t>4. 整机全通道侧边栏支持使用批注小工具进行批注讲解，可切换书写笔颜色、截屏保存批注内容、清屏，可根据手与屏幕的接触面积自动调整板擦工具的大小。</w:t>
            </w:r>
          </w:p>
          <w:p w14:paraId="3CB69CDC">
            <w:pPr>
              <w:spacing w:line="460" w:lineRule="exact"/>
              <w:jc w:val="left"/>
              <w:rPr>
                <w:color w:val="auto"/>
                <w:highlight w:val="none"/>
              </w:rPr>
            </w:pPr>
            <w:r>
              <w:rPr>
                <w:rFonts w:hint="eastAsia"/>
                <w:color w:val="auto"/>
                <w:highlight w:val="none"/>
              </w:rPr>
              <w:t>5. 整机全通道侧边栏快捷菜单中可实时查看物联设备的连接情况，点击设备图标即可调出中控菜单进行管控。</w:t>
            </w:r>
          </w:p>
          <w:p w14:paraId="366E2B6E">
            <w:pPr>
              <w:spacing w:line="460" w:lineRule="exact"/>
              <w:jc w:val="left"/>
              <w:rPr>
                <w:color w:val="auto"/>
                <w:highlight w:val="none"/>
              </w:rPr>
            </w:pPr>
            <w:r>
              <w:rPr>
                <w:rFonts w:hint="eastAsia"/>
                <w:color w:val="auto"/>
                <w:highlight w:val="none"/>
              </w:rPr>
              <w:t>▲6. 整机安卓和外接通道 (2 路 HDMI) 下侧边栏支持节拍器，支持设置节拍、轻重、节拍播放速度。全通道下可支持通过自定义按键调出该功能。（</w:t>
            </w:r>
            <w:r>
              <w:rPr>
                <w:rFonts w:hint="eastAsia" w:ascii="宋体" w:hAnsi="宋体" w:cs="宋体"/>
                <w:color w:val="auto"/>
                <w:kern w:val="0"/>
                <w:sz w:val="20"/>
                <w:szCs w:val="20"/>
                <w:highlight w:val="none"/>
              </w:rPr>
              <w:t>供货时</w:t>
            </w:r>
            <w:r>
              <w:rPr>
                <w:rFonts w:hint="eastAsia"/>
                <w:color w:val="auto"/>
                <w:highlight w:val="none"/>
              </w:rPr>
              <w:t>须提供具有 CMA 或 CNAS 认证的第三方检测机构所出具的关于该功能的检测报告复印件）</w:t>
            </w:r>
          </w:p>
          <w:p w14:paraId="693C23D7">
            <w:pPr>
              <w:spacing w:line="460" w:lineRule="exact"/>
              <w:jc w:val="left"/>
              <w:rPr>
                <w:color w:val="auto"/>
                <w:highlight w:val="none"/>
              </w:rPr>
            </w:pPr>
            <w:r>
              <w:rPr>
                <w:rFonts w:hint="eastAsia"/>
                <w:color w:val="auto"/>
                <w:highlight w:val="none"/>
              </w:rPr>
              <w:t>7. 整机全通道侧边栏支持倒计时、正计时功能；倒计时，输入某特定时间值，可精确到秒，点击开始进入倒计时；正计时，点击开始计时便自动开始，并实时显示时间。</w:t>
            </w:r>
          </w:p>
          <w:p w14:paraId="5AB161B1">
            <w:pPr>
              <w:spacing w:line="460" w:lineRule="exact"/>
              <w:jc w:val="left"/>
              <w:rPr>
                <w:color w:val="auto"/>
                <w:highlight w:val="none"/>
              </w:rPr>
            </w:pPr>
            <w:r>
              <w:rPr>
                <w:rFonts w:hint="eastAsia"/>
                <w:color w:val="auto"/>
                <w:highlight w:val="none"/>
              </w:rPr>
              <w:t>8. 整机全通道侧边栏支持放大选中区域内容，并可支持对未选中区域关灯处理，实现聚光灯效果。</w:t>
            </w:r>
          </w:p>
          <w:p w14:paraId="1DA389BF">
            <w:pPr>
              <w:spacing w:line="460" w:lineRule="exact"/>
              <w:jc w:val="left"/>
              <w:rPr>
                <w:color w:val="auto"/>
                <w:highlight w:val="none"/>
              </w:rPr>
            </w:pPr>
            <w:r>
              <w:rPr>
                <w:rFonts w:hint="eastAsia"/>
                <w:color w:val="auto"/>
                <w:highlight w:val="none"/>
              </w:rPr>
              <w:t>▲9. 整机安卓和外接通道 (2 路 HDMI) 下侧边栏支持通过扫描二维码加入班级，老师设置题型，学生回答后提交，教师查看正确率比例及详细讲解；支持随机抽选、实时弹幕；支持管理当前班级成员；支持导出学生报告。（</w:t>
            </w:r>
            <w:r>
              <w:rPr>
                <w:rFonts w:hint="eastAsia" w:ascii="宋体" w:hAnsi="宋体" w:cs="宋体"/>
                <w:color w:val="auto"/>
                <w:kern w:val="0"/>
                <w:sz w:val="20"/>
                <w:szCs w:val="20"/>
                <w:highlight w:val="none"/>
              </w:rPr>
              <w:t>供货时</w:t>
            </w:r>
            <w:r>
              <w:rPr>
                <w:rFonts w:hint="eastAsia"/>
                <w:color w:val="auto"/>
                <w:highlight w:val="none"/>
              </w:rPr>
              <w:t>须提供具有 CMA 或 CNAS 认证的第三方检测机构所出具的关于该功能的检测报告复印件）</w:t>
            </w:r>
          </w:p>
          <w:p w14:paraId="261D6F16">
            <w:pPr>
              <w:spacing w:line="460" w:lineRule="exact"/>
              <w:jc w:val="left"/>
              <w:rPr>
                <w:color w:val="auto"/>
                <w:highlight w:val="none"/>
              </w:rPr>
            </w:pPr>
            <w:r>
              <w:rPr>
                <w:rFonts w:hint="eastAsia"/>
                <w:color w:val="auto"/>
                <w:highlight w:val="none"/>
              </w:rPr>
              <w:t>(3) 辅助应用</w:t>
            </w:r>
          </w:p>
          <w:p w14:paraId="25C2F9A9">
            <w:pPr>
              <w:spacing w:line="460" w:lineRule="exact"/>
              <w:jc w:val="left"/>
              <w:rPr>
                <w:color w:val="auto"/>
                <w:highlight w:val="none"/>
              </w:rPr>
            </w:pPr>
            <w:r>
              <w:rPr>
                <w:rFonts w:hint="eastAsia"/>
                <w:color w:val="auto"/>
                <w:highlight w:val="none"/>
              </w:rPr>
              <w:t>1. 支持经典护眼模式，可通过前置面板物理功能按键一键启用经典护眼模式。</w:t>
            </w:r>
          </w:p>
          <w:p w14:paraId="5A22F446">
            <w:pPr>
              <w:spacing w:line="460" w:lineRule="exact"/>
              <w:jc w:val="left"/>
              <w:rPr>
                <w:color w:val="auto"/>
                <w:highlight w:val="none"/>
              </w:rPr>
            </w:pPr>
            <w:r>
              <w:rPr>
                <w:rFonts w:hint="eastAsia"/>
                <w:color w:val="auto"/>
                <w:highlight w:val="none"/>
              </w:rPr>
              <w:t>2. 设备支持通过前置面板物理按键一键启动录屏功能，可将屏幕中显示的课件、音频内容与人声同时录制。</w:t>
            </w:r>
          </w:p>
          <w:p w14:paraId="29079F0F">
            <w:pPr>
              <w:spacing w:line="460" w:lineRule="exact"/>
              <w:jc w:val="left"/>
              <w:rPr>
                <w:color w:val="auto"/>
                <w:highlight w:val="none"/>
              </w:rPr>
            </w:pPr>
            <w:r>
              <w:rPr>
                <w:rFonts w:hint="eastAsia"/>
                <w:color w:val="auto"/>
                <w:highlight w:val="none"/>
              </w:rPr>
              <w:t>3. 整机前置按键支持自定义设置，可通过自定义设置实现前置面板功能按键一键启用任一全局小工具（批注、截屏、计时、降半屏、放大镜、倒数日、日历）、快捷开关（节能模式、纸质护眼模式、经典护眼模式、自动亮度模式）。</w:t>
            </w:r>
          </w:p>
          <w:p w14:paraId="6437E3BD">
            <w:pPr>
              <w:spacing w:line="460" w:lineRule="exact"/>
              <w:jc w:val="left"/>
              <w:rPr>
                <w:color w:val="auto"/>
                <w:highlight w:val="none"/>
              </w:rPr>
            </w:pPr>
            <w:r>
              <w:rPr>
                <w:rFonts w:hint="eastAsia"/>
                <w:color w:val="auto"/>
                <w:highlight w:val="none"/>
              </w:rPr>
              <w:t>▲4.支持通过桌面快捷操作栏或快捷键进入AI搜索对话框，快捷键可自定义；支持通过AI搜索快速搜索本地文件，可对文件或文件夹名称进行精确匹配，可展示显示搜索的文件个数、打开文件所在目录，进行复制、剪切、删除、查看文件属性。（</w:t>
            </w:r>
            <w:r>
              <w:rPr>
                <w:rFonts w:hint="eastAsia" w:ascii="宋体" w:hAnsi="宋体" w:cs="宋体"/>
                <w:color w:val="auto"/>
                <w:kern w:val="0"/>
                <w:sz w:val="20"/>
                <w:szCs w:val="20"/>
                <w:highlight w:val="none"/>
              </w:rPr>
              <w:t>供货时</w:t>
            </w:r>
            <w:r>
              <w:rPr>
                <w:rFonts w:hint="eastAsia"/>
                <w:color w:val="auto"/>
                <w:highlight w:val="none"/>
              </w:rPr>
              <w:t>须提供具有 CMA 或 CNAS 认证的第三方检测机构所出具的关于该功能的检测报告复印件）</w:t>
            </w:r>
          </w:p>
          <w:p w14:paraId="1EADD349">
            <w:pPr>
              <w:spacing w:line="460" w:lineRule="exact"/>
              <w:jc w:val="left"/>
              <w:rPr>
                <w:color w:val="auto"/>
                <w:highlight w:val="none"/>
              </w:rPr>
            </w:pPr>
            <w:r>
              <w:rPr>
                <w:rFonts w:hint="eastAsia"/>
                <w:color w:val="auto"/>
                <w:highlight w:val="none"/>
              </w:rPr>
              <w:t>▲5.支持一次发送单个或多个文件给多个接收端软件。接收端离线时文件能够暂存在云端，在线后可进行自动下载。支持发送图片、视频、文档等类型的文件，支持查看发送进度。用户可在云盘中把多个文件发送至接收端软件中，发送的文件不限格式，接收端软件自动下载该文件。接收到新文件时有提示新文件；支持查看当前已接收的文件列表；可对文件进行下载或打开操作；支持自动清理超过14天的文件，可对自己的文件夹的图标颜色和命名进行个性化设置。（</w:t>
            </w:r>
            <w:r>
              <w:rPr>
                <w:rFonts w:hint="eastAsia" w:ascii="宋体" w:hAnsi="宋体" w:cs="宋体"/>
                <w:color w:val="auto"/>
                <w:kern w:val="0"/>
                <w:sz w:val="20"/>
                <w:szCs w:val="20"/>
                <w:highlight w:val="none"/>
              </w:rPr>
              <w:t>供货时</w:t>
            </w:r>
            <w:r>
              <w:rPr>
                <w:rFonts w:hint="eastAsia"/>
                <w:color w:val="auto"/>
                <w:highlight w:val="none"/>
              </w:rPr>
              <w:t>须提供具有 CMA 或 CNAS 认证的第三方检测机构所出具的关于该功能的检测报告复印件）</w:t>
            </w:r>
          </w:p>
          <w:p w14:paraId="237FD774">
            <w:pPr>
              <w:spacing w:line="460" w:lineRule="exact"/>
              <w:jc w:val="left"/>
              <w:rPr>
                <w:color w:val="auto"/>
                <w:highlight w:val="none"/>
              </w:rPr>
            </w:pPr>
            <w:r>
              <w:rPr>
                <w:rFonts w:hint="eastAsia"/>
                <w:color w:val="auto"/>
                <w:highlight w:val="none"/>
              </w:rPr>
              <w:t>▲6.为便于分享文件，集成局域网内网盘功能，可直接访问局域网网盘管理端；并根据不同的年级、班级或者需求，创建多个共享空间，每个共享空间可独立设置单文件大小限制、空间总大小限制、文件保护类型和设置用户操作权限，用户操作权限包括：上传、下载、删除、重命名、移动、回收站、新建文件夹。（</w:t>
            </w:r>
            <w:r>
              <w:rPr>
                <w:rFonts w:hint="eastAsia" w:ascii="宋体" w:hAnsi="宋体" w:cs="宋体"/>
                <w:color w:val="auto"/>
                <w:kern w:val="0"/>
                <w:sz w:val="20"/>
                <w:szCs w:val="20"/>
                <w:highlight w:val="none"/>
              </w:rPr>
              <w:t>供货时</w:t>
            </w:r>
            <w:r>
              <w:rPr>
                <w:rFonts w:hint="eastAsia"/>
                <w:color w:val="auto"/>
                <w:highlight w:val="none"/>
              </w:rPr>
              <w:t>须提供具有 CMA 或 CNAS 认证的第三方检测机构所出具的关于该功能的检测报告复印件）</w:t>
            </w:r>
          </w:p>
          <w:p w14:paraId="43576C71">
            <w:pPr>
              <w:spacing w:line="460" w:lineRule="exact"/>
              <w:jc w:val="left"/>
              <w:rPr>
                <w:color w:val="auto"/>
                <w:highlight w:val="none"/>
              </w:rPr>
            </w:pPr>
            <w:r>
              <w:rPr>
                <w:rFonts w:hint="eastAsia"/>
                <w:color w:val="auto"/>
                <w:highlight w:val="none"/>
              </w:rPr>
              <w:t>▲7.为便于云桌面设备的快速部署和维护，支持无操作系统裸机部署模式，通过U盘、PXE方式将终端部署成云桌面终端；支持带操作系统的物理机部署模式，将Windows操作系统的物理机批量部署成云桌面终端。（</w:t>
            </w:r>
            <w:r>
              <w:rPr>
                <w:rFonts w:hint="eastAsia" w:ascii="宋体" w:hAnsi="宋体" w:cs="宋体"/>
                <w:color w:val="auto"/>
                <w:kern w:val="0"/>
                <w:sz w:val="20"/>
                <w:szCs w:val="20"/>
                <w:highlight w:val="none"/>
              </w:rPr>
              <w:t>供货时</w:t>
            </w:r>
            <w:r>
              <w:rPr>
                <w:rFonts w:hint="eastAsia"/>
                <w:color w:val="auto"/>
                <w:highlight w:val="none"/>
              </w:rPr>
              <w:t>须提供具有 CMA 或 CNAS 认证的第三方检测机构所出具的关于该功能的检测报告复印件）</w:t>
            </w:r>
          </w:p>
          <w:p w14:paraId="29C5988C">
            <w:pPr>
              <w:spacing w:line="460" w:lineRule="exact"/>
              <w:jc w:val="left"/>
              <w:rPr>
                <w:color w:val="auto"/>
                <w:highlight w:val="none"/>
              </w:rPr>
            </w:pPr>
            <w:r>
              <w:rPr>
                <w:rFonts w:hint="eastAsia"/>
                <w:color w:val="auto"/>
                <w:highlight w:val="none"/>
              </w:rPr>
              <w:t>▲8.支持任意终端作为发送端在云桌面系统和操作系统界面下均可直接发起镜像同传，接收端在云桌面系统和操作系统界面下直接接收镜像，无需重启或者进入特定运行模式接收镜像。（</w:t>
            </w:r>
            <w:r>
              <w:rPr>
                <w:rFonts w:hint="eastAsia" w:ascii="宋体" w:hAnsi="宋体" w:cs="宋体"/>
                <w:color w:val="auto"/>
                <w:kern w:val="0"/>
                <w:sz w:val="20"/>
                <w:szCs w:val="20"/>
                <w:highlight w:val="none"/>
              </w:rPr>
              <w:t>供货时</w:t>
            </w:r>
            <w:r>
              <w:rPr>
                <w:rFonts w:hint="eastAsia"/>
                <w:color w:val="auto"/>
                <w:highlight w:val="none"/>
              </w:rPr>
              <w:t>须提供具有 CMA 或 CNAS 认证的第三方检测机构所出具的关于该功能的检测报告复印件）</w:t>
            </w:r>
          </w:p>
          <w:p w14:paraId="24913031">
            <w:pPr>
              <w:spacing w:line="460" w:lineRule="exact"/>
              <w:jc w:val="left"/>
              <w:rPr>
                <w:color w:val="auto"/>
                <w:highlight w:val="none"/>
              </w:rPr>
            </w:pPr>
            <w:r>
              <w:rPr>
                <w:rFonts w:hint="eastAsia"/>
                <w:color w:val="auto"/>
                <w:highlight w:val="none"/>
              </w:rPr>
              <w:t>9.支持将终端镜像上传并存储到镜像仓库，管理员可以将镜像模板保存至镜像仓库，需要更新时再下发到终端进行更新；镜像仓库支持上传、删除，显示镜像大小、更新时间信息；支持设置镜像存储位置。</w:t>
            </w:r>
          </w:p>
          <w:p w14:paraId="5F92A2A0">
            <w:pPr>
              <w:spacing w:line="460" w:lineRule="exact"/>
              <w:jc w:val="left"/>
              <w:rPr>
                <w:color w:val="auto"/>
                <w:highlight w:val="none"/>
              </w:rPr>
            </w:pPr>
            <w:r>
              <w:rPr>
                <w:rFonts w:hint="eastAsia"/>
                <w:color w:val="auto"/>
                <w:highlight w:val="none"/>
              </w:rPr>
              <w:t>▲11.支持批量下发软件到终端安装；支持自定义软件安装参数；支持下发后合并且更新镜像，适用于软件永久使用场景，还原后依然可以保留下发的软件更新；支持静默下发且不更新镜像，适用于软件临时使用场景，终端重启还原后删除软件更新内容。（</w:t>
            </w:r>
            <w:r>
              <w:rPr>
                <w:rFonts w:hint="eastAsia" w:ascii="宋体" w:hAnsi="宋体" w:cs="宋体"/>
                <w:color w:val="auto"/>
                <w:kern w:val="0"/>
                <w:sz w:val="20"/>
                <w:szCs w:val="20"/>
                <w:highlight w:val="none"/>
              </w:rPr>
              <w:t>供货时</w:t>
            </w:r>
            <w:r>
              <w:rPr>
                <w:rFonts w:hint="eastAsia"/>
                <w:color w:val="auto"/>
                <w:highlight w:val="none"/>
              </w:rPr>
              <w:t>须提供具有 CMA 或 CNAS 认证的第三方检测机构所出具的关于该功能的检测报告复印件）</w:t>
            </w:r>
          </w:p>
          <w:p w14:paraId="3E45BAA4">
            <w:pPr>
              <w:spacing w:line="460" w:lineRule="exact"/>
              <w:jc w:val="left"/>
              <w:rPr>
                <w:color w:val="auto"/>
                <w:highlight w:val="none"/>
              </w:rPr>
            </w:pPr>
            <w:r>
              <w:rPr>
                <w:rFonts w:hint="eastAsia"/>
                <w:color w:val="auto"/>
                <w:highlight w:val="none"/>
              </w:rPr>
              <w:t>12.支持对终端进行远程桌面操作，支持远程终端镜像管理、镜像更新、镜像同传、应用软件安装等操作。</w:t>
            </w:r>
          </w:p>
          <w:p w14:paraId="27B85F1E">
            <w:pPr>
              <w:spacing w:line="460" w:lineRule="exact"/>
              <w:jc w:val="left"/>
              <w:rPr>
                <w:color w:val="auto"/>
                <w:highlight w:val="none"/>
              </w:rPr>
            </w:pPr>
            <w:r>
              <w:rPr>
                <w:rFonts w:hint="eastAsia"/>
                <w:color w:val="auto"/>
                <w:highlight w:val="none"/>
              </w:rPr>
              <w:t>(4) 智慧教学软件</w:t>
            </w:r>
          </w:p>
          <w:p w14:paraId="66FF23BF">
            <w:pPr>
              <w:spacing w:line="460" w:lineRule="exact"/>
              <w:jc w:val="left"/>
              <w:rPr>
                <w:color w:val="auto"/>
                <w:highlight w:val="none"/>
              </w:rPr>
            </w:pPr>
            <w:r>
              <w:rPr>
                <w:rFonts w:hint="eastAsia"/>
                <w:color w:val="auto"/>
                <w:highlight w:val="none"/>
              </w:rPr>
              <w:t>▲1. 互动反馈系统：具备公网互动反馈功能，将所有学生端和教师端连接一起构建成互动反馈系统，在系统里面教师可以单选，多选，判断，观点，抢答，抽选，提问箱，文件下发，批注下发。（</w:t>
            </w:r>
            <w:r>
              <w:rPr>
                <w:rFonts w:hint="eastAsia" w:ascii="宋体" w:hAnsi="宋体" w:cs="宋体"/>
                <w:color w:val="auto"/>
                <w:kern w:val="0"/>
                <w:sz w:val="20"/>
                <w:szCs w:val="20"/>
                <w:highlight w:val="none"/>
              </w:rPr>
              <w:t>供货时</w:t>
            </w:r>
            <w:r>
              <w:rPr>
                <w:rFonts w:hint="eastAsia"/>
                <w:color w:val="auto"/>
                <w:highlight w:val="none"/>
              </w:rPr>
              <w:t>须提供能佐证满足该功能的软件截图）</w:t>
            </w:r>
          </w:p>
          <w:p w14:paraId="4833952E">
            <w:pPr>
              <w:spacing w:line="460" w:lineRule="exact"/>
              <w:jc w:val="left"/>
              <w:rPr>
                <w:color w:val="auto"/>
                <w:highlight w:val="none"/>
              </w:rPr>
            </w:pPr>
            <w:r>
              <w:rPr>
                <w:rFonts w:hint="eastAsia"/>
                <w:color w:val="auto"/>
                <w:highlight w:val="none"/>
              </w:rPr>
              <w:t>2. 资料下发：支持教师下载教师空间的文档格式的资料给全员和小组端，支持的文件包以下格式：音视频格式，文档格式，图片格式。</w:t>
            </w:r>
          </w:p>
          <w:p w14:paraId="2A78504F">
            <w:pPr>
              <w:spacing w:line="460" w:lineRule="exact"/>
              <w:jc w:val="left"/>
              <w:rPr>
                <w:color w:val="auto"/>
                <w:highlight w:val="none"/>
              </w:rPr>
            </w:pPr>
            <w:r>
              <w:rPr>
                <w:rFonts w:hint="eastAsia"/>
                <w:color w:val="auto"/>
                <w:highlight w:val="none"/>
              </w:rPr>
              <w:t>▲3. 课堂报告：互动反馈系统支持一键生成课堂互动报告，包含签到人数，考勤情况，互动次数、学生参与度、题目详情、答题结果，提问记录，同时还可以课堂报告进行备注。（</w:t>
            </w:r>
            <w:r>
              <w:rPr>
                <w:rFonts w:hint="eastAsia" w:ascii="宋体" w:hAnsi="宋体" w:cs="宋体"/>
                <w:color w:val="auto"/>
                <w:kern w:val="0"/>
                <w:sz w:val="20"/>
                <w:szCs w:val="20"/>
                <w:highlight w:val="none"/>
              </w:rPr>
              <w:t>供货时</w:t>
            </w:r>
            <w:r>
              <w:rPr>
                <w:rFonts w:hint="eastAsia"/>
                <w:color w:val="auto"/>
                <w:highlight w:val="none"/>
              </w:rPr>
              <w:t>须提供具有 CMA 或 CNAS 认证资质的第三方检测机构出具的该功能检测报告复印件）</w:t>
            </w:r>
          </w:p>
          <w:p w14:paraId="2864411C">
            <w:pPr>
              <w:spacing w:line="460" w:lineRule="exact"/>
              <w:jc w:val="left"/>
              <w:rPr>
                <w:color w:val="auto"/>
                <w:highlight w:val="none"/>
              </w:rPr>
            </w:pPr>
            <w:r>
              <w:rPr>
                <w:rFonts w:hint="eastAsia"/>
                <w:color w:val="auto"/>
                <w:highlight w:val="none"/>
              </w:rPr>
              <w:t>4. 统计考勤：互动反馈系统支持无感考勤功能，学生连接成功后名字可显示在签到列表上，签到列表实时统计已签到人数，并查看未到的人员。</w:t>
            </w:r>
          </w:p>
          <w:p w14:paraId="47055ABA">
            <w:pPr>
              <w:spacing w:line="460" w:lineRule="exact"/>
              <w:jc w:val="left"/>
              <w:rPr>
                <w:color w:val="auto"/>
                <w:highlight w:val="none"/>
              </w:rPr>
            </w:pPr>
            <w:r>
              <w:rPr>
                <w:rFonts w:hint="eastAsia"/>
                <w:color w:val="auto"/>
                <w:highlight w:val="none"/>
              </w:rPr>
              <w:t>5. 批注分发：教师端批注功能支持在课中任意时刻对教师端内容进行批注，并且支持批注内容一键保存，自动上传到教师空间，同时发送到全员学生端。</w:t>
            </w:r>
          </w:p>
          <w:p w14:paraId="43C134C8">
            <w:pPr>
              <w:spacing w:line="460" w:lineRule="exact"/>
              <w:jc w:val="left"/>
              <w:rPr>
                <w:color w:val="auto"/>
                <w:highlight w:val="none"/>
              </w:rPr>
            </w:pPr>
            <w:r>
              <w:rPr>
                <w:rFonts w:hint="eastAsia"/>
                <w:color w:val="auto"/>
                <w:highlight w:val="none"/>
              </w:rPr>
              <w:t>6. 授课小工具：教师播放课件时，提供授课小工具，包括画笔、橡皮擦、板中板、放大镜和批注分享功能等。</w:t>
            </w:r>
          </w:p>
          <w:p w14:paraId="50635413">
            <w:pPr>
              <w:spacing w:line="460" w:lineRule="exact"/>
              <w:jc w:val="left"/>
              <w:rPr>
                <w:color w:val="auto"/>
                <w:highlight w:val="none"/>
              </w:rPr>
            </w:pPr>
            <w:r>
              <w:rPr>
                <w:rFonts w:hint="eastAsia"/>
                <w:color w:val="auto"/>
                <w:highlight w:val="none"/>
              </w:rPr>
              <w:t>▲7. 无线传屏：教师端工具栏支持无线传屏，点击开启无线传屏则打开传屏码，老师自带笔记本在互动教学软件输入传屏码即可进行无线传屏。（</w:t>
            </w:r>
            <w:r>
              <w:rPr>
                <w:rFonts w:hint="eastAsia" w:ascii="宋体" w:hAnsi="宋体" w:cs="宋体"/>
                <w:color w:val="auto"/>
                <w:kern w:val="0"/>
                <w:sz w:val="20"/>
                <w:szCs w:val="20"/>
                <w:highlight w:val="none"/>
              </w:rPr>
              <w:t>供货时</w:t>
            </w:r>
            <w:r>
              <w:rPr>
                <w:rFonts w:hint="eastAsia"/>
                <w:color w:val="auto"/>
                <w:highlight w:val="none"/>
              </w:rPr>
              <w:t>须提供具有 CMA 或 CNAS 认证资质的第三方检测机构出具的该功能检测报告复印件）</w:t>
            </w:r>
          </w:p>
          <w:p w14:paraId="3C57A12F">
            <w:pPr>
              <w:spacing w:line="460" w:lineRule="exact"/>
              <w:jc w:val="left"/>
              <w:rPr>
                <w:color w:val="auto"/>
                <w:highlight w:val="none"/>
              </w:rPr>
            </w:pPr>
            <w:r>
              <w:rPr>
                <w:rFonts w:hint="eastAsia"/>
                <w:color w:val="auto"/>
                <w:highlight w:val="none"/>
              </w:rPr>
              <w:t>8. 教师云盘：支持教师上传文档格式的资料，支持的文件包含以下格式：音视频格式，文档格式，图片格式。</w:t>
            </w:r>
          </w:p>
          <w:p w14:paraId="65DF4DC2">
            <w:pPr>
              <w:spacing w:line="460" w:lineRule="exact"/>
              <w:jc w:val="left"/>
              <w:rPr>
                <w:color w:val="auto"/>
                <w:highlight w:val="none"/>
              </w:rPr>
            </w:pPr>
            <w:r>
              <w:rPr>
                <w:rFonts w:hint="eastAsia"/>
                <w:color w:val="auto"/>
                <w:highlight w:val="none"/>
              </w:rPr>
              <w:t>9. 多端投屏：可支持至少 6 个学生端投屏画面同时在大屏上显示，同时显示来自 Android、iOS、Windows、MacOS 等不同系统的投屏画面，并且根据连接数量自动排布。支持将六分屏画面内其中一个画面一键全屏显示，以及一键将全屏画面切换回六分屏，方便灵活讲解。</w:t>
            </w:r>
          </w:p>
          <w:p w14:paraId="0DAA1686">
            <w:pPr>
              <w:spacing w:line="460" w:lineRule="exact"/>
              <w:jc w:val="left"/>
              <w:rPr>
                <w:color w:val="auto"/>
                <w:highlight w:val="none"/>
              </w:rPr>
            </w:pPr>
            <w:r>
              <w:rPr>
                <w:rFonts w:hint="eastAsia"/>
                <w:color w:val="auto"/>
                <w:highlight w:val="none"/>
              </w:rPr>
              <w:t>10. 课堂动态：支持在课堂中记录课堂动态，包括老师下发的文件，老师课堂中的板书，课堂互动结果记录，课堂提问多种类型的记录。</w:t>
            </w:r>
          </w:p>
          <w:p w14:paraId="780902AA">
            <w:pPr>
              <w:spacing w:line="460" w:lineRule="exact"/>
              <w:jc w:val="left"/>
              <w:rPr>
                <w:color w:val="auto"/>
                <w:highlight w:val="none"/>
              </w:rPr>
            </w:pPr>
            <w:r>
              <w:rPr>
                <w:rFonts w:hint="eastAsia"/>
                <w:color w:val="auto"/>
                <w:highlight w:val="none"/>
              </w:rPr>
              <w:t>11. 同步课件：当教师在全屏播放课件的时候，学生端也会同时播放课件，老师翻页学生端也会一起翻页，保证课堂课件同步展示。</w:t>
            </w:r>
          </w:p>
          <w:p w14:paraId="79F8BC53">
            <w:pPr>
              <w:spacing w:line="460" w:lineRule="exact"/>
              <w:jc w:val="left"/>
              <w:rPr>
                <w:color w:val="auto"/>
                <w:highlight w:val="none"/>
              </w:rPr>
            </w:pPr>
            <w:r>
              <w:rPr>
                <w:rFonts w:hint="eastAsia"/>
                <w:color w:val="auto"/>
                <w:highlight w:val="none"/>
              </w:rPr>
              <w:t>▲12. 加入课堂：学生端小程序支持微信扫码加入课堂，方便快捷开启课堂互动。（</w:t>
            </w:r>
            <w:r>
              <w:rPr>
                <w:rFonts w:hint="eastAsia" w:ascii="宋体" w:hAnsi="宋体" w:cs="宋体"/>
                <w:color w:val="auto"/>
                <w:kern w:val="0"/>
                <w:sz w:val="20"/>
                <w:szCs w:val="20"/>
                <w:highlight w:val="none"/>
              </w:rPr>
              <w:t>供货时</w:t>
            </w:r>
            <w:r>
              <w:rPr>
                <w:rFonts w:hint="eastAsia"/>
                <w:color w:val="auto"/>
                <w:highlight w:val="none"/>
              </w:rPr>
              <w:t>须提供具有 CMA 或 CNAS 认证资质的第三方检测机构出具的该功能检测报告复印件）</w:t>
            </w:r>
          </w:p>
          <w:p w14:paraId="58F5DEDC">
            <w:pPr>
              <w:spacing w:line="460" w:lineRule="exact"/>
              <w:jc w:val="left"/>
              <w:rPr>
                <w:color w:val="auto"/>
                <w:highlight w:val="none"/>
              </w:rPr>
            </w:pPr>
            <w:r>
              <w:rPr>
                <w:rFonts w:hint="eastAsia"/>
                <w:color w:val="auto"/>
                <w:highlight w:val="none"/>
              </w:rPr>
              <w:t>13. 课堂互动：支持在小程序接收课堂答题互动，支持单选，多选，判断，抢答，观点多种类型的答题互动。</w:t>
            </w:r>
          </w:p>
          <w:p w14:paraId="41D389CC">
            <w:pPr>
              <w:spacing w:line="460" w:lineRule="exact"/>
              <w:jc w:val="left"/>
              <w:rPr>
                <w:color w:val="auto"/>
                <w:highlight w:val="none"/>
              </w:rPr>
            </w:pPr>
            <w:r>
              <w:rPr>
                <w:rFonts w:hint="eastAsia"/>
                <w:color w:val="auto"/>
                <w:highlight w:val="none"/>
              </w:rPr>
              <w:t>▲14.支持小组端输入教师端的动态连接密码进行配对，初次配对成功后，后续可开机联网自动进行小组端和教师端间的连接；支持学生端输入小组端的动态连接密码进行连接，自动加入对应小组。动态连接码支持数字加 6 位字母的高级连接码，适合在不同的网络环境下使用。（</w:t>
            </w:r>
            <w:r>
              <w:rPr>
                <w:rFonts w:hint="eastAsia" w:ascii="宋体" w:hAnsi="宋体" w:cs="宋体"/>
                <w:color w:val="auto"/>
                <w:kern w:val="0"/>
                <w:sz w:val="20"/>
                <w:szCs w:val="20"/>
                <w:highlight w:val="none"/>
              </w:rPr>
              <w:t>供货时</w:t>
            </w:r>
            <w:r>
              <w:rPr>
                <w:rFonts w:hint="eastAsia"/>
                <w:color w:val="auto"/>
                <w:highlight w:val="none"/>
              </w:rPr>
              <w:t>须提供能佐证满足该功能的软件截图）</w:t>
            </w:r>
          </w:p>
          <w:p w14:paraId="477596E6">
            <w:pPr>
              <w:spacing w:line="460" w:lineRule="exact"/>
              <w:jc w:val="left"/>
              <w:rPr>
                <w:color w:val="auto"/>
                <w:highlight w:val="none"/>
              </w:rPr>
            </w:pPr>
            <w:r>
              <w:rPr>
                <w:rFonts w:hint="eastAsia"/>
                <w:color w:val="auto"/>
                <w:highlight w:val="none"/>
              </w:rPr>
              <w:t>（5）AI功能应用</w:t>
            </w:r>
          </w:p>
          <w:p w14:paraId="570B4239">
            <w:pPr>
              <w:spacing w:line="460" w:lineRule="exact"/>
              <w:jc w:val="left"/>
              <w:rPr>
                <w:color w:val="auto"/>
                <w:highlight w:val="none"/>
              </w:rPr>
            </w:pPr>
            <w:r>
              <w:rPr>
                <w:rFonts w:hint="eastAsia"/>
                <w:color w:val="auto"/>
                <w:highlight w:val="none"/>
              </w:rPr>
              <w:t>▲1、整机内置AI智能体（非第三方应用），根据教学和学习需求可快速创建，支持个性化设定角色信息包括角色性格、技能与头像信息，支持语音和文字两种方式与智能体进行对话交互，创建的智能体可上传到本校资源进行共享使用。（</w:t>
            </w:r>
            <w:r>
              <w:rPr>
                <w:rFonts w:hint="eastAsia" w:ascii="宋体" w:hAnsi="宋体" w:cs="宋体"/>
                <w:color w:val="auto"/>
                <w:kern w:val="0"/>
                <w:sz w:val="20"/>
                <w:szCs w:val="20"/>
                <w:highlight w:val="none"/>
              </w:rPr>
              <w:t>供货时</w:t>
            </w:r>
            <w:r>
              <w:rPr>
                <w:rFonts w:hint="eastAsia"/>
                <w:color w:val="auto"/>
                <w:highlight w:val="none"/>
              </w:rPr>
              <w:t>须提供国家认可的第三方检测机构出具的关于该功能检测报告复印件）</w:t>
            </w:r>
          </w:p>
          <w:p w14:paraId="4F05FAAD">
            <w:pPr>
              <w:spacing w:line="460" w:lineRule="exact"/>
              <w:jc w:val="left"/>
              <w:rPr>
                <w:color w:val="auto"/>
                <w:highlight w:val="none"/>
              </w:rPr>
            </w:pPr>
            <w:r>
              <w:rPr>
                <w:rFonts w:hint="eastAsia"/>
                <w:color w:val="auto"/>
                <w:highlight w:val="none"/>
              </w:rPr>
              <w:t>▲2、整机内置 AI 授课工具，支持对整机页面显示的题目或视频展台所采集的题目内容进行识别，支持手动框选题目范围，能够对题目进行详细的讲解，讲解内容包括解题步骤和注意事项。</w:t>
            </w:r>
          </w:p>
          <w:p w14:paraId="20EE1188">
            <w:pPr>
              <w:spacing w:line="460" w:lineRule="exact"/>
              <w:jc w:val="left"/>
              <w:rPr>
                <w:color w:val="auto"/>
                <w:highlight w:val="none"/>
              </w:rPr>
            </w:pPr>
            <w:r>
              <w:rPr>
                <w:rFonts w:hint="eastAsia"/>
                <w:color w:val="auto"/>
                <w:highlight w:val="none"/>
              </w:rPr>
              <w:t>（</w:t>
            </w:r>
            <w:r>
              <w:rPr>
                <w:rFonts w:hint="eastAsia" w:ascii="宋体" w:hAnsi="宋体" w:cs="宋体"/>
                <w:color w:val="auto"/>
                <w:kern w:val="0"/>
                <w:sz w:val="20"/>
                <w:szCs w:val="20"/>
                <w:highlight w:val="none"/>
              </w:rPr>
              <w:t>供货时</w:t>
            </w:r>
            <w:r>
              <w:rPr>
                <w:rFonts w:hint="eastAsia"/>
                <w:color w:val="auto"/>
                <w:highlight w:val="none"/>
              </w:rPr>
              <w:t>须提供具有CMA 或CNAS认证的第三方检测机构所出具的关于该功能的检测报告复印件）</w:t>
            </w:r>
          </w:p>
          <w:p w14:paraId="4B75326A">
            <w:pPr>
              <w:spacing w:line="460" w:lineRule="exact"/>
              <w:jc w:val="left"/>
              <w:rPr>
                <w:color w:val="auto"/>
                <w:highlight w:val="none"/>
              </w:rPr>
            </w:pPr>
            <w:r>
              <w:rPr>
                <w:rFonts w:hint="eastAsia"/>
                <w:color w:val="auto"/>
                <w:highlight w:val="none"/>
              </w:rPr>
              <w:t>▲3、 整机内置AI授课工具，支持对整机页面显示的题目或视频展台所采集的题目内容进行识别，支持手动框选题目范围，能够对题目进行详细的讲解，讲解内容包括解题步骤和注意事项。（</w:t>
            </w:r>
            <w:r>
              <w:rPr>
                <w:rFonts w:hint="eastAsia" w:ascii="宋体" w:hAnsi="宋体" w:cs="宋体"/>
                <w:color w:val="auto"/>
                <w:kern w:val="0"/>
                <w:sz w:val="20"/>
                <w:szCs w:val="20"/>
                <w:highlight w:val="none"/>
              </w:rPr>
              <w:t>供货时</w:t>
            </w:r>
            <w:r>
              <w:rPr>
                <w:rFonts w:hint="eastAsia"/>
                <w:color w:val="auto"/>
                <w:highlight w:val="none"/>
              </w:rPr>
              <w:t>须提供具有CMA 或CNAS认证的第三方检测机构所出具的关于该功能的检测报告复印件）</w:t>
            </w:r>
          </w:p>
          <w:p w14:paraId="4C56C4E9">
            <w:pPr>
              <w:spacing w:line="460" w:lineRule="exact"/>
              <w:jc w:val="left"/>
              <w:rPr>
                <w:color w:val="auto"/>
                <w:highlight w:val="none"/>
              </w:rPr>
            </w:pPr>
            <w:r>
              <w:rPr>
                <w:rFonts w:hint="eastAsia"/>
                <w:color w:val="auto"/>
                <w:highlight w:val="none"/>
              </w:rPr>
              <w:t>4、 整机内置AI授课工具，可根据题目所涉及的知识点和难度级别，可推荐相似题目，推荐题目数量可根据用户需求进行设置（如3道、5道、10道）。</w:t>
            </w:r>
          </w:p>
          <w:p w14:paraId="038BFD0E">
            <w:pPr>
              <w:spacing w:line="460" w:lineRule="exact"/>
              <w:jc w:val="left"/>
              <w:rPr>
                <w:color w:val="auto"/>
                <w:highlight w:val="none"/>
              </w:rPr>
            </w:pPr>
            <w:r>
              <w:rPr>
                <w:rFonts w:hint="eastAsia"/>
                <w:color w:val="auto"/>
                <w:highlight w:val="none"/>
              </w:rPr>
              <w:t>▲5、整机内置AI作文批改工具，支持对视频展台所采集的内容进行识别，识别到英文作文类型后，支持作文内容进行批改。可根据作文的整体表现给出一个综合评分，并提供详细的评分依据。（</w:t>
            </w:r>
            <w:r>
              <w:rPr>
                <w:rFonts w:hint="eastAsia" w:ascii="宋体" w:hAnsi="宋体" w:cs="宋体"/>
                <w:color w:val="auto"/>
                <w:kern w:val="0"/>
                <w:sz w:val="20"/>
                <w:szCs w:val="20"/>
                <w:highlight w:val="none"/>
              </w:rPr>
              <w:t>供货时</w:t>
            </w:r>
            <w:r>
              <w:rPr>
                <w:rFonts w:hint="eastAsia"/>
                <w:color w:val="auto"/>
                <w:highlight w:val="none"/>
              </w:rPr>
              <w:t>须提供具有CMA 或CNAS认证的第三方检测机构所出具的关于该功能的检测报告复印件）</w:t>
            </w:r>
          </w:p>
          <w:p w14:paraId="4579635D">
            <w:pPr>
              <w:spacing w:line="460" w:lineRule="exact"/>
              <w:jc w:val="left"/>
              <w:rPr>
                <w:color w:val="auto"/>
                <w:highlight w:val="none"/>
              </w:rPr>
            </w:pPr>
            <w:r>
              <w:rPr>
                <w:rFonts w:hint="eastAsia"/>
                <w:color w:val="auto"/>
                <w:highlight w:val="none"/>
              </w:rPr>
              <w:t>6、</w:t>
            </w:r>
            <w:r>
              <w:rPr>
                <w:color w:val="auto"/>
                <w:highlight w:val="none"/>
              </w:rPr>
              <w:t>每台一体机包含</w:t>
            </w:r>
            <w:r>
              <w:rPr>
                <w:rFonts w:hint="eastAsia"/>
                <w:color w:val="auto"/>
                <w:highlight w:val="none"/>
              </w:rPr>
              <w:t>支架原厂移动</w:t>
            </w:r>
            <w:r>
              <w:rPr>
                <w:color w:val="auto"/>
                <w:highlight w:val="none"/>
              </w:rPr>
              <w:t>支架一套。</w:t>
            </w:r>
          </w:p>
        </w:tc>
        <w:tc>
          <w:tcPr>
            <w:tcW w:w="244" w:type="pct"/>
            <w:vAlign w:val="center"/>
          </w:tcPr>
          <w:p w14:paraId="720DC037">
            <w:pPr>
              <w:widowControl/>
              <w:textAlignment w:val="center"/>
              <w:rPr>
                <w:rFonts w:ascii="宋体" w:hAnsi="宋体" w:cs="宋体"/>
                <w:color w:val="auto"/>
                <w:sz w:val="20"/>
                <w:szCs w:val="20"/>
                <w:highlight w:val="none"/>
              </w:rPr>
            </w:pPr>
            <w:r>
              <w:rPr>
                <w:rFonts w:hint="eastAsia" w:ascii="宋体" w:hAnsi="宋体" w:cs="宋体"/>
                <w:color w:val="auto"/>
                <w:sz w:val="20"/>
                <w:szCs w:val="20"/>
                <w:highlight w:val="none"/>
              </w:rPr>
              <w:t>2</w:t>
            </w:r>
          </w:p>
        </w:tc>
        <w:tc>
          <w:tcPr>
            <w:tcW w:w="311" w:type="pct"/>
            <w:vAlign w:val="center"/>
          </w:tcPr>
          <w:p w14:paraId="570E8D02">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套</w:t>
            </w:r>
          </w:p>
        </w:tc>
        <w:tc>
          <w:tcPr>
            <w:tcW w:w="491" w:type="pct"/>
            <w:vAlign w:val="center"/>
          </w:tcPr>
          <w:p w14:paraId="1DB1D444">
            <w:pPr>
              <w:widowControl/>
              <w:jc w:val="center"/>
              <w:textAlignment w:val="center"/>
              <w:rPr>
                <w:rFonts w:hint="default" w:asciiTheme="minorEastAsia" w:hAnsiTheme="minorEastAsia" w:eastAsiaTheme="minorEastAsia" w:cstheme="minorEastAsia"/>
                <w:color w:val="auto"/>
                <w:sz w:val="22"/>
                <w:highlight w:val="none"/>
                <w:lang w:val="en-US" w:eastAsia="zh-CN"/>
              </w:rPr>
            </w:pPr>
            <w:r>
              <w:rPr>
                <w:rFonts w:hint="eastAsia" w:asciiTheme="minorEastAsia" w:hAnsiTheme="minorEastAsia" w:eastAsiaTheme="minorEastAsia" w:cstheme="minorEastAsia"/>
                <w:color w:val="auto"/>
                <w:sz w:val="22"/>
                <w:highlight w:val="none"/>
                <w:lang w:val="en-US" w:eastAsia="zh-CN"/>
              </w:rPr>
              <w:t>22000</w:t>
            </w:r>
          </w:p>
        </w:tc>
        <w:tc>
          <w:tcPr>
            <w:tcW w:w="653" w:type="pct"/>
            <w:vAlign w:val="center"/>
          </w:tcPr>
          <w:p w14:paraId="31A82322">
            <w:pPr>
              <w:widowControl/>
              <w:jc w:val="center"/>
              <w:textAlignment w:val="center"/>
              <w:rPr>
                <w:rFonts w:hint="default" w:asciiTheme="minorEastAsia" w:hAnsiTheme="minorEastAsia" w:eastAsiaTheme="minorEastAsia" w:cstheme="minorEastAsia"/>
                <w:color w:val="auto"/>
                <w:sz w:val="22"/>
                <w:highlight w:val="none"/>
                <w:lang w:val="en-US" w:eastAsia="zh-CN"/>
              </w:rPr>
            </w:pPr>
            <w:r>
              <w:rPr>
                <w:rFonts w:hint="eastAsia" w:asciiTheme="minorEastAsia" w:hAnsiTheme="minorEastAsia" w:eastAsiaTheme="minorEastAsia" w:cstheme="minorEastAsia"/>
                <w:color w:val="auto"/>
                <w:sz w:val="22"/>
                <w:highlight w:val="none"/>
                <w:lang w:val="en-US" w:eastAsia="zh-CN"/>
              </w:rPr>
              <w:t>44000</w:t>
            </w:r>
          </w:p>
        </w:tc>
      </w:tr>
      <w:tr w14:paraId="114BA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4346" w:type="pct"/>
            <w:gridSpan w:val="7"/>
            <w:vAlign w:val="center"/>
          </w:tcPr>
          <w:p w14:paraId="5195D9F6">
            <w:pPr>
              <w:widowControl/>
              <w:spacing w:line="288" w:lineRule="auto"/>
              <w:jc w:val="center"/>
              <w:rPr>
                <w:rFonts w:ascii="宋体" w:hAnsi="宋体" w:cs="宋体"/>
                <w:color w:val="auto"/>
                <w:sz w:val="20"/>
                <w:szCs w:val="20"/>
                <w:highlight w:val="none"/>
              </w:rPr>
            </w:pPr>
            <w:r>
              <w:rPr>
                <w:rFonts w:hint="eastAsia" w:ascii="宋体" w:hAnsi="宋体" w:cs="宋体"/>
                <w:b/>
                <w:bCs/>
                <w:color w:val="auto"/>
                <w:kern w:val="0"/>
                <w:sz w:val="20"/>
                <w:szCs w:val="20"/>
                <w:highlight w:val="none"/>
              </w:rPr>
              <w:t>合计：壹拾肆万肆仟元整</w:t>
            </w:r>
          </w:p>
        </w:tc>
        <w:tc>
          <w:tcPr>
            <w:tcW w:w="653" w:type="pct"/>
            <w:vAlign w:val="center"/>
          </w:tcPr>
          <w:p w14:paraId="2A4AE307">
            <w:pPr>
              <w:widowControl/>
              <w:jc w:val="center"/>
              <w:textAlignment w:val="center"/>
              <w:rPr>
                <w:rFonts w:asciiTheme="minorEastAsia" w:hAnsiTheme="minorEastAsia" w:eastAsiaTheme="minorEastAsia" w:cstheme="minorEastAsia"/>
                <w:color w:val="auto"/>
                <w:sz w:val="22"/>
                <w:highlight w:val="none"/>
              </w:rPr>
            </w:pPr>
            <w:r>
              <w:rPr>
                <w:rFonts w:hint="eastAsia" w:asciiTheme="minorEastAsia" w:hAnsiTheme="minorEastAsia" w:eastAsiaTheme="minorEastAsia" w:cstheme="minorEastAsia"/>
                <w:color w:val="auto"/>
                <w:sz w:val="22"/>
                <w:highlight w:val="none"/>
              </w:rPr>
              <w:t>144</w:t>
            </w:r>
            <w:r>
              <w:rPr>
                <w:rFonts w:asciiTheme="minorEastAsia" w:hAnsiTheme="minorEastAsia" w:eastAsiaTheme="minorEastAsia" w:cstheme="minorEastAsia"/>
                <w:color w:val="auto"/>
                <w:sz w:val="22"/>
                <w:highlight w:val="none"/>
              </w:rPr>
              <w:t>000</w:t>
            </w:r>
          </w:p>
        </w:tc>
      </w:tr>
      <w:tr w14:paraId="7EF9D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5000" w:type="pct"/>
            <w:gridSpan w:val="8"/>
            <w:vAlign w:val="center"/>
          </w:tcPr>
          <w:p w14:paraId="46E563F9">
            <w:pPr>
              <w:rPr>
                <w:rFonts w:ascii="宋体" w:hAnsi="宋体"/>
                <w:b/>
                <w:color w:val="auto"/>
                <w:sz w:val="24"/>
                <w:szCs w:val="24"/>
                <w:highlight w:val="none"/>
              </w:rPr>
            </w:pPr>
            <w:r>
              <w:rPr>
                <w:rFonts w:hint="eastAsia" w:ascii="宋体" w:hAnsi="宋体"/>
                <w:b/>
                <w:color w:val="auto"/>
                <w:sz w:val="24"/>
                <w:szCs w:val="24"/>
                <w:highlight w:val="none"/>
              </w:rPr>
              <w:t>商务</w:t>
            </w:r>
            <w:r>
              <w:rPr>
                <w:rFonts w:ascii="宋体" w:hAnsi="宋体"/>
                <w:b/>
                <w:color w:val="auto"/>
                <w:sz w:val="24"/>
                <w:szCs w:val="24"/>
                <w:highlight w:val="none"/>
              </w:rPr>
              <w:t>条款</w:t>
            </w:r>
            <w:r>
              <w:rPr>
                <w:rFonts w:hint="eastAsia" w:ascii="宋体" w:hAnsi="宋体"/>
                <w:b/>
                <w:color w:val="auto"/>
                <w:sz w:val="24"/>
                <w:szCs w:val="24"/>
                <w:highlight w:val="none"/>
              </w:rPr>
              <w:t>：</w:t>
            </w:r>
          </w:p>
        </w:tc>
      </w:tr>
      <w:tr w14:paraId="4CD56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792" w:type="pct"/>
            <w:gridSpan w:val="2"/>
            <w:vAlign w:val="center"/>
          </w:tcPr>
          <w:p w14:paraId="6399634E">
            <w:pPr>
              <w:widowControl/>
              <w:jc w:val="center"/>
              <w:textAlignment w:val="center"/>
              <w:rPr>
                <w:rFonts w:hint="eastAsia" w:ascii="宋体" w:hAnsi="宋体"/>
                <w:b/>
                <w:color w:val="auto"/>
                <w:szCs w:val="21"/>
                <w:highlight w:val="none"/>
              </w:rPr>
            </w:pPr>
            <w:r>
              <w:rPr>
                <w:rFonts w:hint="eastAsia" w:ascii="宋体" w:hAnsi="宋体"/>
                <w:color w:val="auto"/>
                <w:szCs w:val="21"/>
                <w:highlight w:val="none"/>
              </w:rPr>
              <w:t>▲</w:t>
            </w:r>
            <w:r>
              <w:rPr>
                <w:rFonts w:hint="eastAsia" w:ascii="宋体" w:hAnsi="宋体"/>
                <w:b/>
                <w:color w:val="auto"/>
                <w:szCs w:val="21"/>
                <w:highlight w:val="none"/>
              </w:rPr>
              <w:t>供应商资格要求</w:t>
            </w:r>
          </w:p>
        </w:tc>
        <w:tc>
          <w:tcPr>
            <w:tcW w:w="4207" w:type="pct"/>
            <w:gridSpan w:val="6"/>
            <w:vAlign w:val="center"/>
          </w:tcPr>
          <w:p w14:paraId="110BF771">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1.符合《中华人民共和国政府采购法》第二十二条规定，具有独立法人资格的供应商。</w:t>
            </w:r>
          </w:p>
          <w:p w14:paraId="6F4CDB7C">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2.未被“信用中国”网站（www.creditchina.gov.cn）列入失信被执行人、重大税收违法案件当事人名单、政府采购严重违法失信行为记录名单。</w:t>
            </w:r>
          </w:p>
          <w:p w14:paraId="771A0B05">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3.企业经营业绩良好，具有良好的商业信誉和健全的内部管理制度，没有处于被责令停业，财产被接管、冻结、破产状态。</w:t>
            </w:r>
          </w:p>
          <w:p w14:paraId="31740E52">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4.本项目不接受联合体报价，不允许分包、不允许挂靠。</w:t>
            </w:r>
          </w:p>
        </w:tc>
      </w:tr>
      <w:tr w14:paraId="6F3AF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792" w:type="pct"/>
            <w:gridSpan w:val="2"/>
            <w:vAlign w:val="center"/>
          </w:tcPr>
          <w:p w14:paraId="12003E0E">
            <w:pPr>
              <w:widowControl/>
              <w:jc w:val="center"/>
              <w:textAlignment w:val="center"/>
              <w:rPr>
                <w:rFonts w:hint="default" w:ascii="宋体" w:hAnsi="宋体" w:eastAsia="宋体"/>
                <w:b/>
                <w:color w:val="auto"/>
                <w:szCs w:val="21"/>
                <w:highlight w:val="none"/>
                <w:lang w:val="en-US" w:eastAsia="zh-CN"/>
              </w:rPr>
            </w:pPr>
            <w:r>
              <w:rPr>
                <w:rFonts w:hint="eastAsia" w:ascii="宋体" w:hAnsi="宋体"/>
                <w:color w:val="auto"/>
                <w:szCs w:val="21"/>
                <w:highlight w:val="none"/>
              </w:rPr>
              <w:t>▲</w:t>
            </w:r>
            <w:r>
              <w:rPr>
                <w:rFonts w:hint="eastAsia" w:ascii="宋体" w:hAnsi="宋体"/>
                <w:b/>
                <w:color w:val="auto"/>
                <w:szCs w:val="21"/>
                <w:highlight w:val="none"/>
                <w:lang w:val="en-US" w:eastAsia="zh-CN"/>
              </w:rPr>
              <w:t>报价要求</w:t>
            </w:r>
          </w:p>
        </w:tc>
        <w:tc>
          <w:tcPr>
            <w:tcW w:w="4207" w:type="pct"/>
            <w:gridSpan w:val="6"/>
            <w:vAlign w:val="center"/>
          </w:tcPr>
          <w:p w14:paraId="338CDE0F">
            <w:pPr>
              <w:rPr>
                <w:rFonts w:hint="eastAsia" w:ascii="仿宋" w:hAnsi="仿宋" w:eastAsia="仿宋" w:cs="仿宋"/>
                <w:color w:val="auto"/>
                <w:highlight w:val="none"/>
              </w:rPr>
            </w:pPr>
            <w:r>
              <w:rPr>
                <w:rFonts w:hint="eastAsia" w:ascii="仿宋" w:hAnsi="仿宋" w:eastAsia="仿宋" w:cs="仿宋"/>
                <w:color w:val="auto"/>
                <w:szCs w:val="21"/>
                <w:highlight w:val="none"/>
                <w:lang w:val="en-US" w:eastAsia="zh-CN"/>
              </w:rPr>
              <w:t>1.严格按照采购需求品牌型号进行报价，</w:t>
            </w:r>
            <w:r>
              <w:rPr>
                <w:rFonts w:hint="eastAsia" w:ascii="仿宋" w:hAnsi="仿宋" w:eastAsia="仿宋" w:cs="仿宋"/>
                <w:color w:val="auto"/>
                <w:szCs w:val="21"/>
                <w:highlight w:val="none"/>
              </w:rPr>
              <w:t>本次反向竞价报价须为人民币报价，</w:t>
            </w:r>
            <w:r>
              <w:rPr>
                <w:rFonts w:hint="eastAsia" w:ascii="仿宋" w:hAnsi="仿宋" w:eastAsia="仿宋" w:cs="仿宋"/>
                <w:color w:val="auto"/>
                <w:szCs w:val="21"/>
                <w:highlight w:val="none"/>
                <w:lang w:val="en-US" w:eastAsia="zh-CN"/>
              </w:rPr>
              <w:t>一次性报价，</w:t>
            </w:r>
            <w:r>
              <w:rPr>
                <w:rFonts w:hint="eastAsia" w:ascii="仿宋" w:hAnsi="仿宋" w:eastAsia="仿宋" w:cs="仿宋"/>
                <w:color w:val="auto"/>
                <w:szCs w:val="21"/>
                <w:highlight w:val="none"/>
              </w:rPr>
              <w:t>包含：产品价格、运输费（含装卸费）、安装增加辅材费、货物上楼搬运费（电梯无法使用）、安装调试费、</w:t>
            </w:r>
            <w:r>
              <w:rPr>
                <w:rFonts w:hint="eastAsia" w:ascii="仿宋" w:hAnsi="仿宋" w:eastAsia="仿宋" w:cs="仿宋"/>
                <w:color w:val="auto"/>
                <w:szCs w:val="21"/>
                <w:highlight w:val="none"/>
                <w:lang w:val="en-US" w:eastAsia="zh-CN"/>
              </w:rPr>
              <w:t>培训、</w:t>
            </w:r>
            <w:r>
              <w:rPr>
                <w:rFonts w:hint="eastAsia" w:ascii="仿宋" w:hAnsi="仿宋" w:eastAsia="仿宋" w:cs="仿宋"/>
                <w:color w:val="auto"/>
                <w:szCs w:val="21"/>
                <w:highlight w:val="none"/>
              </w:rPr>
              <w:t>税费、产品检测费、产品质保期内维修等费用。对于本文件中明确列明必须报价的货物或服务，供应商应分别报价。对于本文件中未列明，而供应商认为必需的费用也需列入总报价。在合同实施时，采购人将不予支付成交供应商没有列入的项目费用，并认为此项目的费用已包括在响应总报价中。</w:t>
            </w:r>
          </w:p>
          <w:p w14:paraId="12FCAFD1">
            <w:pPr>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2.评审中出现下列情形之一的，评审小组应当启动异常低价响应审查程序：</w:t>
            </w:r>
          </w:p>
          <w:p w14:paraId="571D3F76">
            <w:pPr>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（1）响应报价低于全部通过符合性审查供应商响应报价平均值50%的，即响应报价&lt;全部通过符合性审查供应商响应报价平均值×50%；</w:t>
            </w:r>
          </w:p>
          <w:p w14:paraId="690AB768">
            <w:pPr>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（2）响应报价低于通过符合性审查的次低报价供应商响应报价50%的，即响应报价&lt;通过符合性审查的次低报价供应商响应报价×50%；</w:t>
            </w:r>
          </w:p>
          <w:p w14:paraId="389F7933">
            <w:pPr>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（3）响应报价低于采购项目最高限价45%的，即响应报价&lt;采购项目最高限价×45%；</w:t>
            </w:r>
          </w:p>
          <w:p w14:paraId="25ED920F">
            <w:pPr>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（4）评审小组基于专业判断，认为供应商报价过低，有可能影响产品质量或者不能诚信履约的其他情形。</w:t>
            </w:r>
          </w:p>
          <w:p w14:paraId="266AA168">
            <w:pPr>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评审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供应商需在60分钟内提供相关材料，否则评审小组将其响应作为无效响应处理。其中，属于第3项情形，供应商已随投标（响应）文件一并提交相关书面说明及必要的证明材料的，在评审现场可不再重复提交。</w:t>
            </w:r>
          </w:p>
          <w:p w14:paraId="455EC51F">
            <w:pPr>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w:t>
            </w:r>
            <w:r>
              <w:rPr>
                <w:rFonts w:hint="eastAsia" w:ascii="仿宋" w:hAnsi="仿宋" w:eastAsia="仿宋" w:cs="仿宋"/>
                <w:color w:val="auto"/>
                <w:szCs w:val="21"/>
                <w:highlight w:val="none"/>
              </w:rPr>
              <w:t>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通过报备政采云平台及财政厅监管部门，并按规定对竞标人公司予以处罚和进行网上通报处理，追究竞标人的法律责任，由此引发的一切后果由竞标人承担。</w:t>
            </w:r>
          </w:p>
        </w:tc>
      </w:tr>
      <w:tr w14:paraId="0257D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792" w:type="pct"/>
            <w:gridSpan w:val="2"/>
            <w:vAlign w:val="center"/>
          </w:tcPr>
          <w:p w14:paraId="464EBD2F">
            <w:pPr>
              <w:widowControl/>
              <w:jc w:val="center"/>
              <w:textAlignment w:val="center"/>
              <w:rPr>
                <w:rStyle w:val="12"/>
                <w:rFonts w:hint="eastAsia" w:ascii="宋体" w:hAnsi="宋体" w:eastAsia="宋体" w:cs="Times New Roman"/>
                <w:b/>
                <w:color w:val="auto"/>
                <w:sz w:val="21"/>
                <w:szCs w:val="21"/>
                <w:highlight w:val="none"/>
                <w:lang w:val="en-US" w:eastAsia="zh-CN"/>
              </w:rPr>
            </w:pPr>
            <w:r>
              <w:rPr>
                <w:rFonts w:hint="eastAsia" w:ascii="宋体" w:hAnsi="宋体"/>
                <w:color w:val="auto"/>
                <w:szCs w:val="21"/>
                <w:highlight w:val="none"/>
              </w:rPr>
              <w:t>▲</w:t>
            </w:r>
            <w:r>
              <w:rPr>
                <w:rFonts w:hint="eastAsia" w:ascii="宋体" w:hAnsi="宋体"/>
                <w:b/>
                <w:color w:val="auto"/>
                <w:szCs w:val="21"/>
                <w:highlight w:val="none"/>
              </w:rPr>
              <w:t>货款结算</w:t>
            </w:r>
          </w:p>
        </w:tc>
        <w:tc>
          <w:tcPr>
            <w:tcW w:w="4207" w:type="pct"/>
            <w:gridSpan w:val="6"/>
            <w:vAlign w:val="center"/>
          </w:tcPr>
          <w:p w14:paraId="65ADA5A6">
            <w:pPr>
              <w:rPr>
                <w:rStyle w:val="14"/>
                <w:rFonts w:hint="eastAsia" w:ascii="仿宋" w:hAnsi="仿宋" w:eastAsia="仿宋" w:cs="仿宋"/>
                <w:color w:val="auto"/>
                <w:sz w:val="21"/>
                <w:szCs w:val="21"/>
                <w:highlight w:val="none"/>
              </w:rPr>
            </w:pPr>
            <w:r>
              <w:rPr>
                <w:rFonts w:hint="eastAsia" w:ascii="仿宋" w:hAnsi="仿宋" w:eastAsia="仿宋" w:cs="仿宋"/>
                <w:color w:val="auto"/>
                <w:szCs w:val="21"/>
                <w:highlight w:val="none"/>
              </w:rPr>
              <w:t>按实结算，本采购文件项下全部货物经最终验收合格收到等额发票后10个工作日内，</w:t>
            </w:r>
            <w:r>
              <w:rPr>
                <w:rFonts w:hint="eastAsia" w:ascii="仿宋" w:hAnsi="仿宋" w:eastAsia="仿宋" w:cs="仿宋"/>
                <w:color w:val="auto"/>
                <w:szCs w:val="21"/>
                <w:highlight w:val="none"/>
                <w:lang w:eastAsia="zh-CN"/>
              </w:rPr>
              <w:t>采购人</w:t>
            </w:r>
            <w:r>
              <w:rPr>
                <w:rFonts w:hint="eastAsia" w:ascii="仿宋" w:hAnsi="仿宋" w:eastAsia="仿宋" w:cs="仿宋"/>
                <w:color w:val="auto"/>
                <w:szCs w:val="21"/>
                <w:highlight w:val="none"/>
              </w:rPr>
              <w:t>支付全部应付合同价款。</w:t>
            </w:r>
          </w:p>
        </w:tc>
      </w:tr>
      <w:tr w14:paraId="7D5FA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792" w:type="pct"/>
            <w:gridSpan w:val="2"/>
            <w:vAlign w:val="center"/>
          </w:tcPr>
          <w:p w14:paraId="37F35345">
            <w:pPr>
              <w:widowControl/>
              <w:jc w:val="center"/>
              <w:textAlignment w:val="center"/>
              <w:rPr>
                <w:rFonts w:hint="eastAsia" w:ascii="宋体" w:hAnsi="宋体"/>
                <w:b/>
                <w:color w:val="auto"/>
                <w:szCs w:val="21"/>
                <w:highlight w:val="none"/>
              </w:rPr>
            </w:pPr>
            <w:r>
              <w:rPr>
                <w:rFonts w:hint="eastAsia" w:ascii="宋体" w:hAnsi="宋体"/>
                <w:color w:val="auto"/>
                <w:szCs w:val="21"/>
                <w:highlight w:val="none"/>
              </w:rPr>
              <w:t>▲</w:t>
            </w:r>
            <w:r>
              <w:rPr>
                <w:rStyle w:val="12"/>
                <w:rFonts w:hint="eastAsia" w:ascii="宋体" w:hAnsi="宋体" w:eastAsia="宋体" w:cs="Times New Roman"/>
                <w:b/>
                <w:color w:val="auto"/>
                <w:sz w:val="21"/>
                <w:szCs w:val="21"/>
                <w:highlight w:val="none"/>
                <w:lang w:val="en-US" w:eastAsia="zh-CN"/>
              </w:rPr>
              <w:t>合同签订、</w:t>
            </w:r>
            <w:r>
              <w:rPr>
                <w:rStyle w:val="12"/>
                <w:rFonts w:hint="eastAsia" w:ascii="宋体" w:hAnsi="宋体" w:eastAsia="宋体" w:cs="Times New Roman"/>
                <w:b/>
                <w:color w:val="auto"/>
                <w:sz w:val="21"/>
                <w:szCs w:val="21"/>
                <w:highlight w:val="none"/>
              </w:rPr>
              <w:t>交货时间及地点</w:t>
            </w:r>
          </w:p>
        </w:tc>
        <w:tc>
          <w:tcPr>
            <w:tcW w:w="4207" w:type="pct"/>
            <w:gridSpan w:val="6"/>
            <w:vAlign w:val="center"/>
          </w:tcPr>
          <w:p w14:paraId="059551BA">
            <w:pPr>
              <w:widowControl/>
              <w:snapToGrid/>
              <w:spacing w:line="240" w:lineRule="auto"/>
              <w:jc w:val="left"/>
              <w:textAlignment w:val="auto"/>
              <w:rPr>
                <w:rStyle w:val="12"/>
                <w:rFonts w:hint="eastAsia" w:ascii="仿宋" w:hAnsi="仿宋" w:eastAsia="仿宋" w:cs="仿宋"/>
                <w:color w:val="auto"/>
                <w:sz w:val="21"/>
                <w:szCs w:val="21"/>
                <w:highlight w:val="none"/>
              </w:rPr>
            </w:pPr>
            <w:r>
              <w:rPr>
                <w:rStyle w:val="12"/>
                <w:rFonts w:hint="eastAsia" w:ascii="仿宋" w:hAnsi="仿宋" w:eastAsia="仿宋" w:cs="仿宋"/>
                <w:color w:val="auto"/>
                <w:sz w:val="21"/>
                <w:szCs w:val="21"/>
                <w:highlight w:val="none"/>
              </w:rPr>
              <w:t>1、合同签订日期：中标通知书发出后7</w:t>
            </w:r>
            <w:r>
              <w:rPr>
                <w:rStyle w:val="12"/>
                <w:rFonts w:hint="eastAsia" w:ascii="仿宋" w:hAnsi="仿宋" w:eastAsia="仿宋" w:cs="仿宋"/>
                <w:color w:val="auto"/>
                <w:sz w:val="21"/>
                <w:szCs w:val="21"/>
                <w:highlight w:val="none"/>
                <w:lang w:val="en-US" w:eastAsia="zh-CN"/>
              </w:rPr>
              <w:t>个工作</w:t>
            </w:r>
            <w:r>
              <w:rPr>
                <w:rStyle w:val="12"/>
                <w:rFonts w:hint="eastAsia" w:ascii="仿宋" w:hAnsi="仿宋" w:eastAsia="仿宋" w:cs="仿宋"/>
                <w:color w:val="auto"/>
                <w:sz w:val="21"/>
                <w:szCs w:val="21"/>
                <w:highlight w:val="none"/>
              </w:rPr>
              <w:t xml:space="preserve">日内。 </w:t>
            </w:r>
          </w:p>
          <w:p w14:paraId="0FBF3565">
            <w:pPr>
              <w:widowControl/>
              <w:snapToGrid/>
              <w:spacing w:line="240" w:lineRule="auto"/>
              <w:jc w:val="left"/>
              <w:textAlignment w:val="auto"/>
              <w:rPr>
                <w:rStyle w:val="12"/>
                <w:rFonts w:hint="eastAsia" w:ascii="仿宋" w:hAnsi="仿宋" w:eastAsia="仿宋" w:cs="仿宋"/>
                <w:color w:val="auto"/>
                <w:sz w:val="21"/>
                <w:szCs w:val="21"/>
                <w:highlight w:val="none"/>
              </w:rPr>
            </w:pPr>
            <w:r>
              <w:rPr>
                <w:rStyle w:val="12"/>
                <w:rFonts w:hint="eastAsia" w:ascii="仿宋" w:hAnsi="仿宋" w:eastAsia="仿宋" w:cs="仿宋"/>
                <w:color w:val="auto"/>
                <w:sz w:val="21"/>
                <w:szCs w:val="21"/>
                <w:highlight w:val="none"/>
              </w:rPr>
              <w:t>2、交货（实施）时间：合同签订之日起</w:t>
            </w:r>
            <w:r>
              <w:rPr>
                <w:rStyle w:val="12"/>
                <w:rFonts w:hint="eastAsia" w:ascii="仿宋" w:hAnsi="仿宋" w:eastAsia="仿宋" w:cs="仿宋"/>
                <w:color w:val="auto"/>
                <w:sz w:val="21"/>
                <w:szCs w:val="21"/>
                <w:highlight w:val="none"/>
                <w:lang w:val="en-US" w:eastAsia="zh-CN"/>
              </w:rPr>
              <w:t>15</w:t>
            </w:r>
            <w:r>
              <w:rPr>
                <w:rStyle w:val="12"/>
                <w:rFonts w:hint="eastAsia" w:ascii="仿宋" w:hAnsi="仿宋" w:eastAsia="仿宋" w:cs="仿宋"/>
                <w:color w:val="auto"/>
                <w:sz w:val="21"/>
                <w:szCs w:val="21"/>
                <w:highlight w:val="none"/>
              </w:rPr>
              <w:t>个</w:t>
            </w:r>
            <w:r>
              <w:rPr>
                <w:rStyle w:val="12"/>
                <w:rFonts w:hint="eastAsia" w:ascii="仿宋" w:hAnsi="仿宋" w:eastAsia="仿宋" w:cs="仿宋"/>
                <w:color w:val="auto"/>
                <w:sz w:val="21"/>
                <w:szCs w:val="21"/>
                <w:highlight w:val="none"/>
                <w:lang w:val="en-US" w:eastAsia="zh-CN"/>
              </w:rPr>
              <w:t>工作日</w:t>
            </w:r>
            <w:r>
              <w:rPr>
                <w:rStyle w:val="12"/>
                <w:rFonts w:hint="eastAsia" w:ascii="仿宋" w:hAnsi="仿宋" w:eastAsia="仿宋" w:cs="仿宋"/>
                <w:color w:val="auto"/>
                <w:sz w:val="21"/>
                <w:szCs w:val="21"/>
                <w:highlight w:val="none"/>
              </w:rPr>
              <w:t>内交货并安装调试完毕。施工过程静音、防尘，合理安排施工时间，减少对校园正常教学、活动秩序的影响。</w:t>
            </w:r>
          </w:p>
          <w:p w14:paraId="2522C291">
            <w:pPr>
              <w:rPr>
                <w:rFonts w:hint="eastAsia" w:ascii="仿宋" w:hAnsi="仿宋" w:eastAsia="仿宋" w:cs="仿宋"/>
                <w:color w:val="auto"/>
                <w:szCs w:val="21"/>
                <w:highlight w:val="none"/>
              </w:rPr>
            </w:pPr>
            <w:r>
              <w:rPr>
                <w:rStyle w:val="12"/>
                <w:rFonts w:hint="eastAsia" w:ascii="仿宋" w:hAnsi="仿宋" w:eastAsia="仿宋" w:cs="仿宋"/>
                <w:color w:val="auto"/>
                <w:sz w:val="21"/>
                <w:szCs w:val="21"/>
                <w:highlight w:val="none"/>
              </w:rPr>
              <w:t>3、交货地点：广西壮族自治区南宁市广西东盟经济技术开发区联杰路36号。</w:t>
            </w:r>
          </w:p>
        </w:tc>
      </w:tr>
      <w:tr w14:paraId="6A02B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792" w:type="pct"/>
            <w:gridSpan w:val="2"/>
            <w:shd w:val="clear" w:color="auto" w:fill="auto"/>
            <w:vAlign w:val="center"/>
          </w:tcPr>
          <w:p w14:paraId="47EE2AE5">
            <w:pPr>
              <w:widowControl/>
              <w:jc w:val="center"/>
              <w:textAlignment w:val="center"/>
              <w:rPr>
                <w:rFonts w:hint="eastAsia" w:ascii="宋体" w:hAnsi="宋体"/>
                <w:b/>
                <w:color w:val="auto"/>
                <w:szCs w:val="21"/>
                <w:highlight w:val="none"/>
              </w:rPr>
            </w:pPr>
            <w:r>
              <w:rPr>
                <w:rFonts w:hint="eastAsia" w:ascii="宋体" w:hAnsi="宋体"/>
                <w:color w:val="auto"/>
                <w:szCs w:val="21"/>
                <w:highlight w:val="none"/>
              </w:rPr>
              <w:t>▲</w:t>
            </w:r>
            <w:r>
              <w:rPr>
                <w:rFonts w:ascii="宋体" w:hAnsi="宋体"/>
                <w:b/>
                <w:color w:val="auto"/>
                <w:szCs w:val="21"/>
                <w:highlight w:val="none"/>
              </w:rPr>
              <w:t>售后服务要求</w:t>
            </w:r>
          </w:p>
        </w:tc>
        <w:tc>
          <w:tcPr>
            <w:tcW w:w="4207" w:type="pct"/>
            <w:gridSpan w:val="6"/>
            <w:shd w:val="clear" w:color="auto" w:fill="auto"/>
            <w:vAlign w:val="center"/>
          </w:tcPr>
          <w:p w14:paraId="5D46D3F9">
            <w:pP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rPr>
              <w:t>按国家有关规定或厂家承诺实行“三包”，质保期从验收合格之日起计算，不少于3年</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厂家质保期高于采购要求的按厂家质保），质保期内免费上门维修，质保期免费更换零部件。</w:t>
            </w:r>
          </w:p>
          <w:p w14:paraId="412EE936">
            <w:pP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售后服务：考虑到项目需要上门安装调试，成交供应商应设有售后维护服务网点，提供24小时售后服务。售后维修人员须在接到报修电话后2小时内赶到现场，提供不间断服务直到故障排除。（产品质保期特别说明外，按产品实际承诺期质保）。</w:t>
            </w:r>
          </w:p>
          <w:p w14:paraId="23A31739">
            <w:pP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为了保障产品正规渠道及品质，</w:t>
            </w:r>
            <w:r>
              <w:rPr>
                <w:rFonts w:hint="eastAsia" w:ascii="仿宋" w:hAnsi="仿宋" w:eastAsia="仿宋" w:cs="仿宋"/>
                <w:color w:val="auto"/>
                <w:szCs w:val="21"/>
                <w:highlight w:val="none"/>
                <w:lang w:val="en-US" w:eastAsia="zh-CN"/>
              </w:rPr>
              <w:t>供货前</w:t>
            </w:r>
            <w:r>
              <w:rPr>
                <w:rFonts w:hint="eastAsia" w:ascii="仿宋" w:hAnsi="仿宋" w:eastAsia="仿宋" w:cs="仿宋"/>
                <w:color w:val="auto"/>
                <w:szCs w:val="21"/>
                <w:highlight w:val="none"/>
              </w:rPr>
              <w:t>成交供应商需提供以下资料：1、厂家原厂授权、售后服务承诺函、供货证明函原件并加盖厂家公章；2、厂家3C证书，以及相应的检测报告复印件，加盖厂家公章证明；3、供货时无法提供述材料，</w:t>
            </w:r>
            <w:r>
              <w:rPr>
                <w:rFonts w:hint="eastAsia" w:ascii="仿宋" w:hAnsi="仿宋" w:eastAsia="仿宋" w:cs="仿宋"/>
                <w:color w:val="auto"/>
                <w:szCs w:val="21"/>
                <w:highlight w:val="none"/>
                <w:lang w:val="en-US" w:eastAsia="zh-CN"/>
              </w:rPr>
              <w:t>学校</w:t>
            </w:r>
            <w:r>
              <w:rPr>
                <w:rFonts w:hint="eastAsia" w:ascii="仿宋" w:hAnsi="仿宋" w:eastAsia="仿宋" w:cs="仿宋"/>
                <w:color w:val="auto"/>
                <w:szCs w:val="21"/>
                <w:highlight w:val="none"/>
              </w:rPr>
              <w:t>有权不予验收及单方面</w:t>
            </w:r>
            <w:r>
              <w:rPr>
                <w:rFonts w:hint="eastAsia" w:ascii="仿宋" w:hAnsi="仿宋" w:eastAsia="仿宋" w:cs="仿宋"/>
                <w:color w:val="auto"/>
                <w:szCs w:val="21"/>
                <w:highlight w:val="none"/>
                <w:lang w:val="en-US" w:eastAsia="zh-CN"/>
              </w:rPr>
              <w:t>免责</w:t>
            </w:r>
            <w:r>
              <w:rPr>
                <w:rFonts w:hint="eastAsia" w:ascii="仿宋" w:hAnsi="仿宋" w:eastAsia="仿宋" w:cs="仿宋"/>
                <w:color w:val="auto"/>
                <w:szCs w:val="21"/>
                <w:highlight w:val="none"/>
              </w:rPr>
              <w:t>终止合同，并且保留追究成交供应商的法律责任。</w:t>
            </w:r>
          </w:p>
          <w:p w14:paraId="306E4C11">
            <w:pP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故障响应时间：要求成交供应商在接到故障通知后须在2小时内赶到采购人指定现场，按国家及行业标准对故障进行及时处理；</w:t>
            </w:r>
          </w:p>
          <w:p w14:paraId="4C4776D0">
            <w:pPr>
              <w:rPr>
                <w:rFonts w:hint="eastAsia" w:ascii="仿宋" w:hAnsi="仿宋" w:eastAsia="仿宋" w:cs="仿宋"/>
                <w:color w:val="auto"/>
                <w:highlight w:val="none"/>
              </w:rPr>
            </w:pP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在质保期内设备非因人为及不可抗拒因素的原因而引起损坏或质量问题，成交供应商应免费予以技术服务、维修或设备更换，并承担相应费不在免费保修范围内，成交供应商也要积极帮助采购人修理，并提供优惠价格的配件和服务；</w:t>
            </w:r>
          </w:p>
          <w:p w14:paraId="606F9311">
            <w:pP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在三年的保修期限内，每个春季、秋季学期开学前，必须对一体机、黑板、功放机、无线话筒设备等，进行设备软件和硬件的巡检，发现问题及时处理和解决。</w:t>
            </w:r>
          </w:p>
        </w:tc>
      </w:tr>
      <w:tr w14:paraId="56FDD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792" w:type="pct"/>
            <w:gridSpan w:val="2"/>
            <w:shd w:val="clear" w:color="auto" w:fill="auto"/>
            <w:vAlign w:val="center"/>
          </w:tcPr>
          <w:p w14:paraId="0E64F619">
            <w:pPr>
              <w:widowControl/>
              <w:jc w:val="center"/>
              <w:textAlignment w:val="center"/>
              <w:rPr>
                <w:rFonts w:ascii="宋体" w:hAnsi="宋体" w:eastAsia="宋体" w:cs="Times New Roman"/>
                <w:b/>
                <w:color w:val="auto"/>
                <w:kern w:val="2"/>
                <w:sz w:val="21"/>
                <w:szCs w:val="21"/>
                <w:highlight w:val="none"/>
                <w:lang w:val="en-US" w:eastAsia="zh-CN" w:bidi="ar-SA"/>
              </w:rPr>
            </w:pPr>
            <w:r>
              <w:rPr>
                <w:rFonts w:hint="eastAsia" w:ascii="宋体" w:hAnsi="宋体"/>
                <w:color w:val="auto"/>
                <w:szCs w:val="21"/>
                <w:highlight w:val="none"/>
              </w:rPr>
              <w:t>▲</w:t>
            </w:r>
            <w:r>
              <w:rPr>
                <w:rStyle w:val="14"/>
                <w:rFonts w:hint="eastAsia" w:ascii="仿宋" w:hAnsi="仿宋" w:eastAsia="仿宋" w:cs="仿宋"/>
                <w:color w:val="auto"/>
                <w:sz w:val="21"/>
                <w:szCs w:val="21"/>
                <w:highlight w:val="none"/>
              </w:rPr>
              <w:t>验收要求</w:t>
            </w:r>
          </w:p>
        </w:tc>
        <w:tc>
          <w:tcPr>
            <w:tcW w:w="4207" w:type="pct"/>
            <w:gridSpan w:val="6"/>
            <w:shd w:val="clear" w:color="auto" w:fill="auto"/>
            <w:vAlign w:val="center"/>
          </w:tcPr>
          <w:p w14:paraId="3C8ECEA0">
            <w:pPr>
              <w:widowControl/>
              <w:snapToGrid w:val="0"/>
              <w:spacing w:line="400" w:lineRule="exact"/>
              <w:ind w:firstLine="420" w:firstLineChars="200"/>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xml:space="preserve">1、验收标准：按合同要求及国家标准进行验收。验收时，采购人将严格按照合同要求及国家标准进行验收，对照采购文件的功能目标及技术指标全面核对检验，对所有要求出具的证明文件的原件进行核查（如有）。如交付产品不能满足采购要求和合同约定质量标准的视为验收不合格，按相关规定做退货处理及违约处理，成交供应商承担所有责任和费用，采购人保留进一步追究责任的权利。 </w:t>
            </w:r>
          </w:p>
          <w:p w14:paraId="61CEAF3B">
            <w:pPr>
              <w:widowControl/>
              <w:snapToGrid w:val="0"/>
              <w:spacing w:line="400" w:lineRule="exact"/>
              <w:ind w:firstLine="420" w:firstLineChars="200"/>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供应商完成设备安装与调试后，需对拟交付的合同成果及其组件进行自检并提出书面验收申请，经采购人同意后共同组织验收，签写相应验收意见并签名确认。如对验收存在异议的，可聘请第三方按合同约定组织验收，所有费用由成交供应商负责。</w:t>
            </w:r>
          </w:p>
          <w:p w14:paraId="58F9ACEA">
            <w:pPr>
              <w:widowControl/>
              <w:snapToGrid w:val="0"/>
              <w:spacing w:line="400" w:lineRule="exact"/>
              <w:ind w:firstLine="420" w:firstLineChars="200"/>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3、货物（设备）验收合格，项目约定产品或服务方可正式交接，双方对相关货物清单、随机附件及验收结论意见书等书面材料进行清点签字后，作为项目的最终验收。</w:t>
            </w:r>
          </w:p>
          <w:p w14:paraId="19242494">
            <w:pPr>
              <w:rPr>
                <w:color w:val="auto"/>
                <w:highlight w:val="none"/>
              </w:rPr>
            </w:pPr>
            <w:r>
              <w:rPr>
                <w:rFonts w:hint="eastAsia" w:ascii="仿宋" w:hAnsi="仿宋" w:eastAsia="仿宋" w:cs="仿宋"/>
                <w:color w:val="auto"/>
                <w:kern w:val="0"/>
                <w:szCs w:val="21"/>
                <w:highlight w:val="none"/>
              </w:rPr>
              <w:t>4、验收费用：验收所产生的劳务费、检验费及相关发生的全部费用均由成交人承担。</w:t>
            </w:r>
          </w:p>
          <w:p w14:paraId="6B55783F">
            <w:pPr>
              <w:rPr>
                <w:rFonts w:ascii="宋体" w:hAnsi="宋体" w:eastAsia="宋体" w:cs="Times New Roman"/>
                <w:color w:val="auto"/>
                <w:kern w:val="2"/>
                <w:sz w:val="21"/>
                <w:szCs w:val="21"/>
                <w:highlight w:val="none"/>
                <w:lang w:val="en-US" w:eastAsia="zh-CN" w:bidi="ar-SA"/>
              </w:rPr>
            </w:pPr>
          </w:p>
        </w:tc>
      </w:tr>
      <w:tr w14:paraId="21290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792" w:type="pct"/>
            <w:gridSpan w:val="2"/>
            <w:vAlign w:val="center"/>
          </w:tcPr>
          <w:p w14:paraId="6AB0C557">
            <w:pPr>
              <w:widowControl/>
              <w:jc w:val="center"/>
              <w:textAlignment w:val="center"/>
              <w:rPr>
                <w:rFonts w:hint="eastAsia" w:ascii="宋体" w:hAnsi="宋体" w:eastAsia="宋体"/>
                <w:b/>
                <w:color w:val="auto"/>
                <w:szCs w:val="21"/>
                <w:highlight w:val="none"/>
                <w:lang w:val="en-US" w:eastAsia="zh-CN"/>
              </w:rPr>
            </w:pPr>
            <w:r>
              <w:rPr>
                <w:rFonts w:hint="eastAsia" w:ascii="宋体" w:hAnsi="宋体"/>
                <w:color w:val="auto"/>
                <w:szCs w:val="21"/>
                <w:highlight w:val="none"/>
              </w:rPr>
              <w:t>▲</w:t>
            </w:r>
            <w:r>
              <w:rPr>
                <w:rFonts w:hint="eastAsia" w:ascii="宋体" w:hAnsi="宋体"/>
                <w:b/>
                <w:color w:val="auto"/>
                <w:szCs w:val="21"/>
                <w:highlight w:val="none"/>
                <w:lang w:val="en-US" w:eastAsia="zh-CN"/>
              </w:rPr>
              <w:t>其他要求</w:t>
            </w:r>
          </w:p>
        </w:tc>
        <w:tc>
          <w:tcPr>
            <w:tcW w:w="4207" w:type="pct"/>
            <w:gridSpan w:val="6"/>
            <w:vAlign w:val="center"/>
          </w:tcPr>
          <w:p w14:paraId="4E6B1206">
            <w:pPr>
              <w:autoSpaceDE w:val="0"/>
              <w:autoSpaceDN w:val="0"/>
              <w:adjustRightInd w:val="0"/>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1、供应商必须实质性响应本项目标注“</w:t>
            </w:r>
            <w:r>
              <w:rPr>
                <w:rFonts w:hint="eastAsia" w:ascii="宋体" w:hAnsi="宋体"/>
                <w:color w:val="auto"/>
                <w:szCs w:val="21"/>
                <w:highlight w:val="none"/>
              </w:rPr>
              <w:t>▲</w:t>
            </w:r>
            <w:r>
              <w:rPr>
                <w:rFonts w:hint="eastAsia" w:ascii="仿宋" w:hAnsi="仿宋" w:eastAsia="仿宋" w:cs="仿宋"/>
                <w:color w:val="auto"/>
                <w:szCs w:val="21"/>
                <w:highlight w:val="none"/>
              </w:rPr>
              <w:t>”的技术参数要求</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不</w:t>
            </w:r>
            <w:r>
              <w:rPr>
                <w:rFonts w:hint="eastAsia" w:ascii="仿宋" w:hAnsi="仿宋" w:eastAsia="仿宋" w:cs="仿宋"/>
                <w:color w:val="auto"/>
                <w:szCs w:val="21"/>
                <w:highlight w:val="none"/>
              </w:rPr>
              <w:t>允许一项负偏离，否则视为无效响应。投标时，供应商所投产品须满足或优于技术参数配置要求【需提供《商务、技术响应偏离情况说明表》（格式见</w:t>
            </w:r>
            <w:r>
              <w:rPr>
                <w:rFonts w:hint="eastAsia" w:ascii="仿宋" w:hAnsi="仿宋" w:eastAsia="仿宋" w:cs="仿宋"/>
                <w:color w:val="auto"/>
                <w:szCs w:val="21"/>
                <w:highlight w:val="none"/>
                <w:lang w:val="en-US" w:eastAsia="zh-CN"/>
              </w:rPr>
              <w:t>附件3、4</w:t>
            </w:r>
            <w:r>
              <w:rPr>
                <w:rFonts w:hint="eastAsia" w:ascii="仿宋" w:hAnsi="仿宋" w:eastAsia="仿宋" w:cs="仿宋"/>
                <w:color w:val="auto"/>
                <w:szCs w:val="21"/>
                <w:highlight w:val="none"/>
              </w:rPr>
              <w:t>）、《报价表》</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格式见</w:t>
            </w:r>
            <w:r>
              <w:rPr>
                <w:rFonts w:hint="eastAsia" w:ascii="仿宋" w:hAnsi="仿宋" w:eastAsia="仿宋" w:cs="仿宋"/>
                <w:color w:val="auto"/>
                <w:szCs w:val="21"/>
                <w:highlight w:val="none"/>
                <w:lang w:val="en-US" w:eastAsia="zh-CN"/>
              </w:rPr>
              <w:t>附件1</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和投标产品的《技术参数配置清单》（格式见附件</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）及</w:t>
            </w:r>
            <w:r>
              <w:rPr>
                <w:rFonts w:hint="eastAsia" w:ascii="仿宋" w:hAnsi="仿宋" w:eastAsia="仿宋" w:cs="仿宋"/>
                <w:color w:val="auto"/>
                <w:szCs w:val="21"/>
                <w:highlight w:val="none"/>
                <w:lang w:val="en-US" w:eastAsia="zh-CN"/>
              </w:rPr>
              <w:t>需求表里面要求提供的</w:t>
            </w:r>
            <w:r>
              <w:rPr>
                <w:rFonts w:hint="eastAsia" w:ascii="仿宋" w:hAnsi="仿宋" w:eastAsia="仿宋" w:cs="仿宋"/>
                <w:color w:val="auto"/>
                <w:szCs w:val="21"/>
                <w:highlight w:val="none"/>
              </w:rPr>
              <w:t>相关佐证材料，以上材料加盖供应商公章】， 否则视为无效响应。</w:t>
            </w:r>
          </w:p>
          <w:p w14:paraId="234862E8">
            <w:pPr>
              <w:autoSpaceDE w:val="0"/>
              <w:autoSpaceDN w:val="0"/>
              <w:adjustRightInd w:val="0"/>
              <w:spacing w:line="400" w:lineRule="exact"/>
              <w:ind w:firstLine="420" w:firstLineChars="200"/>
              <w:rPr>
                <w:rFonts w:hint="eastAsia" w:ascii="宋体" w:hAnsi="宋体"/>
                <w:color w:val="auto"/>
                <w:szCs w:val="21"/>
                <w:highlight w:val="none"/>
              </w:rPr>
            </w:pP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供应商在参与竞标报价前需仔细阅读项目采购的技术及商务要求，评估自身履约能力，谢绝恶意低价、不按要求报价、中标后无故放弃、不按合同履行等违约行为。对出现此类行为的成交供应商，将根据在线竞价违约处理规则，依法依规提请政采云平台进行处罚，并保留依法追究违约责任的权利，供应商的违约行为列入不良记录记入政府采购诚信档案。采购单位有权将在线询价单中的商务要求列入合同条款，否则有权拒签合同。</w:t>
            </w:r>
          </w:p>
        </w:tc>
      </w:tr>
      <w:tr w14:paraId="64B16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792" w:type="pct"/>
            <w:gridSpan w:val="2"/>
            <w:vAlign w:val="center"/>
          </w:tcPr>
          <w:p w14:paraId="57F52AFD">
            <w:pPr>
              <w:widowControl/>
              <w:jc w:val="center"/>
              <w:textAlignment w:val="center"/>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b/>
                <w:color w:val="auto"/>
                <w:szCs w:val="21"/>
                <w:highlight w:val="none"/>
              </w:rPr>
              <w:t>违约责任</w:t>
            </w:r>
          </w:p>
        </w:tc>
        <w:tc>
          <w:tcPr>
            <w:tcW w:w="4207" w:type="pct"/>
            <w:gridSpan w:val="6"/>
            <w:vAlign w:val="center"/>
          </w:tcPr>
          <w:p w14:paraId="795F5C4A">
            <w:pP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rPr>
              <w:t>逾期交付</w:t>
            </w:r>
          </w:p>
          <w:p w14:paraId="33699A1F">
            <w:pPr>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成交供应商</w:t>
            </w:r>
            <w:r>
              <w:rPr>
                <w:rFonts w:hint="eastAsia" w:ascii="仿宋" w:hAnsi="仿宋" w:eastAsia="仿宋" w:cs="仿宋"/>
                <w:color w:val="auto"/>
                <w:szCs w:val="21"/>
                <w:highlight w:val="none"/>
              </w:rPr>
              <w:t>逾期交付的，每逾期一天，向</w:t>
            </w:r>
            <w:r>
              <w:rPr>
                <w:rFonts w:hint="eastAsia" w:ascii="仿宋" w:hAnsi="仿宋" w:eastAsia="仿宋" w:cs="仿宋"/>
                <w:color w:val="auto"/>
                <w:szCs w:val="21"/>
                <w:highlight w:val="none"/>
                <w:lang w:eastAsia="zh-CN"/>
              </w:rPr>
              <w:t>采购人</w:t>
            </w:r>
            <w:r>
              <w:rPr>
                <w:rFonts w:hint="eastAsia" w:ascii="仿宋" w:hAnsi="仿宋" w:eastAsia="仿宋" w:cs="仿宋"/>
                <w:color w:val="auto"/>
                <w:szCs w:val="21"/>
                <w:highlight w:val="none"/>
              </w:rPr>
              <w:t>支付合同总额 1‰ 的违约金，但累计不超过合同总额的 10%。逾期超过 30天 的，</w:t>
            </w:r>
            <w:r>
              <w:rPr>
                <w:rFonts w:hint="eastAsia" w:ascii="仿宋" w:hAnsi="仿宋" w:eastAsia="仿宋" w:cs="仿宋"/>
                <w:color w:val="auto"/>
                <w:szCs w:val="21"/>
                <w:highlight w:val="none"/>
                <w:lang w:eastAsia="zh-CN"/>
              </w:rPr>
              <w:t>采购人</w:t>
            </w:r>
            <w:r>
              <w:rPr>
                <w:rFonts w:hint="eastAsia" w:ascii="仿宋" w:hAnsi="仿宋" w:eastAsia="仿宋" w:cs="仿宋"/>
                <w:color w:val="auto"/>
                <w:szCs w:val="21"/>
                <w:highlight w:val="none"/>
              </w:rPr>
              <w:t>有权单方解除合同。</w:t>
            </w:r>
          </w:p>
          <w:p w14:paraId="59D9125A">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合同解除后，</w:t>
            </w:r>
            <w:r>
              <w:rPr>
                <w:rFonts w:hint="eastAsia" w:ascii="仿宋" w:hAnsi="仿宋" w:eastAsia="仿宋" w:cs="仿宋"/>
                <w:color w:val="auto"/>
                <w:szCs w:val="21"/>
                <w:highlight w:val="none"/>
                <w:lang w:eastAsia="zh-CN"/>
              </w:rPr>
              <w:t>成交供应商</w:t>
            </w:r>
            <w:r>
              <w:rPr>
                <w:rFonts w:hint="eastAsia" w:ascii="仿宋" w:hAnsi="仿宋" w:eastAsia="仿宋" w:cs="仿宋"/>
                <w:color w:val="auto"/>
                <w:szCs w:val="21"/>
                <w:highlight w:val="none"/>
              </w:rPr>
              <w:t>应在 5 个工作日内退还</w:t>
            </w:r>
            <w:r>
              <w:rPr>
                <w:rFonts w:hint="eastAsia" w:ascii="仿宋" w:hAnsi="仿宋" w:eastAsia="仿宋" w:cs="仿宋"/>
                <w:color w:val="auto"/>
                <w:szCs w:val="21"/>
                <w:highlight w:val="none"/>
                <w:lang w:eastAsia="zh-CN"/>
              </w:rPr>
              <w:t>采购人</w:t>
            </w:r>
            <w:r>
              <w:rPr>
                <w:rFonts w:hint="eastAsia" w:ascii="仿宋" w:hAnsi="仿宋" w:eastAsia="仿宋" w:cs="仿宋"/>
                <w:color w:val="auto"/>
                <w:szCs w:val="21"/>
                <w:highlight w:val="none"/>
              </w:rPr>
              <w:t>已支付的全部款项（含预付款），并向</w:t>
            </w:r>
            <w:r>
              <w:rPr>
                <w:rFonts w:hint="eastAsia" w:ascii="仿宋" w:hAnsi="仿宋" w:eastAsia="仿宋" w:cs="仿宋"/>
                <w:color w:val="auto"/>
                <w:szCs w:val="21"/>
                <w:highlight w:val="none"/>
                <w:lang w:eastAsia="zh-CN"/>
              </w:rPr>
              <w:t>采购人</w:t>
            </w:r>
            <w:r>
              <w:rPr>
                <w:rFonts w:hint="eastAsia" w:ascii="仿宋" w:hAnsi="仿宋" w:eastAsia="仿宋" w:cs="仿宋"/>
                <w:color w:val="auto"/>
                <w:szCs w:val="21"/>
                <w:highlight w:val="none"/>
              </w:rPr>
              <w:t>支付上述违约金；若违约金不足以弥补</w:t>
            </w:r>
            <w:r>
              <w:rPr>
                <w:rFonts w:hint="eastAsia" w:ascii="仿宋" w:hAnsi="仿宋" w:eastAsia="仿宋" w:cs="仿宋"/>
                <w:color w:val="auto"/>
                <w:szCs w:val="21"/>
                <w:highlight w:val="none"/>
                <w:lang w:eastAsia="zh-CN"/>
              </w:rPr>
              <w:t>采购人</w:t>
            </w:r>
            <w:r>
              <w:rPr>
                <w:rFonts w:hint="eastAsia" w:ascii="仿宋" w:hAnsi="仿宋" w:eastAsia="仿宋" w:cs="仿宋"/>
                <w:color w:val="auto"/>
                <w:szCs w:val="21"/>
                <w:highlight w:val="none"/>
              </w:rPr>
              <w:t>实际损失的，</w:t>
            </w:r>
            <w:r>
              <w:rPr>
                <w:rFonts w:hint="eastAsia" w:ascii="仿宋" w:hAnsi="仿宋" w:eastAsia="仿宋" w:cs="仿宋"/>
                <w:color w:val="auto"/>
                <w:szCs w:val="21"/>
                <w:highlight w:val="none"/>
                <w:lang w:eastAsia="zh-CN"/>
              </w:rPr>
              <w:t>成交供应商</w:t>
            </w:r>
            <w:r>
              <w:rPr>
                <w:rFonts w:hint="eastAsia" w:ascii="仿宋" w:hAnsi="仿宋" w:eastAsia="仿宋" w:cs="仿宋"/>
                <w:color w:val="auto"/>
                <w:szCs w:val="21"/>
                <w:highlight w:val="none"/>
              </w:rPr>
              <w:t>应另行赔偿。</w:t>
            </w:r>
          </w:p>
          <w:p w14:paraId="1D88D26F">
            <w:pP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服务期内售后不达标</w:t>
            </w:r>
          </w:p>
          <w:p w14:paraId="188B354F">
            <w:pPr>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lang w:eastAsia="zh-CN"/>
              </w:rPr>
              <w:t>）成交供应商</w:t>
            </w:r>
            <w:r>
              <w:rPr>
                <w:rFonts w:hint="eastAsia" w:ascii="仿宋" w:hAnsi="仿宋" w:eastAsia="仿宋" w:cs="仿宋"/>
                <w:color w:val="auto"/>
                <w:szCs w:val="21"/>
                <w:highlight w:val="none"/>
              </w:rPr>
              <w:t>未能按合同约定提供售后服务的（包括但不限于技术支持、培训服务、故障处理、答疑服务等），</w:t>
            </w:r>
            <w:r>
              <w:rPr>
                <w:rFonts w:hint="eastAsia" w:ascii="仿宋" w:hAnsi="仿宋" w:eastAsia="仿宋" w:cs="仿宋"/>
                <w:color w:val="auto"/>
                <w:szCs w:val="21"/>
                <w:highlight w:val="none"/>
                <w:lang w:eastAsia="zh-CN"/>
              </w:rPr>
              <w:t>采购人</w:t>
            </w:r>
            <w:r>
              <w:rPr>
                <w:rFonts w:hint="eastAsia" w:ascii="仿宋" w:hAnsi="仿宋" w:eastAsia="仿宋" w:cs="仿宋"/>
                <w:color w:val="auto"/>
                <w:szCs w:val="21"/>
                <w:highlight w:val="none"/>
              </w:rPr>
              <w:t>有权书面催告</w:t>
            </w:r>
            <w:r>
              <w:rPr>
                <w:rFonts w:hint="eastAsia" w:ascii="仿宋" w:hAnsi="仿宋" w:eastAsia="仿宋" w:cs="仿宋"/>
                <w:color w:val="auto"/>
                <w:szCs w:val="21"/>
                <w:highlight w:val="none"/>
                <w:lang w:eastAsia="zh-CN"/>
              </w:rPr>
              <w:t>成交供应商</w:t>
            </w:r>
            <w:r>
              <w:rPr>
                <w:rFonts w:hint="eastAsia" w:ascii="仿宋" w:hAnsi="仿宋" w:eastAsia="仿宋" w:cs="仿宋"/>
                <w:color w:val="auto"/>
                <w:szCs w:val="21"/>
                <w:highlight w:val="none"/>
              </w:rPr>
              <w:t>限期整改。</w:t>
            </w:r>
          </w:p>
          <w:p w14:paraId="37389C70">
            <w:pPr>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lang w:eastAsia="zh-CN"/>
              </w:rPr>
              <w:t>）成交供应商</w:t>
            </w:r>
            <w:r>
              <w:rPr>
                <w:rFonts w:hint="eastAsia" w:ascii="仿宋" w:hAnsi="仿宋" w:eastAsia="仿宋" w:cs="仿宋"/>
                <w:color w:val="auto"/>
                <w:szCs w:val="21"/>
                <w:highlight w:val="none"/>
              </w:rPr>
              <w:t>在收到催告后 7个工作日内仍未开始整改的，自催告期满次日起，每日向</w:t>
            </w:r>
            <w:r>
              <w:rPr>
                <w:rFonts w:hint="eastAsia" w:ascii="仿宋" w:hAnsi="仿宋" w:eastAsia="仿宋" w:cs="仿宋"/>
                <w:color w:val="auto"/>
                <w:szCs w:val="21"/>
                <w:highlight w:val="none"/>
                <w:lang w:eastAsia="zh-CN"/>
              </w:rPr>
              <w:t>采购人</w:t>
            </w:r>
            <w:r>
              <w:rPr>
                <w:rFonts w:hint="eastAsia" w:ascii="仿宋" w:hAnsi="仿宋" w:eastAsia="仿宋" w:cs="仿宋"/>
                <w:color w:val="auto"/>
                <w:szCs w:val="21"/>
                <w:highlight w:val="none"/>
              </w:rPr>
              <w:t>支付合同总额 1‰ 的违约金，直至</w:t>
            </w:r>
            <w:r>
              <w:rPr>
                <w:rFonts w:hint="eastAsia" w:ascii="仿宋" w:hAnsi="仿宋" w:eastAsia="仿宋" w:cs="仿宋"/>
                <w:color w:val="auto"/>
                <w:szCs w:val="21"/>
                <w:highlight w:val="none"/>
                <w:lang w:eastAsia="zh-CN"/>
              </w:rPr>
              <w:t>成交供应商</w:t>
            </w:r>
            <w:r>
              <w:rPr>
                <w:rFonts w:hint="eastAsia" w:ascii="仿宋" w:hAnsi="仿宋" w:eastAsia="仿宋" w:cs="仿宋"/>
                <w:color w:val="auto"/>
                <w:szCs w:val="21"/>
                <w:highlight w:val="none"/>
              </w:rPr>
              <w:t>开始提供符合合同约定的服务为止。</w:t>
            </w:r>
          </w:p>
          <w:p w14:paraId="045CFA3A">
            <w:pPr>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lang w:eastAsia="zh-CN"/>
              </w:rPr>
              <w:t>）成交供应商</w:t>
            </w:r>
            <w:r>
              <w:rPr>
                <w:rFonts w:hint="eastAsia" w:ascii="仿宋" w:hAnsi="仿宋" w:eastAsia="仿宋" w:cs="仿宋"/>
                <w:color w:val="auto"/>
                <w:szCs w:val="21"/>
                <w:highlight w:val="none"/>
              </w:rPr>
              <w:t>连续 30日未提供售后服务或整改后仍不符合合同约定的，视为</w:t>
            </w:r>
            <w:r>
              <w:rPr>
                <w:rFonts w:hint="eastAsia" w:ascii="仿宋" w:hAnsi="仿宋" w:eastAsia="仿宋" w:cs="仿宋"/>
                <w:color w:val="auto"/>
                <w:szCs w:val="21"/>
                <w:highlight w:val="none"/>
                <w:lang w:eastAsia="zh-CN"/>
              </w:rPr>
              <w:t>成交供应商</w:t>
            </w:r>
            <w:r>
              <w:rPr>
                <w:rFonts w:hint="eastAsia" w:ascii="仿宋" w:hAnsi="仿宋" w:eastAsia="仿宋" w:cs="仿宋"/>
                <w:color w:val="auto"/>
                <w:szCs w:val="21"/>
                <w:highlight w:val="none"/>
              </w:rPr>
              <w:t>根本违约，</w:t>
            </w:r>
            <w:r>
              <w:rPr>
                <w:rFonts w:hint="eastAsia" w:ascii="仿宋" w:hAnsi="仿宋" w:eastAsia="仿宋" w:cs="仿宋"/>
                <w:color w:val="auto"/>
                <w:szCs w:val="21"/>
                <w:highlight w:val="none"/>
                <w:lang w:eastAsia="zh-CN"/>
              </w:rPr>
              <w:t>采购人</w:t>
            </w:r>
            <w:r>
              <w:rPr>
                <w:rFonts w:hint="eastAsia" w:ascii="仿宋" w:hAnsi="仿宋" w:eastAsia="仿宋" w:cs="仿宋"/>
                <w:color w:val="auto"/>
                <w:szCs w:val="21"/>
                <w:highlight w:val="none"/>
              </w:rPr>
              <w:t>有权单方解除合同，</w:t>
            </w:r>
            <w:r>
              <w:rPr>
                <w:rFonts w:hint="eastAsia" w:ascii="仿宋" w:hAnsi="仿宋" w:eastAsia="仿宋" w:cs="仿宋"/>
                <w:color w:val="auto"/>
                <w:szCs w:val="21"/>
                <w:highlight w:val="none"/>
                <w:lang w:eastAsia="zh-CN"/>
              </w:rPr>
              <w:t>成交供应商</w:t>
            </w:r>
            <w:r>
              <w:rPr>
                <w:rFonts w:hint="eastAsia" w:ascii="仿宋" w:hAnsi="仿宋" w:eastAsia="仿宋" w:cs="仿宋"/>
                <w:color w:val="auto"/>
                <w:szCs w:val="21"/>
                <w:highlight w:val="none"/>
              </w:rPr>
              <w:t>应在 5 个工作日内退还</w:t>
            </w:r>
            <w:r>
              <w:rPr>
                <w:rFonts w:hint="eastAsia" w:ascii="仿宋" w:hAnsi="仿宋" w:eastAsia="仿宋" w:cs="仿宋"/>
                <w:color w:val="auto"/>
                <w:szCs w:val="21"/>
                <w:highlight w:val="none"/>
                <w:lang w:eastAsia="zh-CN"/>
              </w:rPr>
              <w:t>采购人</w:t>
            </w:r>
            <w:r>
              <w:rPr>
                <w:rFonts w:hint="eastAsia" w:ascii="仿宋" w:hAnsi="仿宋" w:eastAsia="仿宋" w:cs="仿宋"/>
                <w:color w:val="auto"/>
                <w:szCs w:val="21"/>
                <w:highlight w:val="none"/>
              </w:rPr>
              <w:t>已支付的全部款项（含预付款），并赔偿</w:t>
            </w:r>
            <w:r>
              <w:rPr>
                <w:rFonts w:hint="eastAsia" w:ascii="仿宋" w:hAnsi="仿宋" w:eastAsia="仿宋" w:cs="仿宋"/>
                <w:color w:val="auto"/>
                <w:szCs w:val="21"/>
                <w:highlight w:val="none"/>
                <w:lang w:eastAsia="zh-CN"/>
              </w:rPr>
              <w:t>采购人</w:t>
            </w:r>
            <w:r>
              <w:rPr>
                <w:rFonts w:hint="eastAsia" w:ascii="仿宋" w:hAnsi="仿宋" w:eastAsia="仿宋" w:cs="仿宋"/>
                <w:color w:val="auto"/>
                <w:szCs w:val="21"/>
                <w:highlight w:val="none"/>
              </w:rPr>
              <w:t>因此遭受的全部损失。</w:t>
            </w:r>
          </w:p>
          <w:p w14:paraId="2291CD6D">
            <w:pPr>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lang w:eastAsia="zh-CN"/>
              </w:rPr>
              <w:t>）成交供应商</w:t>
            </w:r>
            <w:r>
              <w:rPr>
                <w:rFonts w:hint="eastAsia" w:ascii="仿宋" w:hAnsi="仿宋" w:eastAsia="仿宋" w:cs="仿宋"/>
                <w:color w:val="auto"/>
                <w:szCs w:val="21"/>
                <w:highlight w:val="none"/>
              </w:rPr>
              <w:t>逾期退还上述款项的，每逾期一天，按应退未退金额的 1‰ 向</w:t>
            </w:r>
            <w:r>
              <w:rPr>
                <w:rFonts w:hint="eastAsia" w:ascii="仿宋" w:hAnsi="仿宋" w:eastAsia="仿宋" w:cs="仿宋"/>
                <w:color w:val="auto"/>
                <w:szCs w:val="21"/>
                <w:highlight w:val="none"/>
                <w:lang w:eastAsia="zh-CN"/>
              </w:rPr>
              <w:t>采购人</w:t>
            </w:r>
            <w:r>
              <w:rPr>
                <w:rFonts w:hint="eastAsia" w:ascii="仿宋" w:hAnsi="仿宋" w:eastAsia="仿宋" w:cs="仿宋"/>
                <w:color w:val="auto"/>
                <w:szCs w:val="21"/>
                <w:highlight w:val="none"/>
              </w:rPr>
              <w:t>另行支付违约金。</w:t>
            </w:r>
          </w:p>
          <w:p w14:paraId="5B4955F6">
            <w:pP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侵犯第三方权利</w:t>
            </w:r>
          </w:p>
          <w:p w14:paraId="4D95CB12">
            <w:pPr>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成交供应商</w:t>
            </w:r>
            <w:r>
              <w:rPr>
                <w:rFonts w:hint="eastAsia" w:ascii="仿宋" w:hAnsi="仿宋" w:eastAsia="仿宋" w:cs="仿宋"/>
                <w:color w:val="auto"/>
                <w:szCs w:val="21"/>
                <w:highlight w:val="none"/>
              </w:rPr>
              <w:t>提供的</w:t>
            </w:r>
            <w:r>
              <w:rPr>
                <w:rFonts w:hint="eastAsia" w:ascii="仿宋" w:hAnsi="仿宋" w:eastAsia="仿宋" w:cs="仿宋"/>
                <w:color w:val="auto"/>
                <w:szCs w:val="21"/>
                <w:highlight w:val="none"/>
                <w:lang w:val="en-US" w:eastAsia="zh-CN"/>
              </w:rPr>
              <w:t>产品</w:t>
            </w:r>
            <w:r>
              <w:rPr>
                <w:rFonts w:hint="eastAsia" w:ascii="仿宋" w:hAnsi="仿宋" w:eastAsia="仿宋" w:cs="仿宋"/>
                <w:color w:val="auto"/>
                <w:szCs w:val="21"/>
                <w:highlight w:val="none"/>
              </w:rPr>
              <w:t>侵犯第三方合法权益的，由</w:t>
            </w:r>
            <w:r>
              <w:rPr>
                <w:rFonts w:hint="eastAsia" w:ascii="仿宋" w:hAnsi="仿宋" w:eastAsia="仿宋" w:cs="仿宋"/>
                <w:color w:val="auto"/>
                <w:szCs w:val="21"/>
                <w:highlight w:val="none"/>
                <w:lang w:eastAsia="zh-CN"/>
              </w:rPr>
              <w:t>成交供应商</w:t>
            </w:r>
            <w:r>
              <w:rPr>
                <w:rFonts w:hint="eastAsia" w:ascii="仿宋" w:hAnsi="仿宋" w:eastAsia="仿宋" w:cs="仿宋"/>
                <w:color w:val="auto"/>
                <w:szCs w:val="21"/>
                <w:highlight w:val="none"/>
              </w:rPr>
              <w:t>负责处理并承担全部责任，同时</w:t>
            </w:r>
            <w:r>
              <w:rPr>
                <w:rFonts w:hint="eastAsia" w:ascii="仿宋" w:hAnsi="仿宋" w:eastAsia="仿宋" w:cs="仿宋"/>
                <w:color w:val="auto"/>
                <w:szCs w:val="21"/>
                <w:highlight w:val="none"/>
                <w:lang w:eastAsia="zh-CN"/>
              </w:rPr>
              <w:t>成交供应商</w:t>
            </w:r>
            <w:r>
              <w:rPr>
                <w:rFonts w:hint="eastAsia" w:ascii="仿宋" w:hAnsi="仿宋" w:eastAsia="仿宋" w:cs="仿宋"/>
                <w:color w:val="auto"/>
                <w:szCs w:val="21"/>
                <w:highlight w:val="none"/>
              </w:rPr>
              <w:t>应向</w:t>
            </w:r>
            <w:r>
              <w:rPr>
                <w:rFonts w:hint="eastAsia" w:ascii="仿宋" w:hAnsi="仿宋" w:eastAsia="仿宋" w:cs="仿宋"/>
                <w:color w:val="auto"/>
                <w:szCs w:val="21"/>
                <w:highlight w:val="none"/>
                <w:lang w:eastAsia="zh-CN"/>
              </w:rPr>
              <w:t>采购人</w:t>
            </w:r>
            <w:r>
              <w:rPr>
                <w:rFonts w:hint="eastAsia" w:ascii="仿宋" w:hAnsi="仿宋" w:eastAsia="仿宋" w:cs="仿宋"/>
                <w:color w:val="auto"/>
                <w:szCs w:val="21"/>
                <w:highlight w:val="none"/>
              </w:rPr>
              <w:t>支付合同总额15% 的违约金，并赔偿</w:t>
            </w:r>
            <w:r>
              <w:rPr>
                <w:rFonts w:hint="eastAsia" w:ascii="仿宋" w:hAnsi="仿宋" w:eastAsia="仿宋" w:cs="仿宋"/>
                <w:color w:val="auto"/>
                <w:szCs w:val="21"/>
                <w:highlight w:val="none"/>
                <w:lang w:eastAsia="zh-CN"/>
              </w:rPr>
              <w:t>采购人</w:t>
            </w:r>
            <w:r>
              <w:rPr>
                <w:rFonts w:hint="eastAsia" w:ascii="仿宋" w:hAnsi="仿宋" w:eastAsia="仿宋" w:cs="仿宋"/>
                <w:color w:val="auto"/>
                <w:szCs w:val="21"/>
                <w:highlight w:val="none"/>
              </w:rPr>
              <w:t>因此遭受的全部损失（包括但不限于律师费、诉讼费、和解费等）。</w:t>
            </w:r>
          </w:p>
          <w:p w14:paraId="5778951E">
            <w:pP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违反保密义务</w:t>
            </w:r>
          </w:p>
          <w:p w14:paraId="47A15F41">
            <w:pP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eastAsia="zh-CN"/>
              </w:rPr>
              <w:t>成交供应商</w:t>
            </w:r>
            <w:r>
              <w:rPr>
                <w:rFonts w:hint="eastAsia" w:ascii="仿宋" w:hAnsi="仿宋" w:eastAsia="仿宋" w:cs="仿宋"/>
                <w:color w:val="auto"/>
                <w:szCs w:val="21"/>
                <w:highlight w:val="none"/>
              </w:rPr>
              <w:t>违反保密义务的，应向</w:t>
            </w:r>
            <w:r>
              <w:rPr>
                <w:rFonts w:hint="eastAsia" w:ascii="仿宋" w:hAnsi="仿宋" w:eastAsia="仿宋" w:cs="仿宋"/>
                <w:color w:val="auto"/>
                <w:szCs w:val="21"/>
                <w:highlight w:val="none"/>
                <w:lang w:eastAsia="zh-CN"/>
              </w:rPr>
              <w:t>采购人</w:t>
            </w:r>
            <w:r>
              <w:rPr>
                <w:rFonts w:hint="eastAsia" w:ascii="仿宋" w:hAnsi="仿宋" w:eastAsia="仿宋" w:cs="仿宋"/>
                <w:color w:val="auto"/>
                <w:szCs w:val="21"/>
                <w:highlight w:val="none"/>
              </w:rPr>
              <w:t>支付合同总额10% 的违约金，并赔偿因此给</w:t>
            </w:r>
            <w:r>
              <w:rPr>
                <w:rFonts w:hint="eastAsia" w:ascii="仿宋" w:hAnsi="仿宋" w:eastAsia="仿宋" w:cs="仿宋"/>
                <w:color w:val="auto"/>
                <w:szCs w:val="21"/>
                <w:highlight w:val="none"/>
                <w:lang w:eastAsia="zh-CN"/>
              </w:rPr>
              <w:t>采购人</w:t>
            </w:r>
            <w:r>
              <w:rPr>
                <w:rFonts w:hint="eastAsia" w:ascii="仿宋" w:hAnsi="仿宋" w:eastAsia="仿宋" w:cs="仿宋"/>
                <w:color w:val="auto"/>
                <w:szCs w:val="21"/>
                <w:highlight w:val="none"/>
              </w:rPr>
              <w:t>造成的全部损失。</w:t>
            </w:r>
          </w:p>
        </w:tc>
      </w:tr>
    </w:tbl>
    <w:p w14:paraId="1B20DCDA">
      <w:pPr>
        <w:rPr>
          <w:color w:val="auto"/>
        </w:rPr>
      </w:pPr>
    </w:p>
    <w:p w14:paraId="0A2B9388">
      <w:pPr>
        <w:rPr>
          <w:color w:val="auto"/>
        </w:rPr>
      </w:pPr>
    </w:p>
    <w:p w14:paraId="23FB6CFB">
      <w:pPr>
        <w:rPr>
          <w:color w:val="auto"/>
        </w:rPr>
      </w:pPr>
    </w:p>
    <w:p w14:paraId="0F21DE97">
      <w:pPr>
        <w:pStyle w:val="2"/>
        <w:rPr>
          <w:color w:val="auto"/>
        </w:rPr>
      </w:pPr>
    </w:p>
    <w:p w14:paraId="39557313">
      <w:pPr>
        <w:rPr>
          <w:color w:val="auto"/>
        </w:rPr>
      </w:pPr>
    </w:p>
    <w:p w14:paraId="2F424349">
      <w:pPr>
        <w:rPr>
          <w:color w:val="auto"/>
        </w:rPr>
      </w:pPr>
    </w:p>
    <w:p w14:paraId="6DC794BB">
      <w:pPr>
        <w:rPr>
          <w:color w:val="auto"/>
        </w:rPr>
      </w:pPr>
    </w:p>
    <w:p w14:paraId="06B419D0">
      <w:pPr>
        <w:rPr>
          <w:color w:val="auto"/>
        </w:rPr>
      </w:pPr>
    </w:p>
    <w:p w14:paraId="49F6663D">
      <w:pPr>
        <w:rPr>
          <w:color w:val="auto"/>
        </w:rPr>
      </w:pPr>
    </w:p>
    <w:p w14:paraId="221582D8">
      <w:pPr>
        <w:rPr>
          <w:color w:val="auto"/>
        </w:rPr>
      </w:pPr>
    </w:p>
    <w:p w14:paraId="6DFC6825">
      <w:pPr>
        <w:rPr>
          <w:color w:val="auto"/>
        </w:rPr>
      </w:pPr>
    </w:p>
    <w:p w14:paraId="7BE93525">
      <w:pPr>
        <w:rPr>
          <w:color w:val="auto"/>
        </w:rPr>
      </w:pPr>
    </w:p>
    <w:p w14:paraId="46B2A6B6">
      <w:pPr>
        <w:rPr>
          <w:color w:val="auto"/>
        </w:rPr>
      </w:pPr>
    </w:p>
    <w:p w14:paraId="1255FF09">
      <w:pPr>
        <w:rPr>
          <w:color w:val="auto"/>
        </w:rPr>
      </w:pPr>
    </w:p>
    <w:p w14:paraId="5D2898B6">
      <w:pPr>
        <w:rPr>
          <w:color w:val="auto"/>
        </w:rPr>
      </w:pPr>
    </w:p>
    <w:p w14:paraId="392D8743">
      <w:pPr>
        <w:rPr>
          <w:color w:val="auto"/>
        </w:rPr>
      </w:pPr>
    </w:p>
    <w:p w14:paraId="78598FC5">
      <w:pPr>
        <w:rPr>
          <w:color w:val="auto"/>
        </w:rPr>
      </w:pPr>
    </w:p>
    <w:p w14:paraId="35660439">
      <w:pPr>
        <w:rPr>
          <w:color w:val="auto"/>
        </w:rPr>
      </w:pPr>
    </w:p>
    <w:p w14:paraId="5BF58E99">
      <w:pPr>
        <w:rPr>
          <w:color w:val="auto"/>
        </w:rPr>
      </w:pPr>
    </w:p>
    <w:p w14:paraId="1616232B">
      <w:pPr>
        <w:rPr>
          <w:color w:val="auto"/>
        </w:rPr>
      </w:pPr>
    </w:p>
    <w:p w14:paraId="36731A14">
      <w:pPr>
        <w:rPr>
          <w:color w:val="auto"/>
        </w:rPr>
      </w:pPr>
    </w:p>
    <w:p w14:paraId="7A4216C2">
      <w:pPr>
        <w:pStyle w:val="2"/>
        <w:rPr>
          <w:color w:val="auto"/>
        </w:rPr>
      </w:pPr>
    </w:p>
    <w:p w14:paraId="0969DBD9">
      <w:pPr>
        <w:rPr>
          <w:color w:val="auto"/>
        </w:rPr>
      </w:pPr>
    </w:p>
    <w:p w14:paraId="3CC4AA37">
      <w:pPr>
        <w:pStyle w:val="2"/>
        <w:rPr>
          <w:color w:val="auto"/>
        </w:rPr>
      </w:pPr>
    </w:p>
    <w:p w14:paraId="53E96C01">
      <w:pPr>
        <w:rPr>
          <w:color w:val="auto"/>
        </w:rPr>
      </w:pPr>
    </w:p>
    <w:p w14:paraId="25E6A738">
      <w:pPr>
        <w:pStyle w:val="2"/>
        <w:rPr>
          <w:color w:val="auto"/>
        </w:rPr>
      </w:pPr>
    </w:p>
    <w:p w14:paraId="2B1CB1C5">
      <w:pPr>
        <w:rPr>
          <w:color w:val="auto"/>
        </w:rPr>
      </w:pPr>
    </w:p>
    <w:p w14:paraId="3A529323">
      <w:pPr>
        <w:pStyle w:val="2"/>
        <w:rPr>
          <w:color w:val="auto"/>
        </w:rPr>
      </w:pPr>
    </w:p>
    <w:p w14:paraId="168302D2">
      <w:pPr>
        <w:rPr>
          <w:color w:val="auto"/>
        </w:rPr>
      </w:pPr>
    </w:p>
    <w:p w14:paraId="1F435380">
      <w:pP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附件1</w:t>
      </w:r>
    </w:p>
    <w:p w14:paraId="20E86FA4">
      <w:pPr>
        <w:pStyle w:val="6"/>
        <w:spacing w:before="12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t>广西中医药大学附设中医学校（广西中医学校）</w:t>
      </w:r>
      <w:r>
        <w:rPr>
          <w:rFonts w:hint="eastAsia" w:ascii="黑体" w:hAnsi="黑体" w:eastAsia="黑体" w:cs="黑体"/>
          <w:color w:val="auto"/>
          <w:sz w:val="36"/>
          <w:szCs w:val="36"/>
          <w:highlight w:val="none"/>
          <w:lang w:eastAsia="zh-CN"/>
        </w:rPr>
        <w:t>智慧黑板及教学一体机采购项目</w:t>
      </w:r>
      <w:r>
        <w:rPr>
          <w:rFonts w:hint="eastAsia" w:ascii="黑体" w:hAnsi="黑体" w:eastAsia="黑体" w:cs="黑体"/>
          <w:color w:val="auto"/>
          <w:sz w:val="36"/>
          <w:szCs w:val="36"/>
          <w:highlight w:val="none"/>
        </w:rPr>
        <w:t>报价表（必须提供）</w:t>
      </w:r>
    </w:p>
    <w:tbl>
      <w:tblPr>
        <w:tblStyle w:val="10"/>
        <w:tblW w:w="851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50"/>
        <w:gridCol w:w="1334"/>
        <w:gridCol w:w="1411"/>
        <w:gridCol w:w="650"/>
        <w:gridCol w:w="864"/>
        <w:gridCol w:w="864"/>
        <w:gridCol w:w="2744"/>
      </w:tblGrid>
      <w:tr w14:paraId="00DB7D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0" w:type="auto"/>
            <w:tcBorders>
              <w:top w:val="single" w:color="auto" w:sz="4" w:space="0"/>
              <w:left w:val="single" w:color="auto" w:sz="4" w:space="0"/>
              <w:bottom w:val="single" w:color="auto" w:sz="4" w:space="0"/>
              <w:right w:val="single" w:color="auto" w:sz="4" w:space="0"/>
            </w:tcBorders>
            <w:vAlign w:val="center"/>
          </w:tcPr>
          <w:p w14:paraId="437B86DE">
            <w:pPr>
              <w:spacing w:line="240" w:lineRule="auto"/>
              <w:ind w:left="0" w:leftChars="0" w:right="0" w:rightChars="0" w:firstLine="0" w:firstLineChars="0"/>
              <w:jc w:val="center"/>
              <w:rPr>
                <w:rFonts w:ascii="宋体" w:hAnsi="宋体" w:cs="仿宋_GB2312"/>
                <w:b/>
                <w:bCs/>
                <w:color w:val="auto"/>
                <w:szCs w:val="21"/>
                <w:highlight w:val="none"/>
              </w:rPr>
            </w:pPr>
            <w:r>
              <w:rPr>
                <w:rFonts w:hint="eastAsia" w:ascii="宋体" w:hAnsi="宋体" w:cs="仿宋_GB2312"/>
                <w:b/>
                <w:bCs/>
                <w:color w:val="auto"/>
                <w:szCs w:val="21"/>
                <w:highlight w:val="none"/>
              </w:rPr>
              <w:t>项号</w:t>
            </w:r>
          </w:p>
        </w:tc>
        <w:tc>
          <w:tcPr>
            <w:tcW w:w="0" w:type="auto"/>
            <w:tcBorders>
              <w:top w:val="single" w:color="auto" w:sz="4" w:space="0"/>
              <w:left w:val="single" w:color="auto" w:sz="4" w:space="0"/>
              <w:bottom w:val="single" w:color="auto" w:sz="4" w:space="0"/>
              <w:right w:val="single" w:color="auto" w:sz="4" w:space="0"/>
            </w:tcBorders>
            <w:vAlign w:val="center"/>
          </w:tcPr>
          <w:p w14:paraId="11B7AC20">
            <w:pPr>
              <w:spacing w:line="240" w:lineRule="auto"/>
              <w:ind w:left="0" w:leftChars="0" w:right="0" w:rightChars="0" w:firstLine="0" w:firstLineChars="0"/>
              <w:jc w:val="center"/>
              <w:rPr>
                <w:rFonts w:ascii="宋体" w:hAnsi="宋体" w:cs="仿宋_GB2312"/>
                <w:b/>
                <w:bCs/>
                <w:color w:val="auto"/>
                <w:szCs w:val="21"/>
                <w:highlight w:val="none"/>
              </w:rPr>
            </w:pPr>
            <w:r>
              <w:rPr>
                <w:rFonts w:hint="eastAsia" w:ascii="宋体" w:hAnsi="宋体" w:cs="仿宋_GB2312"/>
                <w:b/>
                <w:bCs/>
                <w:color w:val="auto"/>
                <w:szCs w:val="21"/>
                <w:highlight w:val="none"/>
              </w:rPr>
              <w:t>货物名称</w:t>
            </w:r>
          </w:p>
        </w:tc>
        <w:tc>
          <w:tcPr>
            <w:tcW w:w="0" w:type="auto"/>
            <w:tcBorders>
              <w:top w:val="single" w:color="auto" w:sz="4" w:space="0"/>
              <w:left w:val="single" w:color="auto" w:sz="4" w:space="0"/>
              <w:bottom w:val="single" w:color="auto" w:sz="4" w:space="0"/>
              <w:right w:val="single" w:color="auto" w:sz="4" w:space="0"/>
            </w:tcBorders>
            <w:vAlign w:val="center"/>
          </w:tcPr>
          <w:p w14:paraId="0A8865A4">
            <w:pPr>
              <w:spacing w:line="240" w:lineRule="auto"/>
              <w:ind w:left="0" w:leftChars="0" w:right="0" w:rightChars="0" w:firstLine="0" w:firstLineChars="0"/>
              <w:jc w:val="center"/>
              <w:rPr>
                <w:rFonts w:hint="default" w:ascii="宋体" w:hAnsi="宋体" w:eastAsia="宋体" w:cs="仿宋_GB2312"/>
                <w:b/>
                <w:bCs/>
                <w:color w:val="auto"/>
                <w:szCs w:val="21"/>
                <w:highlight w:val="none"/>
                <w:lang w:val="en-US" w:eastAsia="zh-CN"/>
              </w:rPr>
            </w:pPr>
            <w:r>
              <w:rPr>
                <w:rFonts w:hint="eastAsia" w:ascii="宋体" w:hAnsi="宋体" w:cs="仿宋_GB2312"/>
                <w:b/>
                <w:bCs/>
                <w:color w:val="auto"/>
                <w:szCs w:val="21"/>
                <w:highlight w:val="none"/>
              </w:rPr>
              <w:t>品牌</w:t>
            </w:r>
            <w:r>
              <w:rPr>
                <w:rFonts w:hint="eastAsia" w:ascii="宋体" w:hAnsi="宋体" w:cs="仿宋_GB2312"/>
                <w:b/>
                <w:bCs/>
                <w:color w:val="auto"/>
                <w:szCs w:val="21"/>
                <w:highlight w:val="none"/>
                <w:lang w:val="en-US" w:eastAsia="zh-CN"/>
              </w:rPr>
              <w:t>及型号</w:t>
            </w:r>
          </w:p>
        </w:tc>
        <w:tc>
          <w:tcPr>
            <w:tcW w:w="0" w:type="auto"/>
            <w:tcBorders>
              <w:top w:val="single" w:color="auto" w:sz="4" w:space="0"/>
              <w:left w:val="single" w:color="auto" w:sz="4" w:space="0"/>
              <w:bottom w:val="single" w:color="auto" w:sz="4" w:space="0"/>
              <w:right w:val="single" w:color="auto" w:sz="4" w:space="0"/>
            </w:tcBorders>
            <w:vAlign w:val="center"/>
          </w:tcPr>
          <w:p w14:paraId="711EF22C">
            <w:pPr>
              <w:spacing w:line="240" w:lineRule="auto"/>
              <w:ind w:left="0" w:leftChars="0" w:right="0" w:rightChars="0" w:firstLine="0" w:firstLineChars="0"/>
              <w:jc w:val="center"/>
              <w:rPr>
                <w:rFonts w:ascii="宋体" w:hAnsi="宋体" w:cs="仿宋_GB2312"/>
                <w:b/>
                <w:bCs/>
                <w:color w:val="auto"/>
                <w:szCs w:val="21"/>
                <w:highlight w:val="none"/>
              </w:rPr>
            </w:pPr>
            <w:r>
              <w:rPr>
                <w:rFonts w:hint="eastAsia" w:ascii="宋体" w:hAnsi="宋体" w:cs="仿宋_GB2312"/>
                <w:b/>
                <w:bCs/>
                <w:color w:val="auto"/>
                <w:szCs w:val="21"/>
                <w:highlight w:val="none"/>
              </w:rPr>
              <w:t>单位</w:t>
            </w:r>
          </w:p>
        </w:tc>
        <w:tc>
          <w:tcPr>
            <w:tcW w:w="0" w:type="auto"/>
            <w:tcBorders>
              <w:top w:val="single" w:color="auto" w:sz="4" w:space="0"/>
              <w:left w:val="single" w:color="auto" w:sz="4" w:space="0"/>
              <w:bottom w:val="single" w:color="auto" w:sz="4" w:space="0"/>
              <w:right w:val="single" w:color="auto" w:sz="4" w:space="0"/>
            </w:tcBorders>
            <w:vAlign w:val="center"/>
          </w:tcPr>
          <w:p w14:paraId="6A76969F">
            <w:pPr>
              <w:spacing w:line="240" w:lineRule="auto"/>
              <w:ind w:left="0" w:leftChars="0" w:right="0" w:rightChars="0" w:firstLine="0" w:firstLineChars="0"/>
              <w:jc w:val="center"/>
              <w:rPr>
                <w:rFonts w:ascii="宋体" w:hAnsi="宋体" w:cs="仿宋_GB2312"/>
                <w:b/>
                <w:bCs/>
                <w:color w:val="auto"/>
                <w:szCs w:val="21"/>
                <w:highlight w:val="none"/>
              </w:rPr>
            </w:pPr>
            <w:r>
              <w:rPr>
                <w:rFonts w:hint="eastAsia" w:ascii="宋体" w:hAnsi="宋体" w:cs="仿宋_GB2312"/>
                <w:b/>
                <w:bCs/>
                <w:color w:val="auto"/>
                <w:szCs w:val="21"/>
                <w:highlight w:val="none"/>
              </w:rPr>
              <w:t>数量①</w:t>
            </w:r>
          </w:p>
        </w:tc>
        <w:tc>
          <w:tcPr>
            <w:tcW w:w="0" w:type="auto"/>
            <w:tcBorders>
              <w:top w:val="single" w:color="auto" w:sz="4" w:space="0"/>
              <w:left w:val="single" w:color="auto" w:sz="4" w:space="0"/>
              <w:bottom w:val="single" w:color="auto" w:sz="4" w:space="0"/>
              <w:right w:val="single" w:color="auto" w:sz="4" w:space="0"/>
            </w:tcBorders>
            <w:vAlign w:val="center"/>
          </w:tcPr>
          <w:p w14:paraId="5D60761F">
            <w:pPr>
              <w:spacing w:line="240" w:lineRule="auto"/>
              <w:ind w:left="0" w:leftChars="0" w:right="0" w:rightChars="0" w:firstLine="0" w:firstLineChars="0"/>
              <w:jc w:val="center"/>
              <w:rPr>
                <w:rFonts w:ascii="宋体" w:hAnsi="宋体" w:cs="仿宋_GB2312"/>
                <w:b/>
                <w:bCs/>
                <w:color w:val="auto"/>
                <w:szCs w:val="21"/>
                <w:highlight w:val="none"/>
              </w:rPr>
            </w:pPr>
            <w:r>
              <w:rPr>
                <w:rFonts w:hint="eastAsia" w:ascii="宋体" w:hAnsi="宋体" w:cs="仿宋_GB2312"/>
                <w:b/>
                <w:bCs/>
                <w:color w:val="auto"/>
                <w:szCs w:val="21"/>
                <w:highlight w:val="none"/>
              </w:rPr>
              <w:t>单价②</w:t>
            </w:r>
          </w:p>
        </w:tc>
        <w:tc>
          <w:tcPr>
            <w:tcW w:w="2695" w:type="dxa"/>
            <w:tcBorders>
              <w:top w:val="single" w:color="auto" w:sz="4" w:space="0"/>
              <w:left w:val="single" w:color="auto" w:sz="4" w:space="0"/>
              <w:bottom w:val="single" w:color="auto" w:sz="4" w:space="0"/>
              <w:right w:val="single" w:color="auto" w:sz="4" w:space="0"/>
            </w:tcBorders>
            <w:vAlign w:val="center"/>
          </w:tcPr>
          <w:p w14:paraId="243E359A">
            <w:pPr>
              <w:spacing w:line="240" w:lineRule="auto"/>
              <w:ind w:left="0" w:leftChars="0" w:right="0" w:rightChars="0" w:firstLine="0" w:firstLineChars="0"/>
              <w:jc w:val="center"/>
              <w:rPr>
                <w:rFonts w:ascii="宋体" w:hAnsi="宋体" w:cs="仿宋_GB2312"/>
                <w:b/>
                <w:bCs/>
                <w:color w:val="auto"/>
                <w:szCs w:val="21"/>
                <w:highlight w:val="none"/>
              </w:rPr>
            </w:pPr>
            <w:r>
              <w:rPr>
                <w:rFonts w:hint="eastAsia" w:ascii="宋体" w:hAnsi="宋体" w:cs="仿宋_GB2312"/>
                <w:b/>
                <w:bCs/>
                <w:color w:val="auto"/>
                <w:szCs w:val="21"/>
                <w:highlight w:val="none"/>
              </w:rPr>
              <w:t>竞标报价③=①×②</w:t>
            </w:r>
          </w:p>
        </w:tc>
      </w:tr>
      <w:tr w14:paraId="7643CB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3" w:hRule="atLeast"/>
        </w:trPr>
        <w:tc>
          <w:tcPr>
            <w:tcW w:w="0" w:type="auto"/>
            <w:tcBorders>
              <w:top w:val="single" w:color="auto" w:sz="4" w:space="0"/>
              <w:left w:val="single" w:color="auto" w:sz="4" w:space="0"/>
              <w:bottom w:val="single" w:color="auto" w:sz="4" w:space="0"/>
              <w:right w:val="single" w:color="auto" w:sz="4" w:space="0"/>
            </w:tcBorders>
            <w:vAlign w:val="center"/>
          </w:tcPr>
          <w:p w14:paraId="60DC7CD3">
            <w:pPr>
              <w:spacing w:line="240" w:lineRule="auto"/>
              <w:ind w:left="0" w:leftChars="0" w:right="0" w:rightChars="0" w:firstLine="0" w:firstLineChars="0"/>
              <w:jc w:val="center"/>
              <w:rPr>
                <w:rFonts w:ascii="宋体" w:hAnsi="宋体" w:cs="仿宋_GB2312"/>
                <w:color w:val="auto"/>
                <w:szCs w:val="21"/>
                <w:highlight w:val="none"/>
              </w:rPr>
            </w:pPr>
            <w:r>
              <w:rPr>
                <w:rFonts w:hint="eastAsia" w:ascii="宋体" w:hAnsi="宋体" w:cs="仿宋_GB2312"/>
                <w:color w:val="auto"/>
                <w:szCs w:val="21"/>
                <w:highlight w:val="none"/>
              </w:rPr>
              <w:t>1</w:t>
            </w:r>
          </w:p>
        </w:tc>
        <w:tc>
          <w:tcPr>
            <w:tcW w:w="1311" w:type="dxa"/>
            <w:tcBorders>
              <w:top w:val="single" w:color="auto" w:sz="4" w:space="0"/>
              <w:left w:val="single" w:color="auto" w:sz="4" w:space="0"/>
              <w:bottom w:val="single" w:color="auto" w:sz="4" w:space="0"/>
              <w:right w:val="single" w:color="auto" w:sz="4" w:space="0"/>
            </w:tcBorders>
            <w:vAlign w:val="center"/>
          </w:tcPr>
          <w:p w14:paraId="4CB92601">
            <w:pPr>
              <w:spacing w:line="288" w:lineRule="auto"/>
              <w:jc w:val="center"/>
              <w:rPr>
                <w:rFonts w:ascii="宋体" w:hAnsi="宋体" w:cs="仿宋_GB2312"/>
                <w:color w:val="auto"/>
                <w:szCs w:val="21"/>
                <w:highlight w:val="none"/>
              </w:rPr>
            </w:pPr>
            <w:r>
              <w:rPr>
                <w:rFonts w:hint="eastAsia" w:ascii="宋体" w:hAnsi="宋体" w:cs="宋体"/>
                <w:color w:val="auto"/>
                <w:sz w:val="20"/>
                <w:szCs w:val="20"/>
              </w:rPr>
              <w:t>智慧</w:t>
            </w:r>
            <w:r>
              <w:rPr>
                <w:rFonts w:ascii="宋体" w:hAnsi="宋体" w:cs="宋体"/>
                <w:color w:val="auto"/>
                <w:sz w:val="20"/>
                <w:szCs w:val="20"/>
              </w:rPr>
              <w:t>黑板</w:t>
            </w:r>
          </w:p>
        </w:tc>
        <w:tc>
          <w:tcPr>
            <w:tcW w:w="1386" w:type="dxa"/>
            <w:tcBorders>
              <w:top w:val="single" w:color="auto" w:sz="4" w:space="0"/>
              <w:left w:val="single" w:color="auto" w:sz="4" w:space="0"/>
              <w:bottom w:val="single" w:color="auto" w:sz="4" w:space="0"/>
              <w:right w:val="single" w:color="auto" w:sz="4" w:space="0"/>
            </w:tcBorders>
            <w:vAlign w:val="center"/>
          </w:tcPr>
          <w:p w14:paraId="4DA58B2C">
            <w:pPr>
              <w:spacing w:line="288" w:lineRule="auto"/>
              <w:jc w:val="center"/>
              <w:rPr>
                <w:rFonts w:ascii="宋体" w:hAnsi="宋体" w:cs="仿宋_GB2312"/>
                <w:color w:val="auto"/>
                <w:szCs w:val="21"/>
                <w:highlight w:val="none"/>
              </w:rPr>
            </w:pPr>
            <w:r>
              <w:rPr>
                <w:rFonts w:hint="eastAsia" w:ascii="宋体" w:hAnsi="宋体" w:cs="宋体"/>
                <w:color w:val="auto"/>
                <w:sz w:val="20"/>
                <w:szCs w:val="20"/>
              </w:rPr>
              <w:t>希沃</w:t>
            </w:r>
            <w:r>
              <w:rPr>
                <w:rFonts w:ascii="宋体" w:hAnsi="宋体" w:cs="宋体"/>
                <w:color w:val="auto"/>
                <w:sz w:val="20"/>
                <w:szCs w:val="20"/>
              </w:rPr>
              <w:t>BH86EA</w:t>
            </w:r>
          </w:p>
        </w:tc>
        <w:tc>
          <w:tcPr>
            <w:tcW w:w="0" w:type="auto"/>
            <w:tcBorders>
              <w:top w:val="single" w:color="auto" w:sz="4" w:space="0"/>
              <w:left w:val="single" w:color="auto" w:sz="4" w:space="0"/>
              <w:bottom w:val="single" w:color="auto" w:sz="4" w:space="0"/>
              <w:right w:val="single" w:color="auto" w:sz="4" w:space="0"/>
            </w:tcBorders>
            <w:vAlign w:val="center"/>
          </w:tcPr>
          <w:p w14:paraId="50F62B48">
            <w:pPr>
              <w:spacing w:line="240" w:lineRule="auto"/>
              <w:ind w:left="0" w:leftChars="0" w:right="0" w:rightChars="0" w:firstLine="0" w:firstLineChars="0"/>
              <w:jc w:val="center"/>
              <w:rPr>
                <w:rFonts w:hint="default" w:ascii="宋体" w:hAnsi="宋体" w:eastAsia="宋体" w:cs="仿宋_GB2312"/>
                <w:b/>
                <w:bCs/>
                <w:color w:val="auto"/>
                <w:szCs w:val="21"/>
                <w:highlight w:val="none"/>
                <w:lang w:val="en-US" w:eastAsia="zh-CN"/>
              </w:rPr>
            </w:pPr>
            <w:r>
              <w:rPr>
                <w:rFonts w:hint="eastAsia" w:ascii="宋体" w:hAnsi="宋体" w:cs="仿宋_GB2312"/>
                <w:b/>
                <w:bCs/>
                <w:color w:val="auto"/>
                <w:szCs w:val="21"/>
                <w:highlight w:val="none"/>
                <w:lang w:val="en-US" w:eastAsia="zh-CN"/>
              </w:rPr>
              <w:t>套</w:t>
            </w:r>
          </w:p>
        </w:tc>
        <w:tc>
          <w:tcPr>
            <w:tcW w:w="0" w:type="auto"/>
            <w:tcBorders>
              <w:top w:val="single" w:color="auto" w:sz="4" w:space="0"/>
              <w:left w:val="single" w:color="auto" w:sz="4" w:space="0"/>
              <w:bottom w:val="single" w:color="auto" w:sz="4" w:space="0"/>
              <w:right w:val="single" w:color="auto" w:sz="4" w:space="0"/>
            </w:tcBorders>
            <w:vAlign w:val="center"/>
          </w:tcPr>
          <w:p w14:paraId="7E3AE455">
            <w:pPr>
              <w:spacing w:line="240" w:lineRule="auto"/>
              <w:ind w:left="0" w:leftChars="0" w:right="0" w:rightChars="0" w:firstLine="0" w:firstLineChars="0"/>
              <w:jc w:val="center"/>
              <w:rPr>
                <w:rFonts w:hint="eastAsia" w:ascii="宋体" w:hAnsi="宋体" w:eastAsia="宋体" w:cs="仿宋_GB2312"/>
                <w:b/>
                <w:bCs/>
                <w:color w:val="auto"/>
                <w:szCs w:val="21"/>
                <w:highlight w:val="none"/>
                <w:lang w:val="en-US" w:eastAsia="zh-CN"/>
              </w:rPr>
            </w:pPr>
            <w:r>
              <w:rPr>
                <w:rFonts w:hint="eastAsia" w:ascii="宋体" w:hAnsi="宋体" w:cs="仿宋_GB2312"/>
                <w:b/>
                <w:bCs/>
                <w:color w:val="auto"/>
                <w:szCs w:val="21"/>
                <w:highlight w:val="none"/>
                <w:lang w:val="en-US" w:eastAsia="zh-CN"/>
              </w:rPr>
              <w:t>2</w:t>
            </w:r>
          </w:p>
        </w:tc>
        <w:tc>
          <w:tcPr>
            <w:tcW w:w="0" w:type="auto"/>
            <w:tcBorders>
              <w:top w:val="single" w:color="auto" w:sz="4" w:space="0"/>
              <w:left w:val="single" w:color="auto" w:sz="4" w:space="0"/>
              <w:bottom w:val="single" w:color="auto" w:sz="4" w:space="0"/>
              <w:right w:val="single" w:color="auto" w:sz="4" w:space="0"/>
            </w:tcBorders>
            <w:vAlign w:val="center"/>
          </w:tcPr>
          <w:p w14:paraId="7F923A00">
            <w:pPr>
              <w:spacing w:line="240" w:lineRule="auto"/>
              <w:ind w:left="0" w:leftChars="0" w:right="0" w:rightChars="0" w:firstLine="0" w:firstLineChars="0"/>
              <w:jc w:val="center"/>
              <w:rPr>
                <w:rFonts w:ascii="宋体" w:hAnsi="宋体" w:cs="仿宋_GB2312"/>
                <w:color w:val="auto"/>
                <w:szCs w:val="21"/>
                <w:highlight w:val="none"/>
              </w:rPr>
            </w:pPr>
          </w:p>
        </w:tc>
        <w:tc>
          <w:tcPr>
            <w:tcW w:w="2695" w:type="dxa"/>
            <w:tcBorders>
              <w:top w:val="single" w:color="auto" w:sz="4" w:space="0"/>
              <w:left w:val="single" w:color="auto" w:sz="4" w:space="0"/>
              <w:bottom w:val="single" w:color="auto" w:sz="4" w:space="0"/>
              <w:right w:val="single" w:color="auto" w:sz="4" w:space="0"/>
            </w:tcBorders>
            <w:vAlign w:val="center"/>
          </w:tcPr>
          <w:p w14:paraId="63A77290">
            <w:pPr>
              <w:spacing w:line="240" w:lineRule="auto"/>
              <w:ind w:left="0" w:leftChars="0" w:right="0" w:rightChars="0" w:firstLine="0" w:firstLineChars="0"/>
              <w:jc w:val="center"/>
              <w:rPr>
                <w:rFonts w:ascii="宋体" w:hAnsi="宋体" w:cs="仿宋_GB2312"/>
                <w:color w:val="auto"/>
                <w:szCs w:val="21"/>
                <w:highlight w:val="none"/>
              </w:rPr>
            </w:pPr>
          </w:p>
        </w:tc>
      </w:tr>
      <w:tr w14:paraId="040D54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3" w:hRule="atLeast"/>
        </w:trPr>
        <w:tc>
          <w:tcPr>
            <w:tcW w:w="0" w:type="auto"/>
            <w:tcBorders>
              <w:top w:val="single" w:color="auto" w:sz="4" w:space="0"/>
              <w:left w:val="single" w:color="auto" w:sz="4" w:space="0"/>
              <w:bottom w:val="single" w:color="auto" w:sz="4" w:space="0"/>
              <w:right w:val="single" w:color="auto" w:sz="4" w:space="0"/>
            </w:tcBorders>
            <w:vAlign w:val="center"/>
          </w:tcPr>
          <w:p w14:paraId="2074FA3E">
            <w:pPr>
              <w:spacing w:line="240" w:lineRule="auto"/>
              <w:ind w:left="0" w:leftChars="0" w:right="0" w:rightChars="0" w:firstLine="0" w:firstLineChars="0"/>
              <w:jc w:val="center"/>
              <w:rPr>
                <w:rFonts w:ascii="宋体" w:hAnsi="宋体" w:cs="仿宋_GB2312"/>
                <w:color w:val="auto"/>
                <w:szCs w:val="21"/>
                <w:highlight w:val="none"/>
              </w:rPr>
            </w:pPr>
            <w:r>
              <w:rPr>
                <w:rFonts w:hint="eastAsia" w:ascii="宋体" w:hAnsi="宋体" w:cs="仿宋_GB2312"/>
                <w:color w:val="auto"/>
                <w:szCs w:val="21"/>
                <w:highlight w:val="none"/>
              </w:rPr>
              <w:t>2</w:t>
            </w:r>
          </w:p>
        </w:tc>
        <w:tc>
          <w:tcPr>
            <w:tcW w:w="0" w:type="auto"/>
            <w:tcBorders>
              <w:top w:val="single" w:color="auto" w:sz="4" w:space="0"/>
              <w:left w:val="single" w:color="auto" w:sz="4" w:space="0"/>
              <w:bottom w:val="single" w:color="auto" w:sz="4" w:space="0"/>
              <w:right w:val="single" w:color="auto" w:sz="4" w:space="0"/>
            </w:tcBorders>
            <w:vAlign w:val="center"/>
          </w:tcPr>
          <w:p w14:paraId="31464392">
            <w:pPr>
              <w:spacing w:line="288" w:lineRule="auto"/>
              <w:jc w:val="center"/>
              <w:rPr>
                <w:rFonts w:ascii="宋体" w:hAnsi="宋体" w:cs="宋体"/>
                <w:color w:val="auto"/>
                <w:sz w:val="20"/>
                <w:szCs w:val="20"/>
              </w:rPr>
            </w:pPr>
            <w:r>
              <w:rPr>
                <w:rFonts w:hint="eastAsia" w:ascii="宋体" w:hAnsi="宋体" w:cs="宋体"/>
                <w:color w:val="auto"/>
                <w:sz w:val="20"/>
                <w:szCs w:val="20"/>
              </w:rPr>
              <w:t>教学</w:t>
            </w:r>
          </w:p>
          <w:p w14:paraId="380153AE">
            <w:pPr>
              <w:spacing w:line="240" w:lineRule="auto"/>
              <w:ind w:left="0" w:leftChars="0" w:right="0" w:rightChars="0" w:firstLine="0" w:firstLineChars="0"/>
              <w:jc w:val="center"/>
              <w:rPr>
                <w:rFonts w:ascii="宋体" w:hAnsi="宋体" w:cs="仿宋_GB2312"/>
                <w:color w:val="auto"/>
                <w:szCs w:val="21"/>
                <w:highlight w:val="none"/>
              </w:rPr>
            </w:pPr>
            <w:r>
              <w:rPr>
                <w:rFonts w:hint="eastAsia" w:ascii="宋体" w:hAnsi="宋体" w:cs="宋体"/>
                <w:color w:val="auto"/>
                <w:sz w:val="20"/>
                <w:szCs w:val="20"/>
              </w:rPr>
              <w:t>一体机</w:t>
            </w:r>
          </w:p>
        </w:tc>
        <w:tc>
          <w:tcPr>
            <w:tcW w:w="0" w:type="auto"/>
            <w:tcBorders>
              <w:top w:val="single" w:color="auto" w:sz="4" w:space="0"/>
              <w:left w:val="single" w:color="auto" w:sz="4" w:space="0"/>
              <w:bottom w:val="single" w:color="auto" w:sz="4" w:space="0"/>
              <w:right w:val="single" w:color="auto" w:sz="4" w:space="0"/>
            </w:tcBorders>
            <w:vAlign w:val="center"/>
          </w:tcPr>
          <w:p w14:paraId="669BE32D">
            <w:pPr>
              <w:spacing w:line="240" w:lineRule="auto"/>
              <w:ind w:left="0" w:leftChars="0" w:right="0" w:rightChars="0" w:firstLine="0" w:firstLineChars="0"/>
              <w:jc w:val="center"/>
              <w:rPr>
                <w:rFonts w:ascii="宋体" w:hAnsi="宋体" w:cs="仿宋_GB2312"/>
                <w:color w:val="auto"/>
                <w:szCs w:val="21"/>
                <w:highlight w:val="none"/>
              </w:rPr>
            </w:pPr>
            <w:r>
              <w:rPr>
                <w:rFonts w:hint="eastAsia" w:ascii="宋体" w:hAnsi="宋体" w:cs="仿宋_GB2312"/>
                <w:color w:val="auto"/>
                <w:szCs w:val="21"/>
                <w:highlight w:val="none"/>
              </w:rPr>
              <w:t>希沃FH86EA</w:t>
            </w:r>
          </w:p>
        </w:tc>
        <w:tc>
          <w:tcPr>
            <w:tcW w:w="0" w:type="auto"/>
            <w:tcBorders>
              <w:top w:val="single" w:color="auto" w:sz="4" w:space="0"/>
              <w:left w:val="single" w:color="auto" w:sz="4" w:space="0"/>
              <w:bottom w:val="single" w:color="auto" w:sz="4" w:space="0"/>
              <w:right w:val="single" w:color="auto" w:sz="4" w:space="0"/>
            </w:tcBorders>
            <w:vAlign w:val="center"/>
          </w:tcPr>
          <w:p w14:paraId="734C7375">
            <w:pPr>
              <w:spacing w:line="240" w:lineRule="auto"/>
              <w:ind w:left="0" w:leftChars="0" w:right="0" w:rightChars="0" w:firstLine="0" w:firstLineChars="0"/>
              <w:jc w:val="center"/>
              <w:rPr>
                <w:rFonts w:hint="eastAsia" w:ascii="宋体" w:hAnsi="宋体" w:eastAsia="宋体" w:cs="仿宋_GB2312"/>
                <w:b/>
                <w:bCs/>
                <w:color w:val="auto"/>
                <w:szCs w:val="21"/>
                <w:highlight w:val="none"/>
                <w:lang w:val="en-US" w:eastAsia="zh-CN"/>
              </w:rPr>
            </w:pPr>
            <w:r>
              <w:rPr>
                <w:rFonts w:hint="eastAsia" w:ascii="宋体" w:hAnsi="宋体" w:cs="仿宋_GB2312"/>
                <w:b/>
                <w:bCs/>
                <w:color w:val="auto"/>
                <w:szCs w:val="21"/>
                <w:highlight w:val="none"/>
                <w:lang w:val="en-US" w:eastAsia="zh-CN"/>
              </w:rPr>
              <w:t>套</w:t>
            </w:r>
          </w:p>
        </w:tc>
        <w:tc>
          <w:tcPr>
            <w:tcW w:w="0" w:type="auto"/>
            <w:tcBorders>
              <w:top w:val="single" w:color="auto" w:sz="4" w:space="0"/>
              <w:left w:val="single" w:color="auto" w:sz="4" w:space="0"/>
              <w:bottom w:val="single" w:color="auto" w:sz="4" w:space="0"/>
              <w:right w:val="single" w:color="auto" w:sz="4" w:space="0"/>
            </w:tcBorders>
            <w:vAlign w:val="center"/>
          </w:tcPr>
          <w:p w14:paraId="2161A70B">
            <w:pPr>
              <w:spacing w:line="240" w:lineRule="auto"/>
              <w:ind w:left="0" w:leftChars="0" w:right="0" w:rightChars="0" w:firstLine="0" w:firstLineChars="0"/>
              <w:jc w:val="center"/>
              <w:rPr>
                <w:rFonts w:hint="eastAsia" w:ascii="宋体" w:hAnsi="宋体" w:eastAsia="宋体" w:cs="仿宋_GB2312"/>
                <w:b/>
                <w:bCs/>
                <w:color w:val="auto"/>
                <w:szCs w:val="21"/>
                <w:highlight w:val="none"/>
                <w:lang w:val="en-US" w:eastAsia="zh-CN"/>
              </w:rPr>
            </w:pPr>
            <w:r>
              <w:rPr>
                <w:rFonts w:hint="eastAsia" w:ascii="宋体" w:hAnsi="宋体" w:cs="仿宋_GB2312"/>
                <w:b/>
                <w:bCs/>
                <w:color w:val="auto"/>
                <w:szCs w:val="21"/>
                <w:highlight w:val="none"/>
                <w:lang w:val="en-US" w:eastAsia="zh-CN"/>
              </w:rPr>
              <w:t>2</w:t>
            </w:r>
          </w:p>
        </w:tc>
        <w:tc>
          <w:tcPr>
            <w:tcW w:w="0" w:type="auto"/>
            <w:tcBorders>
              <w:top w:val="single" w:color="auto" w:sz="4" w:space="0"/>
              <w:left w:val="single" w:color="auto" w:sz="4" w:space="0"/>
              <w:bottom w:val="single" w:color="auto" w:sz="4" w:space="0"/>
              <w:right w:val="single" w:color="auto" w:sz="4" w:space="0"/>
            </w:tcBorders>
            <w:vAlign w:val="center"/>
          </w:tcPr>
          <w:p w14:paraId="4F82A66C">
            <w:pPr>
              <w:spacing w:line="240" w:lineRule="auto"/>
              <w:ind w:left="0" w:leftChars="0" w:right="0" w:rightChars="0" w:firstLine="0" w:firstLineChars="0"/>
              <w:jc w:val="center"/>
              <w:rPr>
                <w:rFonts w:ascii="宋体" w:hAnsi="宋体" w:cs="仿宋_GB2312"/>
                <w:color w:val="auto"/>
                <w:szCs w:val="21"/>
                <w:highlight w:val="none"/>
              </w:rPr>
            </w:pPr>
          </w:p>
        </w:tc>
        <w:tc>
          <w:tcPr>
            <w:tcW w:w="2695" w:type="dxa"/>
            <w:tcBorders>
              <w:top w:val="single" w:color="auto" w:sz="4" w:space="0"/>
              <w:left w:val="single" w:color="auto" w:sz="4" w:space="0"/>
              <w:bottom w:val="single" w:color="auto" w:sz="4" w:space="0"/>
              <w:right w:val="single" w:color="auto" w:sz="4" w:space="0"/>
            </w:tcBorders>
            <w:vAlign w:val="center"/>
          </w:tcPr>
          <w:p w14:paraId="00F0BC8F">
            <w:pPr>
              <w:spacing w:line="240" w:lineRule="auto"/>
              <w:ind w:left="0" w:leftChars="0" w:right="0" w:rightChars="0" w:firstLine="0" w:firstLineChars="0"/>
              <w:jc w:val="center"/>
              <w:rPr>
                <w:rFonts w:ascii="宋体" w:hAnsi="宋体" w:cs="仿宋_GB2312"/>
                <w:color w:val="auto"/>
                <w:szCs w:val="21"/>
                <w:highlight w:val="none"/>
              </w:rPr>
            </w:pPr>
          </w:p>
        </w:tc>
      </w:tr>
      <w:tr w14:paraId="7E95D5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1" w:hRule="atLeast"/>
        </w:trPr>
        <w:tc>
          <w:tcPr>
            <w:tcW w:w="8517" w:type="dxa"/>
            <w:gridSpan w:val="7"/>
            <w:tcBorders>
              <w:top w:val="single" w:color="auto" w:sz="4" w:space="0"/>
              <w:left w:val="single" w:color="auto" w:sz="4" w:space="0"/>
              <w:bottom w:val="single" w:color="auto" w:sz="4" w:space="0"/>
              <w:right w:val="single" w:color="auto" w:sz="4" w:space="0"/>
            </w:tcBorders>
            <w:vAlign w:val="center"/>
          </w:tcPr>
          <w:p w14:paraId="095916FA">
            <w:pPr>
              <w:snapToGrid w:val="0"/>
              <w:spacing w:line="240" w:lineRule="auto"/>
              <w:ind w:left="0" w:leftChars="0" w:right="0" w:rightChars="0" w:firstLine="0" w:firstLineChars="0"/>
              <w:rPr>
                <w:rFonts w:ascii="宋体" w:hAnsi="宋体" w:cs="仿宋_GB2312"/>
                <w:color w:val="auto"/>
                <w:szCs w:val="21"/>
                <w:highlight w:val="none"/>
                <w:u w:val="single"/>
              </w:rPr>
            </w:pPr>
            <w:r>
              <w:rPr>
                <w:rFonts w:hint="eastAsia" w:ascii="宋体" w:hAnsi="宋体" w:cs="仿宋_GB2312"/>
                <w:color w:val="auto"/>
                <w:szCs w:val="21"/>
                <w:highlight w:val="none"/>
              </w:rPr>
              <w:t>合计金额大写：人民币      （</w:t>
            </w:r>
            <w:r>
              <w:rPr>
                <w:rFonts w:hint="default" w:ascii="Arial" w:hAnsi="Arial" w:cs="Arial"/>
                <w:color w:val="auto"/>
                <w:szCs w:val="21"/>
                <w:highlight w:val="none"/>
              </w:rPr>
              <w:t>¥</w:t>
            </w:r>
            <w:r>
              <w:rPr>
                <w:rFonts w:hint="eastAsia" w:ascii="宋体" w:hAnsi="宋体" w:cs="仿宋_GB2312"/>
                <w:color w:val="auto"/>
                <w:szCs w:val="21"/>
                <w:highlight w:val="none"/>
              </w:rPr>
              <w:t>：   ）</w:t>
            </w:r>
          </w:p>
        </w:tc>
      </w:tr>
    </w:tbl>
    <w:p w14:paraId="7F30C8BD">
      <w:pPr>
        <w:spacing w:line="500" w:lineRule="exact"/>
        <w:rPr>
          <w:rFonts w:hint="eastAsia" w:ascii="宋体" w:hAnsi="宋体"/>
          <w:color w:val="auto"/>
          <w:szCs w:val="21"/>
          <w:highlight w:val="none"/>
        </w:rPr>
      </w:pPr>
      <w:r>
        <w:rPr>
          <w:rFonts w:hint="eastAsia" w:ascii="宋体" w:hAnsi="宋体"/>
          <w:color w:val="auto"/>
          <w:szCs w:val="21"/>
          <w:highlight w:val="none"/>
        </w:rPr>
        <w:t xml:space="preserve">注: </w:t>
      </w:r>
    </w:p>
    <w:p w14:paraId="14F4BC38">
      <w:pPr>
        <w:spacing w:line="500" w:lineRule="exact"/>
        <w:rPr>
          <w:rFonts w:hint="eastAsia" w:ascii="仿宋" w:hAnsi="仿宋" w:eastAsia="仿宋" w:cs="仿宋"/>
          <w:b/>
          <w:color w:val="auto"/>
          <w:sz w:val="28"/>
          <w:szCs w:val="28"/>
          <w:highlight w:val="none"/>
        </w:rPr>
      </w:pPr>
      <w:r>
        <w:rPr>
          <w:rFonts w:hint="eastAsia" w:ascii="宋体" w:hAnsi="宋体"/>
          <w:color w:val="auto"/>
          <w:szCs w:val="21"/>
          <w:highlight w:val="none"/>
        </w:rPr>
        <w:t>1.所有价格均用人民币表示，单位为元，精确到小数点后两数位。</w:t>
      </w:r>
    </w:p>
    <w:p w14:paraId="27247D31">
      <w:pPr>
        <w:spacing w:line="360" w:lineRule="exact"/>
        <w:contextualSpacing/>
        <w:rPr>
          <w:rFonts w:ascii="宋体" w:hAnsi="宋体"/>
          <w:color w:val="auto"/>
          <w:szCs w:val="21"/>
          <w:highlight w:val="none"/>
        </w:rPr>
      </w:pPr>
      <w:r>
        <w:rPr>
          <w:rFonts w:hint="eastAsia" w:ascii="宋体" w:hAnsi="宋体"/>
          <w:color w:val="auto"/>
          <w:szCs w:val="21"/>
          <w:highlight w:val="none"/>
        </w:rPr>
        <w:t>2、供应商的报价表必须加盖供应商公章并由法定代表人或者委托代理人签字，否则其响应文件按无效响应处理。</w:t>
      </w:r>
    </w:p>
    <w:p w14:paraId="3DE39A0A">
      <w:pPr>
        <w:spacing w:line="360" w:lineRule="exact"/>
        <w:contextualSpacing/>
        <w:rPr>
          <w:rFonts w:ascii="宋体" w:hAnsi="宋体"/>
          <w:color w:val="auto"/>
          <w:szCs w:val="21"/>
          <w:highlight w:val="none"/>
        </w:rPr>
      </w:pPr>
      <w:r>
        <w:rPr>
          <w:rFonts w:hint="eastAsia" w:ascii="宋体" w:hAnsi="宋体"/>
          <w:color w:val="auto"/>
          <w:szCs w:val="21"/>
          <w:highlight w:val="none"/>
        </w:rPr>
        <w:t>3、报价一经涂改，应在涂改处加盖供应商公章或者由法定代表人或者授权委托人签字或者盖章，否则其响应文件按无效响应处理。</w:t>
      </w:r>
    </w:p>
    <w:p w14:paraId="25DC3C73">
      <w:pPr>
        <w:pStyle w:val="6"/>
        <w:spacing w:before="120" w:line="500" w:lineRule="exact"/>
        <w:rPr>
          <w:rFonts w:hint="eastAsia" w:ascii="仿宋_GB2312" w:hAnsi="仿宋_GB2312" w:eastAsia="仿宋_GB2312" w:cs="仿宋_GB2312"/>
          <w:color w:val="auto"/>
          <w:sz w:val="24"/>
          <w:szCs w:val="24"/>
          <w:highlight w:val="none"/>
        </w:rPr>
      </w:pPr>
    </w:p>
    <w:p w14:paraId="31FD22C3">
      <w:pPr>
        <w:pStyle w:val="6"/>
        <w:spacing w:before="120" w:line="5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法定代表人或授权代表签字或盖章：        </w:t>
      </w:r>
    </w:p>
    <w:p w14:paraId="151043D8">
      <w:pPr>
        <w:pStyle w:val="6"/>
        <w:spacing w:before="120" w:line="5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项目联系人及电话：                                </w:t>
      </w:r>
    </w:p>
    <w:p w14:paraId="7945FA0E">
      <w:pPr>
        <w:pStyle w:val="6"/>
        <w:spacing w:before="120" w:line="5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报价供应商名称（签章）：                          </w:t>
      </w:r>
    </w:p>
    <w:p w14:paraId="7DBAA5D8">
      <w:pPr>
        <w:pStyle w:val="6"/>
        <w:spacing w:before="120" w:line="5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报价日期：      年     月  日</w:t>
      </w:r>
      <w:bookmarkStart w:id="2" w:name="_Hlk21623674"/>
    </w:p>
    <w:p w14:paraId="515E784B">
      <w:pPr>
        <w:pStyle w:val="6"/>
        <w:spacing w:before="120" w:line="500" w:lineRule="exact"/>
        <w:rPr>
          <w:rFonts w:hint="eastAsia" w:ascii="仿宋_GB2312" w:hAnsi="仿宋_GB2312" w:eastAsia="仿宋_GB2312" w:cs="仿宋_GB2312"/>
          <w:color w:val="auto"/>
          <w:sz w:val="24"/>
          <w:szCs w:val="24"/>
          <w:highlight w:val="none"/>
        </w:rPr>
      </w:pPr>
    </w:p>
    <w:p w14:paraId="47156F74">
      <w:pPr>
        <w:pStyle w:val="6"/>
        <w:spacing w:before="120" w:line="500" w:lineRule="exact"/>
        <w:rPr>
          <w:rFonts w:hint="eastAsia" w:ascii="仿宋_GB2312" w:hAnsi="仿宋_GB2312" w:eastAsia="仿宋_GB2312" w:cs="仿宋_GB2312"/>
          <w:color w:val="auto"/>
          <w:sz w:val="24"/>
          <w:szCs w:val="24"/>
          <w:highlight w:val="none"/>
        </w:rPr>
      </w:pPr>
    </w:p>
    <w:p w14:paraId="5778EA0D">
      <w:pPr>
        <w:pStyle w:val="6"/>
        <w:spacing w:before="120" w:line="500" w:lineRule="exact"/>
        <w:rPr>
          <w:rFonts w:hint="eastAsia" w:ascii="仿宋_GB2312" w:hAnsi="仿宋_GB2312" w:eastAsia="仿宋_GB2312" w:cs="仿宋_GB2312"/>
          <w:color w:val="auto"/>
          <w:sz w:val="24"/>
          <w:szCs w:val="24"/>
          <w:highlight w:val="none"/>
        </w:rPr>
      </w:pPr>
    </w:p>
    <w:p w14:paraId="35308C2D">
      <w:pPr>
        <w:pStyle w:val="6"/>
        <w:spacing w:before="120" w:line="500" w:lineRule="exact"/>
        <w:rPr>
          <w:rFonts w:hint="eastAsia" w:ascii="仿宋_GB2312" w:hAnsi="仿宋_GB2312" w:eastAsia="仿宋_GB2312" w:cs="仿宋_GB2312"/>
          <w:color w:val="auto"/>
          <w:sz w:val="24"/>
          <w:szCs w:val="24"/>
          <w:highlight w:val="none"/>
        </w:rPr>
      </w:pPr>
    </w:p>
    <w:p w14:paraId="4B5CC7D0">
      <w:pPr>
        <w:pStyle w:val="6"/>
        <w:spacing w:before="120" w:line="500" w:lineRule="exact"/>
        <w:rPr>
          <w:rFonts w:hint="eastAsia" w:ascii="仿宋_GB2312" w:hAnsi="仿宋_GB2312" w:eastAsia="仿宋_GB2312" w:cs="仿宋_GB2312"/>
          <w:color w:val="auto"/>
          <w:sz w:val="24"/>
          <w:szCs w:val="24"/>
          <w:highlight w:val="none"/>
        </w:rPr>
      </w:pPr>
    </w:p>
    <w:p w14:paraId="0AD06549">
      <w:pPr>
        <w:pStyle w:val="6"/>
        <w:spacing w:before="120" w:line="500" w:lineRule="exact"/>
        <w:rPr>
          <w:rFonts w:hint="eastAsia" w:ascii="仿宋_GB2312" w:hAnsi="仿宋_GB2312" w:eastAsia="仿宋_GB2312" w:cs="仿宋_GB2312"/>
          <w:color w:val="auto"/>
          <w:sz w:val="24"/>
          <w:szCs w:val="24"/>
          <w:highlight w:val="none"/>
        </w:rPr>
      </w:pPr>
    </w:p>
    <w:p w14:paraId="3997921D">
      <w:pPr>
        <w:pStyle w:val="6"/>
        <w:spacing w:before="120" w:line="500" w:lineRule="exact"/>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附件2</w:t>
      </w:r>
    </w:p>
    <w:p w14:paraId="2C53EA07">
      <w:pPr>
        <w:adjustRightInd w:val="0"/>
        <w:snapToGrid w:val="0"/>
        <w:spacing w:line="520" w:lineRule="exact"/>
        <w:jc w:val="center"/>
        <w:rPr>
          <w:rFonts w:ascii="方正小标宋简体" w:hAnsi="方正小标宋简体" w:eastAsia="方正小标宋简体" w:cs="方正小标宋简体"/>
          <w:bCs/>
          <w:color w:val="auto"/>
          <w:sz w:val="44"/>
          <w:szCs w:val="44"/>
          <w:highlight w:val="none"/>
        </w:rPr>
      </w:pPr>
      <w:r>
        <w:rPr>
          <w:rFonts w:hint="eastAsia" w:ascii="黑体" w:hAnsi="黑体" w:eastAsia="黑体" w:cs="黑体"/>
          <w:color w:val="auto"/>
          <w:sz w:val="36"/>
          <w:szCs w:val="36"/>
          <w:highlight w:val="none"/>
        </w:rPr>
        <w:t>广西中医药大学附设中医学校（广西中医学校）</w:t>
      </w:r>
      <w:r>
        <w:rPr>
          <w:rFonts w:hint="eastAsia" w:ascii="黑体" w:hAnsi="黑体" w:eastAsia="黑体" w:cs="黑体"/>
          <w:color w:val="auto"/>
          <w:sz w:val="36"/>
          <w:szCs w:val="36"/>
          <w:highlight w:val="none"/>
          <w:lang w:eastAsia="zh-CN"/>
        </w:rPr>
        <w:t>智慧黑板及教学一体机采购项目</w:t>
      </w:r>
      <w:r>
        <w:rPr>
          <w:rFonts w:hint="eastAsia" w:ascii="黑体" w:hAnsi="黑体" w:eastAsia="黑体" w:cs="黑体"/>
          <w:color w:val="auto"/>
          <w:sz w:val="36"/>
          <w:szCs w:val="36"/>
          <w:highlight w:val="none"/>
        </w:rPr>
        <w:t>货物技术参数配置清单（必须提供）</w:t>
      </w:r>
    </w:p>
    <w:tbl>
      <w:tblPr>
        <w:tblStyle w:val="10"/>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36"/>
        <w:gridCol w:w="1508"/>
        <w:gridCol w:w="426"/>
        <w:gridCol w:w="561"/>
        <w:gridCol w:w="723"/>
        <w:gridCol w:w="978"/>
        <w:gridCol w:w="950"/>
        <w:gridCol w:w="925"/>
        <w:gridCol w:w="1815"/>
      </w:tblGrid>
      <w:tr w14:paraId="2216C7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6" w:hRule="atLeast"/>
          <w:jc w:val="center"/>
        </w:trPr>
        <w:tc>
          <w:tcPr>
            <w:tcW w:w="373" w:type="pct"/>
            <w:tcBorders>
              <w:top w:val="single" w:color="auto" w:sz="4" w:space="0"/>
              <w:left w:val="single" w:color="auto" w:sz="4" w:space="0"/>
              <w:bottom w:val="single" w:color="auto" w:sz="4" w:space="0"/>
              <w:right w:val="single" w:color="auto" w:sz="4" w:space="0"/>
            </w:tcBorders>
            <w:vAlign w:val="center"/>
          </w:tcPr>
          <w:p w14:paraId="6149E5FC">
            <w:pPr>
              <w:snapToGrid w:val="0"/>
              <w:spacing w:before="50" w:after="50"/>
              <w:jc w:val="center"/>
              <w:rPr>
                <w:rFonts w:ascii="宋体" w:hAnsi="宋体"/>
                <w:color w:val="auto"/>
                <w:szCs w:val="21"/>
                <w:highlight w:val="none"/>
              </w:rPr>
            </w:pPr>
            <w:r>
              <w:rPr>
                <w:rFonts w:hint="eastAsia" w:ascii="宋体" w:hAnsi="宋体"/>
                <w:color w:val="auto"/>
                <w:szCs w:val="21"/>
                <w:highlight w:val="none"/>
              </w:rPr>
              <w:t>序号</w:t>
            </w:r>
          </w:p>
        </w:tc>
        <w:tc>
          <w:tcPr>
            <w:tcW w:w="884" w:type="pct"/>
            <w:tcBorders>
              <w:top w:val="single" w:color="auto" w:sz="4" w:space="0"/>
              <w:left w:val="single" w:color="auto" w:sz="4" w:space="0"/>
              <w:bottom w:val="single" w:color="auto" w:sz="4" w:space="0"/>
              <w:right w:val="single" w:color="auto" w:sz="4" w:space="0"/>
            </w:tcBorders>
            <w:vAlign w:val="center"/>
          </w:tcPr>
          <w:p w14:paraId="21C8FE18">
            <w:pPr>
              <w:snapToGrid w:val="0"/>
              <w:spacing w:before="50" w:after="50"/>
              <w:jc w:val="center"/>
              <w:rPr>
                <w:rFonts w:ascii="宋体" w:hAnsi="宋体"/>
                <w:color w:val="auto"/>
                <w:szCs w:val="21"/>
                <w:highlight w:val="none"/>
              </w:rPr>
            </w:pPr>
            <w:r>
              <w:rPr>
                <w:rFonts w:hint="eastAsia" w:ascii="宋体" w:hAnsi="宋体"/>
                <w:color w:val="auto"/>
                <w:szCs w:val="21"/>
                <w:highlight w:val="none"/>
              </w:rPr>
              <w:t>货物名称</w:t>
            </w:r>
          </w:p>
        </w:tc>
        <w:tc>
          <w:tcPr>
            <w:tcW w:w="249" w:type="pct"/>
            <w:tcBorders>
              <w:top w:val="single" w:color="auto" w:sz="4" w:space="0"/>
              <w:left w:val="single" w:color="auto" w:sz="4" w:space="0"/>
              <w:bottom w:val="single" w:color="auto" w:sz="4" w:space="0"/>
              <w:right w:val="single" w:color="auto" w:sz="4" w:space="0"/>
            </w:tcBorders>
            <w:vAlign w:val="center"/>
          </w:tcPr>
          <w:p w14:paraId="718827A2">
            <w:pPr>
              <w:snapToGrid w:val="0"/>
              <w:spacing w:before="50" w:after="50"/>
              <w:jc w:val="center"/>
              <w:rPr>
                <w:rFonts w:ascii="宋体" w:hAnsi="宋体"/>
                <w:color w:val="auto"/>
                <w:szCs w:val="21"/>
                <w:highlight w:val="none"/>
              </w:rPr>
            </w:pPr>
            <w:r>
              <w:rPr>
                <w:rFonts w:hint="eastAsia" w:ascii="宋体" w:hAnsi="宋体"/>
                <w:color w:val="auto"/>
                <w:szCs w:val="21"/>
                <w:highlight w:val="none"/>
              </w:rPr>
              <w:t>单位</w:t>
            </w:r>
          </w:p>
        </w:tc>
        <w:tc>
          <w:tcPr>
            <w:tcW w:w="329" w:type="pct"/>
            <w:tcBorders>
              <w:top w:val="single" w:color="auto" w:sz="4" w:space="0"/>
              <w:left w:val="single" w:color="auto" w:sz="4" w:space="0"/>
              <w:bottom w:val="single" w:color="auto" w:sz="4" w:space="0"/>
              <w:right w:val="single" w:color="auto" w:sz="4" w:space="0"/>
            </w:tcBorders>
            <w:vAlign w:val="center"/>
          </w:tcPr>
          <w:p w14:paraId="4A8A17B4">
            <w:pPr>
              <w:snapToGrid w:val="0"/>
              <w:spacing w:before="50" w:after="50"/>
              <w:jc w:val="center"/>
              <w:rPr>
                <w:rFonts w:ascii="宋体" w:hAnsi="宋体"/>
                <w:color w:val="auto"/>
                <w:szCs w:val="21"/>
                <w:highlight w:val="none"/>
              </w:rPr>
            </w:pPr>
            <w:r>
              <w:rPr>
                <w:rFonts w:hint="eastAsia" w:ascii="宋体" w:hAnsi="宋体"/>
                <w:color w:val="auto"/>
                <w:szCs w:val="21"/>
                <w:highlight w:val="none"/>
              </w:rPr>
              <w:t>数量</w:t>
            </w:r>
          </w:p>
        </w:tc>
        <w:tc>
          <w:tcPr>
            <w:tcW w:w="424" w:type="pct"/>
            <w:tcBorders>
              <w:top w:val="single" w:color="auto" w:sz="4" w:space="0"/>
              <w:left w:val="single" w:color="auto" w:sz="4" w:space="0"/>
              <w:bottom w:val="single" w:color="auto" w:sz="4" w:space="0"/>
              <w:right w:val="single" w:color="auto" w:sz="4" w:space="0"/>
            </w:tcBorders>
            <w:vAlign w:val="center"/>
          </w:tcPr>
          <w:p w14:paraId="4EDFBBC8">
            <w:pPr>
              <w:snapToGrid w:val="0"/>
              <w:spacing w:before="50" w:after="50"/>
              <w:jc w:val="center"/>
              <w:rPr>
                <w:rFonts w:ascii="宋体" w:hAnsi="宋体"/>
                <w:color w:val="auto"/>
                <w:szCs w:val="21"/>
                <w:highlight w:val="none"/>
              </w:rPr>
            </w:pPr>
            <w:r>
              <w:rPr>
                <w:rFonts w:hint="eastAsia" w:ascii="宋体" w:hAnsi="宋体"/>
                <w:color w:val="auto"/>
                <w:szCs w:val="21"/>
                <w:highlight w:val="none"/>
              </w:rPr>
              <w:t>品牌</w:t>
            </w:r>
          </w:p>
        </w:tc>
        <w:tc>
          <w:tcPr>
            <w:tcW w:w="573" w:type="pct"/>
            <w:tcBorders>
              <w:top w:val="single" w:color="auto" w:sz="4" w:space="0"/>
              <w:left w:val="single" w:color="auto" w:sz="4" w:space="0"/>
              <w:bottom w:val="single" w:color="auto" w:sz="4" w:space="0"/>
              <w:right w:val="single" w:color="auto" w:sz="4" w:space="0"/>
            </w:tcBorders>
            <w:vAlign w:val="center"/>
          </w:tcPr>
          <w:p w14:paraId="0C72BE19">
            <w:pPr>
              <w:snapToGrid w:val="0"/>
              <w:spacing w:before="50" w:after="50"/>
              <w:jc w:val="center"/>
              <w:rPr>
                <w:rFonts w:ascii="宋体" w:hAnsi="宋体"/>
                <w:color w:val="auto"/>
                <w:szCs w:val="21"/>
                <w:highlight w:val="none"/>
              </w:rPr>
            </w:pPr>
            <w:r>
              <w:rPr>
                <w:rFonts w:hint="eastAsia" w:ascii="宋体" w:hAnsi="宋体"/>
                <w:color w:val="auto"/>
                <w:szCs w:val="21"/>
                <w:highlight w:val="none"/>
              </w:rPr>
              <w:t>规格型号</w:t>
            </w:r>
          </w:p>
        </w:tc>
        <w:tc>
          <w:tcPr>
            <w:tcW w:w="557" w:type="pct"/>
            <w:tcBorders>
              <w:top w:val="single" w:color="auto" w:sz="4" w:space="0"/>
              <w:left w:val="single" w:color="auto" w:sz="4" w:space="0"/>
              <w:bottom w:val="single" w:color="auto" w:sz="4" w:space="0"/>
              <w:right w:val="single" w:color="auto" w:sz="4" w:space="0"/>
            </w:tcBorders>
            <w:vAlign w:val="center"/>
          </w:tcPr>
          <w:p w14:paraId="77C59776">
            <w:pPr>
              <w:snapToGrid w:val="0"/>
              <w:spacing w:before="50" w:after="50"/>
              <w:jc w:val="center"/>
              <w:rPr>
                <w:rFonts w:ascii="宋体" w:hAnsi="宋体"/>
                <w:color w:val="auto"/>
                <w:szCs w:val="21"/>
                <w:highlight w:val="none"/>
              </w:rPr>
            </w:pPr>
            <w:r>
              <w:rPr>
                <w:rFonts w:hint="eastAsia" w:ascii="宋体" w:hAnsi="宋体"/>
                <w:color w:val="auto"/>
                <w:szCs w:val="21"/>
                <w:highlight w:val="none"/>
              </w:rPr>
              <w:t>制造商</w:t>
            </w:r>
          </w:p>
        </w:tc>
        <w:tc>
          <w:tcPr>
            <w:tcW w:w="542" w:type="pct"/>
            <w:tcBorders>
              <w:top w:val="single" w:color="auto" w:sz="4" w:space="0"/>
              <w:left w:val="single" w:color="auto" w:sz="4" w:space="0"/>
              <w:bottom w:val="single" w:color="auto" w:sz="4" w:space="0"/>
              <w:right w:val="single" w:color="auto" w:sz="4" w:space="0"/>
            </w:tcBorders>
            <w:vAlign w:val="center"/>
          </w:tcPr>
          <w:p w14:paraId="00DB263D">
            <w:pPr>
              <w:snapToGrid w:val="0"/>
              <w:spacing w:before="50" w:after="50"/>
              <w:jc w:val="center"/>
              <w:rPr>
                <w:rFonts w:ascii="宋体" w:hAnsi="宋体"/>
                <w:color w:val="auto"/>
                <w:szCs w:val="21"/>
                <w:highlight w:val="none"/>
              </w:rPr>
            </w:pPr>
            <w:r>
              <w:rPr>
                <w:rFonts w:hint="eastAsia" w:ascii="宋体" w:hAnsi="宋体"/>
                <w:color w:val="auto"/>
                <w:szCs w:val="21"/>
                <w:highlight w:val="none"/>
              </w:rPr>
              <w:t>原产地</w:t>
            </w:r>
          </w:p>
        </w:tc>
        <w:tc>
          <w:tcPr>
            <w:tcW w:w="1064" w:type="pct"/>
            <w:tcBorders>
              <w:top w:val="single" w:color="auto" w:sz="4" w:space="0"/>
              <w:left w:val="single" w:color="auto" w:sz="4" w:space="0"/>
              <w:bottom w:val="single" w:color="auto" w:sz="4" w:space="0"/>
              <w:right w:val="single" w:color="auto" w:sz="4" w:space="0"/>
            </w:tcBorders>
            <w:vAlign w:val="center"/>
          </w:tcPr>
          <w:p w14:paraId="3C31E609">
            <w:pPr>
              <w:snapToGrid w:val="0"/>
              <w:spacing w:before="50" w:after="50"/>
              <w:jc w:val="center"/>
              <w:rPr>
                <w:rFonts w:ascii="宋体" w:hAnsi="宋体"/>
                <w:color w:val="auto"/>
                <w:szCs w:val="21"/>
                <w:highlight w:val="none"/>
              </w:rPr>
            </w:pPr>
            <w:r>
              <w:rPr>
                <w:rFonts w:hint="eastAsia" w:ascii="宋体" w:hAnsi="宋体"/>
                <w:color w:val="auto"/>
                <w:szCs w:val="21"/>
                <w:highlight w:val="none"/>
              </w:rPr>
              <w:t>技术参数及性能配置</w:t>
            </w:r>
          </w:p>
        </w:tc>
      </w:tr>
      <w:tr w14:paraId="54FB45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373" w:type="pct"/>
            <w:tcBorders>
              <w:top w:val="single" w:color="auto" w:sz="4" w:space="0"/>
              <w:left w:val="single" w:color="auto" w:sz="4" w:space="0"/>
              <w:right w:val="single" w:color="auto" w:sz="4" w:space="0"/>
            </w:tcBorders>
            <w:vAlign w:val="center"/>
          </w:tcPr>
          <w:p w14:paraId="10205FDB">
            <w:pPr>
              <w:snapToGrid w:val="0"/>
              <w:spacing w:before="50" w:after="50"/>
              <w:jc w:val="center"/>
              <w:rPr>
                <w:rFonts w:ascii="宋体" w:hAnsi="宋体"/>
                <w:color w:val="auto"/>
                <w:szCs w:val="21"/>
                <w:highlight w:val="none"/>
              </w:rPr>
            </w:pPr>
            <w:r>
              <w:rPr>
                <w:rFonts w:hint="eastAsia" w:ascii="宋体" w:hAnsi="宋体"/>
                <w:color w:val="auto"/>
                <w:szCs w:val="21"/>
                <w:highlight w:val="none"/>
              </w:rPr>
              <w:t>1</w:t>
            </w:r>
          </w:p>
        </w:tc>
        <w:tc>
          <w:tcPr>
            <w:tcW w:w="884" w:type="pct"/>
            <w:tcBorders>
              <w:top w:val="single" w:color="auto" w:sz="4" w:space="0"/>
              <w:left w:val="single" w:color="auto" w:sz="4" w:space="0"/>
              <w:bottom w:val="single" w:color="auto" w:sz="4" w:space="0"/>
              <w:right w:val="single" w:color="auto" w:sz="4" w:space="0"/>
            </w:tcBorders>
            <w:vAlign w:val="center"/>
          </w:tcPr>
          <w:p w14:paraId="1F74BB4F">
            <w:pPr>
              <w:spacing w:line="288" w:lineRule="auto"/>
              <w:jc w:val="center"/>
              <w:rPr>
                <w:rFonts w:ascii="宋体" w:hAnsi="宋体"/>
                <w:color w:val="auto"/>
                <w:szCs w:val="21"/>
                <w:highlight w:val="none"/>
              </w:rPr>
            </w:pPr>
            <w:r>
              <w:rPr>
                <w:rFonts w:hint="eastAsia" w:ascii="宋体" w:hAnsi="宋体" w:cs="宋体"/>
                <w:color w:val="auto"/>
                <w:sz w:val="20"/>
                <w:szCs w:val="20"/>
              </w:rPr>
              <w:t>智慧</w:t>
            </w:r>
            <w:r>
              <w:rPr>
                <w:rFonts w:ascii="宋体" w:hAnsi="宋体" w:cs="宋体"/>
                <w:color w:val="auto"/>
                <w:sz w:val="20"/>
                <w:szCs w:val="20"/>
              </w:rPr>
              <w:t>黑板</w:t>
            </w:r>
          </w:p>
        </w:tc>
        <w:tc>
          <w:tcPr>
            <w:tcW w:w="249" w:type="pct"/>
            <w:tcBorders>
              <w:top w:val="single" w:color="auto" w:sz="4" w:space="0"/>
              <w:left w:val="single" w:color="auto" w:sz="4" w:space="0"/>
              <w:bottom w:val="single" w:color="auto" w:sz="4" w:space="0"/>
              <w:right w:val="single" w:color="auto" w:sz="4" w:space="0"/>
            </w:tcBorders>
            <w:vAlign w:val="center"/>
          </w:tcPr>
          <w:p w14:paraId="27877978">
            <w:pPr>
              <w:widowControl/>
              <w:jc w:val="center"/>
              <w:textAlignment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套</w:t>
            </w:r>
          </w:p>
        </w:tc>
        <w:tc>
          <w:tcPr>
            <w:tcW w:w="329" w:type="pct"/>
            <w:tcBorders>
              <w:top w:val="single" w:color="auto" w:sz="4" w:space="0"/>
              <w:left w:val="single" w:color="auto" w:sz="4" w:space="0"/>
              <w:bottom w:val="single" w:color="auto" w:sz="4" w:space="0"/>
              <w:right w:val="single" w:color="auto" w:sz="4" w:space="0"/>
            </w:tcBorders>
            <w:vAlign w:val="center"/>
          </w:tcPr>
          <w:p w14:paraId="3476AD1A">
            <w:pPr>
              <w:widowControl/>
              <w:jc w:val="center"/>
              <w:textAlignment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2</w:t>
            </w:r>
          </w:p>
        </w:tc>
        <w:tc>
          <w:tcPr>
            <w:tcW w:w="424" w:type="pct"/>
            <w:tcBorders>
              <w:top w:val="single" w:color="auto" w:sz="4" w:space="0"/>
              <w:left w:val="single" w:color="auto" w:sz="4" w:space="0"/>
              <w:bottom w:val="single" w:color="auto" w:sz="4" w:space="0"/>
              <w:right w:val="single" w:color="auto" w:sz="4" w:space="0"/>
            </w:tcBorders>
            <w:vAlign w:val="center"/>
          </w:tcPr>
          <w:p w14:paraId="29EC6CBE">
            <w:pPr>
              <w:snapToGrid w:val="0"/>
              <w:spacing w:before="50" w:after="50"/>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希沃</w:t>
            </w:r>
          </w:p>
        </w:tc>
        <w:tc>
          <w:tcPr>
            <w:tcW w:w="573" w:type="pct"/>
            <w:tcBorders>
              <w:top w:val="single" w:color="auto" w:sz="4" w:space="0"/>
              <w:left w:val="single" w:color="auto" w:sz="4" w:space="0"/>
              <w:bottom w:val="single" w:color="auto" w:sz="4" w:space="0"/>
              <w:right w:val="single" w:color="auto" w:sz="4" w:space="0"/>
            </w:tcBorders>
          </w:tcPr>
          <w:p w14:paraId="7DDCA39D">
            <w:pPr>
              <w:snapToGrid w:val="0"/>
              <w:spacing w:before="50" w:after="50"/>
              <w:jc w:val="center"/>
              <w:rPr>
                <w:rFonts w:ascii="宋体" w:hAnsi="宋体"/>
                <w:color w:val="auto"/>
                <w:szCs w:val="21"/>
                <w:highlight w:val="none"/>
              </w:rPr>
            </w:pPr>
            <w:r>
              <w:rPr>
                <w:rFonts w:hint="eastAsia" w:ascii="宋体" w:hAnsi="宋体"/>
                <w:color w:val="auto"/>
                <w:szCs w:val="21"/>
                <w:highlight w:val="none"/>
              </w:rPr>
              <w:t>BH86EA</w:t>
            </w:r>
          </w:p>
        </w:tc>
        <w:tc>
          <w:tcPr>
            <w:tcW w:w="557" w:type="pct"/>
            <w:tcBorders>
              <w:top w:val="single" w:color="auto" w:sz="4" w:space="0"/>
              <w:left w:val="single" w:color="auto" w:sz="4" w:space="0"/>
              <w:bottom w:val="single" w:color="auto" w:sz="4" w:space="0"/>
              <w:right w:val="single" w:color="auto" w:sz="4" w:space="0"/>
            </w:tcBorders>
            <w:vAlign w:val="center"/>
          </w:tcPr>
          <w:p w14:paraId="67285F6F">
            <w:pPr>
              <w:snapToGrid w:val="0"/>
              <w:spacing w:before="50" w:after="50"/>
              <w:jc w:val="center"/>
              <w:rPr>
                <w:rFonts w:ascii="宋体" w:hAnsi="宋体"/>
                <w:color w:val="auto"/>
                <w:szCs w:val="21"/>
                <w:highlight w:val="none"/>
              </w:rPr>
            </w:pPr>
          </w:p>
        </w:tc>
        <w:tc>
          <w:tcPr>
            <w:tcW w:w="542" w:type="pct"/>
            <w:tcBorders>
              <w:top w:val="single" w:color="auto" w:sz="4" w:space="0"/>
              <w:left w:val="single" w:color="auto" w:sz="4" w:space="0"/>
              <w:bottom w:val="single" w:color="auto" w:sz="4" w:space="0"/>
              <w:right w:val="single" w:color="auto" w:sz="4" w:space="0"/>
            </w:tcBorders>
            <w:vAlign w:val="center"/>
          </w:tcPr>
          <w:p w14:paraId="03DBD8F5">
            <w:pPr>
              <w:snapToGrid w:val="0"/>
              <w:spacing w:before="50" w:after="50"/>
              <w:jc w:val="center"/>
              <w:rPr>
                <w:rFonts w:ascii="宋体" w:hAnsi="宋体"/>
                <w:color w:val="auto"/>
                <w:szCs w:val="21"/>
                <w:highlight w:val="none"/>
              </w:rPr>
            </w:pPr>
          </w:p>
        </w:tc>
        <w:tc>
          <w:tcPr>
            <w:tcW w:w="1064" w:type="pct"/>
            <w:tcBorders>
              <w:top w:val="single" w:color="auto" w:sz="4" w:space="0"/>
              <w:left w:val="single" w:color="auto" w:sz="4" w:space="0"/>
              <w:bottom w:val="single" w:color="auto" w:sz="4" w:space="0"/>
              <w:right w:val="single" w:color="auto" w:sz="4" w:space="0"/>
            </w:tcBorders>
            <w:vAlign w:val="center"/>
          </w:tcPr>
          <w:p w14:paraId="4D02491A">
            <w:pPr>
              <w:snapToGrid w:val="0"/>
              <w:spacing w:before="50" w:after="50"/>
              <w:jc w:val="center"/>
              <w:rPr>
                <w:rFonts w:ascii="宋体" w:hAnsi="宋体"/>
                <w:color w:val="auto"/>
                <w:szCs w:val="21"/>
                <w:highlight w:val="none"/>
              </w:rPr>
            </w:pPr>
          </w:p>
        </w:tc>
      </w:tr>
      <w:tr w14:paraId="0B1B09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373" w:type="pct"/>
            <w:tcBorders>
              <w:top w:val="single" w:color="auto" w:sz="4" w:space="0"/>
              <w:left w:val="single" w:color="auto" w:sz="4" w:space="0"/>
              <w:bottom w:val="single" w:color="auto" w:sz="4" w:space="0"/>
              <w:right w:val="single" w:color="auto" w:sz="4" w:space="0"/>
            </w:tcBorders>
            <w:vAlign w:val="center"/>
          </w:tcPr>
          <w:p w14:paraId="6C0B33CF">
            <w:pPr>
              <w:snapToGrid w:val="0"/>
              <w:spacing w:before="50" w:after="50"/>
              <w:jc w:val="center"/>
              <w:rPr>
                <w:rFonts w:ascii="宋体" w:hAnsi="宋体"/>
                <w:color w:val="auto"/>
                <w:szCs w:val="21"/>
                <w:highlight w:val="none"/>
              </w:rPr>
            </w:pPr>
            <w:r>
              <w:rPr>
                <w:rFonts w:hint="eastAsia" w:ascii="宋体" w:hAnsi="宋体"/>
                <w:color w:val="auto"/>
                <w:szCs w:val="21"/>
                <w:highlight w:val="none"/>
              </w:rPr>
              <w:t>2</w:t>
            </w:r>
          </w:p>
        </w:tc>
        <w:tc>
          <w:tcPr>
            <w:tcW w:w="884" w:type="pct"/>
            <w:tcBorders>
              <w:top w:val="single" w:color="auto" w:sz="4" w:space="0"/>
              <w:left w:val="single" w:color="auto" w:sz="4" w:space="0"/>
              <w:bottom w:val="single" w:color="auto" w:sz="4" w:space="0"/>
              <w:right w:val="single" w:color="auto" w:sz="4" w:space="0"/>
            </w:tcBorders>
            <w:vAlign w:val="center"/>
          </w:tcPr>
          <w:p w14:paraId="60B87F2D">
            <w:pPr>
              <w:spacing w:line="288" w:lineRule="auto"/>
              <w:jc w:val="center"/>
              <w:rPr>
                <w:rFonts w:ascii="宋体" w:hAnsi="宋体" w:cs="宋体"/>
                <w:color w:val="auto"/>
                <w:sz w:val="20"/>
                <w:szCs w:val="20"/>
              </w:rPr>
            </w:pPr>
            <w:r>
              <w:rPr>
                <w:rFonts w:hint="eastAsia" w:ascii="宋体" w:hAnsi="宋体" w:cs="宋体"/>
                <w:color w:val="auto"/>
                <w:sz w:val="20"/>
                <w:szCs w:val="20"/>
              </w:rPr>
              <w:t>教学</w:t>
            </w:r>
          </w:p>
          <w:p w14:paraId="35B0F5A9">
            <w:pPr>
              <w:spacing w:line="240" w:lineRule="auto"/>
              <w:ind w:left="0" w:leftChars="0" w:right="0" w:rightChars="0" w:firstLine="0" w:firstLineChars="0"/>
              <w:jc w:val="center"/>
              <w:rPr>
                <w:rFonts w:ascii="宋体" w:hAnsi="宋体"/>
                <w:color w:val="auto"/>
                <w:kern w:val="0"/>
                <w:szCs w:val="21"/>
                <w:highlight w:val="none"/>
              </w:rPr>
            </w:pPr>
            <w:r>
              <w:rPr>
                <w:rFonts w:hint="eastAsia" w:ascii="宋体" w:hAnsi="宋体" w:cs="宋体"/>
                <w:color w:val="auto"/>
                <w:sz w:val="20"/>
                <w:szCs w:val="20"/>
              </w:rPr>
              <w:t>一体机</w:t>
            </w:r>
          </w:p>
        </w:tc>
        <w:tc>
          <w:tcPr>
            <w:tcW w:w="249" w:type="pct"/>
            <w:tcBorders>
              <w:top w:val="single" w:color="auto" w:sz="4" w:space="0"/>
              <w:left w:val="single" w:color="auto" w:sz="4" w:space="0"/>
              <w:bottom w:val="single" w:color="auto" w:sz="4" w:space="0"/>
              <w:right w:val="single" w:color="auto" w:sz="4" w:space="0"/>
            </w:tcBorders>
            <w:vAlign w:val="center"/>
          </w:tcPr>
          <w:p w14:paraId="4E8CD63D">
            <w:pPr>
              <w:widowControl/>
              <w:jc w:val="center"/>
              <w:textAlignment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套</w:t>
            </w:r>
          </w:p>
        </w:tc>
        <w:tc>
          <w:tcPr>
            <w:tcW w:w="329" w:type="pct"/>
            <w:tcBorders>
              <w:top w:val="single" w:color="auto" w:sz="4" w:space="0"/>
              <w:left w:val="single" w:color="auto" w:sz="4" w:space="0"/>
              <w:bottom w:val="single" w:color="auto" w:sz="4" w:space="0"/>
              <w:right w:val="single" w:color="auto" w:sz="4" w:space="0"/>
            </w:tcBorders>
            <w:vAlign w:val="center"/>
          </w:tcPr>
          <w:p w14:paraId="67E1489D">
            <w:pPr>
              <w:widowControl/>
              <w:jc w:val="center"/>
              <w:textAlignment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2</w:t>
            </w:r>
          </w:p>
        </w:tc>
        <w:tc>
          <w:tcPr>
            <w:tcW w:w="424" w:type="pct"/>
            <w:tcBorders>
              <w:top w:val="single" w:color="auto" w:sz="4" w:space="0"/>
              <w:left w:val="single" w:color="auto" w:sz="4" w:space="0"/>
              <w:bottom w:val="single" w:color="auto" w:sz="4" w:space="0"/>
              <w:right w:val="single" w:color="auto" w:sz="4" w:space="0"/>
            </w:tcBorders>
            <w:vAlign w:val="center"/>
          </w:tcPr>
          <w:p w14:paraId="2EA6E337">
            <w:pPr>
              <w:snapToGrid w:val="0"/>
              <w:spacing w:before="50" w:after="50"/>
              <w:jc w:val="center"/>
              <w:rPr>
                <w:rFonts w:ascii="宋体" w:hAnsi="宋体"/>
                <w:color w:val="auto"/>
                <w:szCs w:val="21"/>
                <w:highlight w:val="none"/>
              </w:rPr>
            </w:pPr>
            <w:r>
              <w:rPr>
                <w:rFonts w:hint="eastAsia" w:ascii="宋体" w:hAnsi="宋体"/>
                <w:color w:val="auto"/>
                <w:szCs w:val="21"/>
                <w:highlight w:val="none"/>
                <w:lang w:val="en-US" w:eastAsia="zh-CN"/>
              </w:rPr>
              <w:t>希沃</w:t>
            </w:r>
          </w:p>
        </w:tc>
        <w:tc>
          <w:tcPr>
            <w:tcW w:w="573" w:type="pct"/>
            <w:tcBorders>
              <w:top w:val="single" w:color="auto" w:sz="4" w:space="0"/>
              <w:left w:val="single" w:color="auto" w:sz="4" w:space="0"/>
              <w:bottom w:val="single" w:color="auto" w:sz="4" w:space="0"/>
              <w:right w:val="single" w:color="auto" w:sz="4" w:space="0"/>
            </w:tcBorders>
          </w:tcPr>
          <w:p w14:paraId="7FF6C6BE">
            <w:pPr>
              <w:snapToGrid w:val="0"/>
              <w:spacing w:before="50" w:after="50"/>
              <w:jc w:val="center"/>
              <w:rPr>
                <w:rFonts w:ascii="宋体" w:hAnsi="宋体"/>
                <w:color w:val="auto"/>
                <w:szCs w:val="21"/>
                <w:highlight w:val="none"/>
              </w:rPr>
            </w:pPr>
            <w:r>
              <w:rPr>
                <w:rFonts w:hint="eastAsia" w:ascii="宋体" w:hAnsi="宋体"/>
                <w:color w:val="auto"/>
                <w:szCs w:val="21"/>
                <w:highlight w:val="none"/>
              </w:rPr>
              <w:t>FH86EA</w:t>
            </w:r>
          </w:p>
        </w:tc>
        <w:tc>
          <w:tcPr>
            <w:tcW w:w="557" w:type="pct"/>
            <w:tcBorders>
              <w:top w:val="single" w:color="auto" w:sz="4" w:space="0"/>
              <w:left w:val="single" w:color="auto" w:sz="4" w:space="0"/>
              <w:bottom w:val="single" w:color="auto" w:sz="4" w:space="0"/>
              <w:right w:val="single" w:color="auto" w:sz="4" w:space="0"/>
            </w:tcBorders>
            <w:vAlign w:val="center"/>
          </w:tcPr>
          <w:p w14:paraId="2D1EC980">
            <w:pPr>
              <w:snapToGrid w:val="0"/>
              <w:spacing w:before="50" w:after="50"/>
              <w:jc w:val="center"/>
              <w:rPr>
                <w:rFonts w:ascii="宋体" w:hAnsi="宋体"/>
                <w:color w:val="auto"/>
                <w:szCs w:val="21"/>
                <w:highlight w:val="none"/>
              </w:rPr>
            </w:pPr>
          </w:p>
        </w:tc>
        <w:tc>
          <w:tcPr>
            <w:tcW w:w="542" w:type="pct"/>
            <w:tcBorders>
              <w:top w:val="single" w:color="auto" w:sz="4" w:space="0"/>
              <w:left w:val="single" w:color="auto" w:sz="4" w:space="0"/>
              <w:bottom w:val="single" w:color="auto" w:sz="4" w:space="0"/>
              <w:right w:val="single" w:color="auto" w:sz="4" w:space="0"/>
            </w:tcBorders>
            <w:vAlign w:val="center"/>
          </w:tcPr>
          <w:p w14:paraId="785C57F6">
            <w:pPr>
              <w:snapToGrid w:val="0"/>
              <w:spacing w:before="50" w:after="50"/>
              <w:jc w:val="center"/>
              <w:rPr>
                <w:rFonts w:ascii="宋体" w:hAnsi="宋体"/>
                <w:color w:val="auto"/>
                <w:szCs w:val="21"/>
                <w:highlight w:val="none"/>
              </w:rPr>
            </w:pPr>
          </w:p>
        </w:tc>
        <w:tc>
          <w:tcPr>
            <w:tcW w:w="1064" w:type="pct"/>
            <w:tcBorders>
              <w:top w:val="single" w:color="auto" w:sz="4" w:space="0"/>
              <w:left w:val="single" w:color="auto" w:sz="4" w:space="0"/>
              <w:bottom w:val="single" w:color="auto" w:sz="4" w:space="0"/>
              <w:right w:val="single" w:color="auto" w:sz="4" w:space="0"/>
            </w:tcBorders>
            <w:vAlign w:val="center"/>
          </w:tcPr>
          <w:p w14:paraId="319B1543">
            <w:pPr>
              <w:snapToGrid w:val="0"/>
              <w:spacing w:before="50" w:after="50"/>
              <w:jc w:val="center"/>
              <w:rPr>
                <w:rFonts w:ascii="宋体" w:hAnsi="宋体"/>
                <w:color w:val="auto"/>
                <w:szCs w:val="21"/>
                <w:highlight w:val="none"/>
              </w:rPr>
            </w:pPr>
          </w:p>
        </w:tc>
      </w:tr>
    </w:tbl>
    <w:p w14:paraId="648CD903">
      <w:pPr>
        <w:contextualSpacing/>
        <w:rPr>
          <w:rFonts w:ascii="宋体" w:hAnsi="宋体"/>
          <w:color w:val="auto"/>
          <w:szCs w:val="21"/>
          <w:highlight w:val="none"/>
        </w:rPr>
      </w:pPr>
      <w:r>
        <w:rPr>
          <w:rFonts w:hint="eastAsia" w:ascii="宋体" w:hAnsi="宋体"/>
          <w:color w:val="auto"/>
          <w:szCs w:val="21"/>
          <w:highlight w:val="none"/>
        </w:rPr>
        <w:t>备注：</w:t>
      </w:r>
      <w:r>
        <w:rPr>
          <w:rFonts w:hint="eastAsia" w:ascii="宋体" w:hAnsi="宋体"/>
          <w:b/>
          <w:bCs/>
          <w:color w:val="auto"/>
          <w:szCs w:val="21"/>
          <w:highlight w:val="none"/>
        </w:rPr>
        <w:t>以上货物配置清单中“货物名称、数量及单位、品牌、规格型号、制造商、原产地、技术参数及性能配置”必须如实填写完整，填写有缺漏的，响应文件按无效响应处理</w:t>
      </w:r>
      <w:r>
        <w:rPr>
          <w:rFonts w:hint="eastAsia" w:ascii="宋体" w:hAnsi="宋体"/>
          <w:b/>
          <w:color w:val="auto"/>
          <w:szCs w:val="21"/>
          <w:highlight w:val="none"/>
        </w:rPr>
        <w:t>。</w:t>
      </w:r>
      <w:r>
        <w:rPr>
          <w:rFonts w:hint="eastAsia" w:ascii="宋体" w:hAnsi="宋体"/>
          <w:color w:val="auto"/>
          <w:szCs w:val="21"/>
          <w:highlight w:val="none"/>
        </w:rPr>
        <w:t>货物名称、数量及单位、品牌必须与“竞标报价表”一致，</w:t>
      </w:r>
      <w:r>
        <w:rPr>
          <w:rFonts w:hint="eastAsia" w:ascii="宋体" w:hAnsi="宋体"/>
          <w:bCs/>
          <w:color w:val="auto"/>
          <w:szCs w:val="21"/>
          <w:highlight w:val="none"/>
        </w:rPr>
        <w:t>否则响应文件按无效响应处理</w:t>
      </w:r>
      <w:r>
        <w:rPr>
          <w:rFonts w:hint="eastAsia" w:ascii="宋体" w:hAnsi="宋体"/>
          <w:b/>
          <w:color w:val="auto"/>
          <w:szCs w:val="21"/>
          <w:highlight w:val="none"/>
        </w:rPr>
        <w:t>。</w:t>
      </w:r>
      <w:r>
        <w:rPr>
          <w:rFonts w:hint="eastAsia" w:ascii="宋体" w:hAnsi="宋体"/>
          <w:color w:val="auto"/>
          <w:szCs w:val="21"/>
          <w:highlight w:val="none"/>
        </w:rPr>
        <w:tab/>
      </w:r>
    </w:p>
    <w:p w14:paraId="24A64991">
      <w:pPr>
        <w:pStyle w:val="9"/>
        <w:rPr>
          <w:rFonts w:ascii="宋体" w:hAnsi="宋体" w:cs="宋体"/>
          <w:color w:val="auto"/>
          <w:szCs w:val="21"/>
          <w:highlight w:val="none"/>
        </w:rPr>
      </w:pPr>
    </w:p>
    <w:p w14:paraId="44450EC8">
      <w:pPr>
        <w:pStyle w:val="6"/>
        <w:spacing w:before="120" w:line="5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法定代表人或授权代表签字或盖章：        </w:t>
      </w:r>
    </w:p>
    <w:p w14:paraId="74CEE17B">
      <w:pPr>
        <w:pStyle w:val="6"/>
        <w:spacing w:before="120" w:line="5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项目联系人及电话：                                </w:t>
      </w:r>
    </w:p>
    <w:p w14:paraId="73FDE12D">
      <w:pPr>
        <w:pStyle w:val="6"/>
        <w:spacing w:before="120" w:line="5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报价供应商名称（签章）：                          </w:t>
      </w:r>
    </w:p>
    <w:p w14:paraId="26D2FA1F">
      <w:pPr>
        <w:pStyle w:val="6"/>
        <w:spacing w:before="120" w:line="5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报价日期：      年     月  日</w:t>
      </w:r>
    </w:p>
    <w:p w14:paraId="28BFD44F">
      <w:pPr>
        <w:rPr>
          <w:color w:val="auto"/>
          <w:highlight w:val="none"/>
        </w:rPr>
      </w:pPr>
    </w:p>
    <w:p w14:paraId="6FA00A25">
      <w:pPr>
        <w:pStyle w:val="4"/>
        <w:rPr>
          <w:rFonts w:hint="eastAsia" w:ascii="黑体" w:hAnsi="黑体" w:eastAsia="黑体" w:cs="黑体"/>
          <w:color w:val="auto"/>
          <w:sz w:val="36"/>
          <w:szCs w:val="36"/>
          <w:highlight w:val="none"/>
        </w:rPr>
      </w:pPr>
    </w:p>
    <w:bookmarkEnd w:id="2"/>
    <w:p w14:paraId="1C5AB2C2">
      <w:pPr>
        <w:jc w:val="left"/>
        <w:rPr>
          <w:rFonts w:hint="eastAsia" w:ascii="仿宋" w:hAnsi="仿宋" w:eastAsia="仿宋" w:cs="仿宋"/>
          <w:b/>
          <w:color w:val="auto"/>
          <w:sz w:val="24"/>
          <w:szCs w:val="24"/>
          <w:highlight w:val="none"/>
        </w:rPr>
      </w:pPr>
    </w:p>
    <w:p w14:paraId="5CAF6C49">
      <w:pPr>
        <w:jc w:val="left"/>
        <w:rPr>
          <w:rFonts w:hint="eastAsia" w:ascii="仿宋" w:hAnsi="仿宋" w:eastAsia="仿宋" w:cs="仿宋"/>
          <w:b/>
          <w:color w:val="auto"/>
          <w:sz w:val="24"/>
          <w:szCs w:val="24"/>
          <w:highlight w:val="none"/>
        </w:rPr>
      </w:pPr>
    </w:p>
    <w:p w14:paraId="4236CB77">
      <w:pPr>
        <w:jc w:val="left"/>
        <w:rPr>
          <w:rFonts w:hint="eastAsia" w:ascii="仿宋" w:hAnsi="仿宋" w:eastAsia="仿宋" w:cs="仿宋"/>
          <w:b/>
          <w:color w:val="auto"/>
          <w:sz w:val="24"/>
          <w:szCs w:val="24"/>
          <w:highlight w:val="none"/>
        </w:rPr>
      </w:pPr>
    </w:p>
    <w:p w14:paraId="3614B95F">
      <w:pPr>
        <w:jc w:val="left"/>
        <w:rPr>
          <w:rFonts w:hint="eastAsia" w:ascii="仿宋" w:hAnsi="仿宋" w:eastAsia="仿宋" w:cs="仿宋"/>
          <w:b/>
          <w:color w:val="auto"/>
          <w:sz w:val="24"/>
          <w:szCs w:val="24"/>
          <w:highlight w:val="none"/>
        </w:rPr>
      </w:pPr>
    </w:p>
    <w:p w14:paraId="6110A14C">
      <w:pPr>
        <w:jc w:val="left"/>
        <w:rPr>
          <w:rFonts w:hint="eastAsia" w:ascii="仿宋" w:hAnsi="仿宋" w:eastAsia="仿宋" w:cs="仿宋"/>
          <w:b/>
          <w:color w:val="auto"/>
          <w:sz w:val="24"/>
          <w:szCs w:val="24"/>
          <w:highlight w:val="none"/>
        </w:rPr>
      </w:pPr>
    </w:p>
    <w:p w14:paraId="6C84A5E0">
      <w:pPr>
        <w:jc w:val="left"/>
        <w:rPr>
          <w:rFonts w:hint="eastAsia" w:ascii="仿宋" w:hAnsi="仿宋" w:eastAsia="仿宋" w:cs="仿宋"/>
          <w:b/>
          <w:color w:val="auto"/>
          <w:sz w:val="24"/>
          <w:szCs w:val="24"/>
          <w:highlight w:val="none"/>
        </w:rPr>
      </w:pPr>
    </w:p>
    <w:p w14:paraId="2E00E2A9">
      <w:pPr>
        <w:jc w:val="left"/>
        <w:rPr>
          <w:rFonts w:hint="eastAsia" w:ascii="仿宋" w:hAnsi="仿宋" w:eastAsia="仿宋" w:cs="仿宋"/>
          <w:b/>
          <w:color w:val="auto"/>
          <w:sz w:val="24"/>
          <w:szCs w:val="24"/>
          <w:highlight w:val="none"/>
        </w:rPr>
      </w:pPr>
    </w:p>
    <w:p w14:paraId="20C2617B">
      <w:pPr>
        <w:jc w:val="left"/>
        <w:rPr>
          <w:rFonts w:hint="eastAsia" w:ascii="仿宋" w:hAnsi="仿宋" w:eastAsia="仿宋" w:cs="仿宋"/>
          <w:b/>
          <w:color w:val="auto"/>
          <w:sz w:val="24"/>
          <w:szCs w:val="24"/>
          <w:highlight w:val="none"/>
        </w:rPr>
      </w:pPr>
    </w:p>
    <w:p w14:paraId="5A519960">
      <w:pPr>
        <w:jc w:val="left"/>
        <w:rPr>
          <w:rFonts w:hint="eastAsia" w:ascii="仿宋" w:hAnsi="仿宋" w:eastAsia="仿宋" w:cs="仿宋"/>
          <w:b/>
          <w:color w:val="auto"/>
          <w:sz w:val="24"/>
          <w:szCs w:val="24"/>
          <w:highlight w:val="none"/>
        </w:rPr>
      </w:pPr>
    </w:p>
    <w:p w14:paraId="554398FE">
      <w:pPr>
        <w:jc w:val="left"/>
        <w:rPr>
          <w:rFonts w:hint="eastAsia" w:ascii="仿宋" w:hAnsi="仿宋" w:eastAsia="仿宋" w:cs="仿宋"/>
          <w:b/>
          <w:color w:val="auto"/>
          <w:sz w:val="24"/>
          <w:szCs w:val="24"/>
          <w:highlight w:val="none"/>
        </w:rPr>
      </w:pPr>
    </w:p>
    <w:p w14:paraId="23C2A0BB">
      <w:pPr>
        <w:pStyle w:val="2"/>
        <w:rPr>
          <w:rFonts w:hint="eastAsia"/>
          <w:color w:val="auto"/>
        </w:rPr>
      </w:pPr>
    </w:p>
    <w:p w14:paraId="3CB64423">
      <w:pPr>
        <w:jc w:val="left"/>
        <w:rPr>
          <w:rFonts w:hint="eastAsia" w:ascii="仿宋" w:hAnsi="仿宋" w:eastAsia="仿宋" w:cs="仿宋"/>
          <w:b/>
          <w:color w:val="auto"/>
          <w:sz w:val="24"/>
          <w:szCs w:val="24"/>
          <w:highlight w:val="none"/>
        </w:rPr>
      </w:pPr>
    </w:p>
    <w:p w14:paraId="611000FF">
      <w:pPr>
        <w:jc w:val="left"/>
        <w:rPr>
          <w:rFonts w:hint="eastAsia" w:ascii="仿宋" w:hAnsi="仿宋" w:eastAsia="仿宋" w:cs="仿宋"/>
          <w:b/>
          <w:color w:val="auto"/>
          <w:sz w:val="24"/>
          <w:szCs w:val="24"/>
          <w:highlight w:val="none"/>
        </w:rPr>
      </w:pPr>
    </w:p>
    <w:p w14:paraId="4E5B73F5">
      <w:pPr>
        <w:jc w:val="left"/>
        <w:rPr>
          <w:rFonts w:hint="eastAsia" w:ascii="仿宋" w:hAnsi="仿宋" w:eastAsia="仿宋" w:cs="仿宋"/>
          <w:b/>
          <w:color w:val="auto"/>
          <w:sz w:val="24"/>
          <w:szCs w:val="24"/>
          <w:highlight w:val="none"/>
        </w:rPr>
      </w:pPr>
    </w:p>
    <w:p w14:paraId="32A729AD">
      <w:pPr>
        <w:jc w:val="left"/>
        <w:rPr>
          <w:rFonts w:hint="eastAsia" w:ascii="仿宋" w:hAnsi="仿宋" w:eastAsia="仿宋" w:cs="仿宋"/>
          <w:b/>
          <w:color w:val="auto"/>
          <w:sz w:val="24"/>
          <w:szCs w:val="24"/>
          <w:highlight w:val="none"/>
        </w:rPr>
      </w:pPr>
    </w:p>
    <w:p w14:paraId="17C536E8">
      <w:pPr>
        <w:jc w:val="left"/>
        <w:rPr>
          <w:rFonts w:hint="eastAsia" w:ascii="仿宋" w:hAnsi="仿宋" w:eastAsia="仿宋" w:cs="仿宋"/>
          <w:b/>
          <w:color w:val="auto"/>
          <w:sz w:val="24"/>
          <w:szCs w:val="24"/>
          <w:highlight w:val="none"/>
        </w:rPr>
      </w:pPr>
    </w:p>
    <w:p w14:paraId="4C98C1A2">
      <w:pPr>
        <w:jc w:val="left"/>
        <w:rPr>
          <w:rFonts w:hint="eastAsia" w:ascii="仿宋" w:hAnsi="仿宋" w:eastAsia="仿宋" w:cs="仿宋"/>
          <w:b/>
          <w:color w:val="auto"/>
          <w:sz w:val="24"/>
          <w:szCs w:val="24"/>
          <w:highlight w:val="none"/>
        </w:rPr>
      </w:pPr>
    </w:p>
    <w:p w14:paraId="21327AB3">
      <w:pPr>
        <w:jc w:val="left"/>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rPr>
        <w:t>附件</w:t>
      </w:r>
      <w:r>
        <w:rPr>
          <w:rFonts w:hint="eastAsia" w:ascii="仿宋" w:hAnsi="仿宋" w:eastAsia="仿宋" w:cs="仿宋"/>
          <w:b/>
          <w:color w:val="auto"/>
          <w:sz w:val="24"/>
          <w:szCs w:val="24"/>
          <w:highlight w:val="none"/>
          <w:lang w:val="en-US" w:eastAsia="zh-CN"/>
        </w:rPr>
        <w:t>3</w:t>
      </w:r>
    </w:p>
    <w:p w14:paraId="0D67F896">
      <w:pPr>
        <w:pStyle w:val="6"/>
        <w:spacing w:before="120"/>
        <w:jc w:val="center"/>
        <w:rPr>
          <w:rFonts w:hint="eastAsia" w:ascii="Times New Roman" w:hAnsi="Times New Roman" w:eastAsia="宋体" w:cs="Times New Roman"/>
          <w:b/>
          <w:bCs/>
          <w:color w:val="auto"/>
          <w:kern w:val="0"/>
          <w:sz w:val="24"/>
          <w:szCs w:val="24"/>
          <w:highlight w:val="none"/>
          <w:lang w:val="en-US" w:eastAsia="zh-CN" w:bidi="ar-SA"/>
        </w:rPr>
      </w:pPr>
      <w:r>
        <w:rPr>
          <w:rFonts w:hint="eastAsia" w:ascii="Times New Roman" w:hAnsi="Times New Roman" w:eastAsia="宋体" w:cs="Times New Roman"/>
          <w:b/>
          <w:bCs/>
          <w:color w:val="auto"/>
          <w:kern w:val="0"/>
          <w:sz w:val="24"/>
          <w:szCs w:val="24"/>
          <w:highlight w:val="none"/>
          <w:lang w:val="en-US" w:eastAsia="zh-CN" w:bidi="ar-SA"/>
        </w:rPr>
        <w:t>广西中医药大学附设中医学校（广西中医学校）智慧黑板及教学一体机采购项目技术响应响应偏离表（必须提供）</w:t>
      </w:r>
    </w:p>
    <w:p w14:paraId="45D51B3E">
      <w:pPr>
        <w:ind w:right="-292" w:firstLine="480" w:firstLineChars="200"/>
        <w:rPr>
          <w:rFonts w:hint="eastAsia" w:ascii="仿宋_GB2312" w:hAnsi="仿宋_GB2312" w:eastAsia="仿宋_GB2312" w:cs="仿宋_GB2312"/>
          <w:color w:val="auto"/>
          <w:sz w:val="24"/>
          <w:szCs w:val="24"/>
          <w:highlight w:val="none"/>
        </w:rPr>
      </w:pPr>
    </w:p>
    <w:tbl>
      <w:tblPr>
        <w:tblStyle w:val="1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96"/>
        <w:gridCol w:w="1134"/>
        <w:gridCol w:w="2450"/>
        <w:gridCol w:w="3107"/>
        <w:gridCol w:w="1135"/>
      </w:tblGrid>
      <w:tr w14:paraId="6DED7A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38644C27">
            <w:pPr>
              <w:snapToGrid w:val="0"/>
              <w:spacing w:before="156" w:beforeLines="5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C5B7A32">
            <w:pPr>
              <w:snapToGrid w:val="0"/>
              <w:spacing w:before="156" w:beforeLines="5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货物名称</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12E9430">
            <w:pPr>
              <w:snapToGrid w:val="0"/>
              <w:spacing w:before="156" w:beforeLines="5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采购需求文件要求</w:t>
            </w:r>
          </w:p>
          <w:p w14:paraId="6E6A071D">
            <w:pPr>
              <w:snapToGrid w:val="0"/>
              <w:spacing w:before="156" w:beforeLines="5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（注明章节及条款号）</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E20472E">
            <w:pPr>
              <w:snapToGrid w:val="0"/>
              <w:spacing w:before="156" w:beforeLines="5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响应文件响应内容</w:t>
            </w:r>
          </w:p>
          <w:p w14:paraId="050C6022">
            <w:pPr>
              <w:snapToGrid w:val="0"/>
              <w:spacing w:before="156" w:beforeLines="5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（可注明证明材料所在页码）</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744E726">
            <w:pPr>
              <w:snapToGrid w:val="0"/>
              <w:spacing w:before="156" w:beforeLines="5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偏离说明</w:t>
            </w:r>
          </w:p>
        </w:tc>
      </w:tr>
      <w:tr w14:paraId="5A8955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1504CCA0">
            <w:pPr>
              <w:snapToGrid w:val="0"/>
              <w:spacing w:before="156" w:beforeLines="50"/>
              <w:jc w:val="center"/>
              <w:rPr>
                <w:rFonts w:hint="eastAsia" w:ascii="仿宋_GB2312" w:hAnsi="仿宋_GB2312" w:eastAsia="仿宋_GB2312" w:cs="仿宋_GB2312"/>
                <w:color w:val="auto"/>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A01877B">
            <w:pPr>
              <w:snapToGrid w:val="0"/>
              <w:spacing w:before="156" w:beforeLines="50"/>
              <w:jc w:val="center"/>
              <w:rPr>
                <w:rFonts w:hint="eastAsia" w:ascii="仿宋_GB2312" w:hAnsi="仿宋_GB2312" w:eastAsia="仿宋_GB2312" w:cs="仿宋_GB2312"/>
                <w:color w:val="auto"/>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86E1674">
            <w:pPr>
              <w:snapToGrid w:val="0"/>
              <w:spacing w:before="156" w:beforeLines="50"/>
              <w:jc w:val="center"/>
              <w:rPr>
                <w:rFonts w:hint="eastAsia" w:ascii="仿宋_GB2312" w:hAnsi="仿宋_GB2312" w:eastAsia="仿宋_GB2312" w:cs="仿宋_GB2312"/>
                <w:color w:val="auto"/>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97822B7">
            <w:pPr>
              <w:snapToGrid w:val="0"/>
              <w:spacing w:before="156" w:beforeLines="50"/>
              <w:jc w:val="center"/>
              <w:rPr>
                <w:rFonts w:hint="eastAsia" w:ascii="仿宋_GB2312" w:hAnsi="仿宋_GB2312" w:eastAsia="仿宋_GB2312" w:cs="仿宋_GB2312"/>
                <w:color w:val="auto"/>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0E90E938">
            <w:pPr>
              <w:snapToGrid w:val="0"/>
              <w:spacing w:before="156" w:beforeLines="50"/>
              <w:jc w:val="center"/>
              <w:rPr>
                <w:rFonts w:hint="eastAsia" w:ascii="仿宋_GB2312" w:hAnsi="仿宋_GB2312" w:eastAsia="仿宋_GB2312" w:cs="仿宋_GB2312"/>
                <w:color w:val="auto"/>
                <w:sz w:val="24"/>
                <w:szCs w:val="24"/>
                <w:highlight w:val="none"/>
              </w:rPr>
            </w:pPr>
          </w:p>
        </w:tc>
      </w:tr>
      <w:tr w14:paraId="79EC96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6C232B29">
            <w:pPr>
              <w:snapToGrid w:val="0"/>
              <w:spacing w:before="156" w:beforeLines="50"/>
              <w:jc w:val="center"/>
              <w:rPr>
                <w:rFonts w:hint="eastAsia" w:ascii="仿宋_GB2312" w:hAnsi="仿宋_GB2312" w:eastAsia="仿宋_GB2312" w:cs="仿宋_GB2312"/>
                <w:color w:val="auto"/>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5C6841D">
            <w:pPr>
              <w:snapToGrid w:val="0"/>
              <w:spacing w:before="156" w:beforeLines="50"/>
              <w:jc w:val="center"/>
              <w:rPr>
                <w:rFonts w:hint="eastAsia" w:ascii="仿宋_GB2312" w:hAnsi="仿宋_GB2312" w:eastAsia="仿宋_GB2312" w:cs="仿宋_GB2312"/>
                <w:color w:val="auto"/>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9159122">
            <w:pPr>
              <w:snapToGrid w:val="0"/>
              <w:spacing w:before="156" w:beforeLines="50"/>
              <w:jc w:val="center"/>
              <w:rPr>
                <w:rFonts w:hint="eastAsia" w:ascii="仿宋_GB2312" w:hAnsi="仿宋_GB2312" w:eastAsia="仿宋_GB2312" w:cs="仿宋_GB2312"/>
                <w:color w:val="auto"/>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D993E99">
            <w:pPr>
              <w:snapToGrid w:val="0"/>
              <w:spacing w:before="156" w:beforeLines="50"/>
              <w:jc w:val="center"/>
              <w:rPr>
                <w:rFonts w:hint="eastAsia" w:ascii="仿宋_GB2312" w:hAnsi="仿宋_GB2312" w:eastAsia="仿宋_GB2312" w:cs="仿宋_GB2312"/>
                <w:color w:val="auto"/>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54025C17">
            <w:pPr>
              <w:snapToGrid w:val="0"/>
              <w:spacing w:before="156" w:beforeLines="50"/>
              <w:jc w:val="center"/>
              <w:rPr>
                <w:rFonts w:hint="eastAsia" w:ascii="仿宋_GB2312" w:hAnsi="仿宋_GB2312" w:eastAsia="仿宋_GB2312" w:cs="仿宋_GB2312"/>
                <w:color w:val="auto"/>
                <w:sz w:val="24"/>
                <w:szCs w:val="24"/>
                <w:highlight w:val="none"/>
              </w:rPr>
            </w:pPr>
          </w:p>
        </w:tc>
      </w:tr>
      <w:tr w14:paraId="475379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1B21CE2C">
            <w:pPr>
              <w:snapToGrid w:val="0"/>
              <w:spacing w:before="156" w:beforeLines="50"/>
              <w:jc w:val="center"/>
              <w:rPr>
                <w:rFonts w:hint="eastAsia" w:ascii="仿宋_GB2312" w:hAnsi="仿宋_GB2312" w:eastAsia="仿宋_GB2312" w:cs="仿宋_GB2312"/>
                <w:color w:val="auto"/>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14203D9">
            <w:pPr>
              <w:snapToGrid w:val="0"/>
              <w:spacing w:before="156" w:beforeLines="50"/>
              <w:jc w:val="center"/>
              <w:rPr>
                <w:rFonts w:hint="eastAsia" w:ascii="仿宋_GB2312" w:hAnsi="仿宋_GB2312" w:eastAsia="仿宋_GB2312" w:cs="仿宋_GB2312"/>
                <w:color w:val="auto"/>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872AABC">
            <w:pPr>
              <w:snapToGrid w:val="0"/>
              <w:spacing w:before="156" w:beforeLines="50"/>
              <w:jc w:val="center"/>
              <w:rPr>
                <w:rFonts w:hint="eastAsia" w:ascii="仿宋_GB2312" w:hAnsi="仿宋_GB2312" w:eastAsia="仿宋_GB2312" w:cs="仿宋_GB2312"/>
                <w:color w:val="auto"/>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2D8F314">
            <w:pPr>
              <w:snapToGrid w:val="0"/>
              <w:spacing w:before="156" w:beforeLines="50"/>
              <w:jc w:val="center"/>
              <w:rPr>
                <w:rFonts w:hint="eastAsia" w:ascii="仿宋_GB2312" w:hAnsi="仿宋_GB2312" w:eastAsia="仿宋_GB2312" w:cs="仿宋_GB2312"/>
                <w:color w:val="auto"/>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06FFBF79">
            <w:pPr>
              <w:snapToGrid w:val="0"/>
              <w:spacing w:before="156" w:beforeLines="50"/>
              <w:jc w:val="center"/>
              <w:rPr>
                <w:rFonts w:hint="eastAsia" w:ascii="仿宋_GB2312" w:hAnsi="仿宋_GB2312" w:eastAsia="仿宋_GB2312" w:cs="仿宋_GB2312"/>
                <w:color w:val="auto"/>
                <w:sz w:val="24"/>
                <w:szCs w:val="24"/>
                <w:highlight w:val="none"/>
              </w:rPr>
            </w:pPr>
          </w:p>
        </w:tc>
      </w:tr>
      <w:tr w14:paraId="203B76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5B67992C">
            <w:pPr>
              <w:snapToGrid w:val="0"/>
              <w:spacing w:before="156" w:beforeLines="5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F478690">
            <w:pPr>
              <w:snapToGrid w:val="0"/>
              <w:spacing w:before="156" w:beforeLines="5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71FD3C4">
            <w:pPr>
              <w:snapToGrid w:val="0"/>
              <w:spacing w:before="156" w:beforeLines="5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596AD57">
            <w:pPr>
              <w:snapToGrid w:val="0"/>
              <w:spacing w:before="156" w:beforeLines="5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81A17D3">
            <w:pPr>
              <w:snapToGrid w:val="0"/>
              <w:spacing w:before="156" w:beforeLines="5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p>
        </w:tc>
      </w:tr>
    </w:tbl>
    <w:p w14:paraId="2E8A2282">
      <w:pPr>
        <w:ind w:right="-292" w:firstLine="420"/>
        <w:rPr>
          <w:rFonts w:hint="eastAsia" w:ascii="仿宋_GB2312" w:hAnsi="仿宋_GB2312" w:eastAsia="仿宋_GB2312" w:cs="仿宋_GB2312"/>
          <w:color w:val="auto"/>
          <w:sz w:val="24"/>
          <w:szCs w:val="24"/>
          <w:highlight w:val="none"/>
        </w:rPr>
      </w:pPr>
    </w:p>
    <w:p w14:paraId="7B92DCEE">
      <w:pPr>
        <w:pStyle w:val="6"/>
        <w:tabs>
          <w:tab w:val="left" w:pos="2127"/>
        </w:tabs>
        <w:spacing w:line="340" w:lineRule="exact"/>
        <w:ind w:right="-292"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注：</w:t>
      </w:r>
    </w:p>
    <w:p w14:paraId="424D93AA">
      <w:pPr>
        <w:ind w:right="-292"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1.说明：应对照</w:t>
      </w:r>
      <w:r>
        <w:rPr>
          <w:rFonts w:hint="eastAsia" w:ascii="宋体" w:hAnsi="宋体" w:eastAsia="宋体" w:cs="宋体"/>
          <w:color w:val="auto"/>
          <w:kern w:val="0"/>
          <w:sz w:val="21"/>
          <w:szCs w:val="21"/>
          <w:highlight w:val="none"/>
          <w:lang w:val="en-US" w:eastAsia="zh-CN"/>
        </w:rPr>
        <w:t>采购需求文件</w:t>
      </w:r>
      <w:r>
        <w:rPr>
          <w:rFonts w:hint="eastAsia" w:ascii="宋体" w:hAnsi="宋体" w:eastAsia="宋体" w:cs="宋体"/>
          <w:color w:val="auto"/>
          <w:kern w:val="0"/>
          <w:sz w:val="21"/>
          <w:szCs w:val="21"/>
          <w:highlight w:val="none"/>
        </w:rPr>
        <w:t>中的技术参数及性能（配置）要求逐条实质性响应，并作出偏离说明。</w:t>
      </w:r>
    </w:p>
    <w:p w14:paraId="3C68DAF3">
      <w:pPr>
        <w:keepNext w:val="0"/>
        <w:keepLines w:val="0"/>
        <w:pageBreakBefore w:val="0"/>
        <w:widowControl/>
        <w:kinsoku/>
        <w:wordWrap/>
        <w:overflowPunct/>
        <w:topLinePunct w:val="0"/>
        <w:autoSpaceDE/>
        <w:autoSpaceDN/>
        <w:bidi w:val="0"/>
        <w:adjustRightInd/>
        <w:snapToGrid/>
        <w:spacing w:line="240" w:lineRule="auto"/>
        <w:ind w:right="-292" w:firstLine="420" w:firstLineChars="0"/>
        <w:jc w:val="left"/>
        <w:textAlignment w:val="auto"/>
        <w:rPr>
          <w:rFonts w:hint="eastAsia" w:ascii="宋体" w:hAnsi="宋体" w:eastAsia="宋体" w:cs="宋体"/>
          <w:color w:val="auto"/>
          <w:kern w:val="0"/>
          <w:sz w:val="21"/>
          <w:szCs w:val="21"/>
          <w:highlight w:val="none"/>
          <w:u w:val="none"/>
        </w:rPr>
      </w:pPr>
      <w:r>
        <w:rPr>
          <w:rFonts w:hint="eastAsia" w:ascii="宋体" w:hAnsi="宋体" w:eastAsia="宋体" w:cs="宋体"/>
          <w:color w:val="auto"/>
          <w:kern w:val="0"/>
          <w:sz w:val="21"/>
          <w:szCs w:val="21"/>
          <w:highlight w:val="none"/>
        </w:rPr>
        <w:t>2.供应商应根据自身的承诺，对照磋商文件要求在“偏离说明”中注明“正偏离</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负偏离”或者“无偏离”。既不属于“正偏离”也不属于“负偏离”即为“无偏离”。</w:t>
      </w:r>
    </w:p>
    <w:p w14:paraId="44961DD7">
      <w:pPr>
        <w:ind w:right="-292"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3.表格内容均需按要求填写并盖章，不得留空，否则按竞标无效处理。</w:t>
      </w:r>
    </w:p>
    <w:p w14:paraId="7A8C95F9">
      <w:pPr>
        <w:ind w:right="-292"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如果采购需求商务条款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0532B3C7">
      <w:pPr>
        <w:ind w:right="-292" w:firstLine="42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5.如技术偏离表中的竞标响应与佐证材料不一致的，以佐证材料为准。</w:t>
      </w:r>
    </w:p>
    <w:p w14:paraId="63F32224">
      <w:pPr>
        <w:ind w:right="-292" w:firstLine="42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本表可扩展</w:t>
      </w:r>
    </w:p>
    <w:p w14:paraId="25B9A3C9">
      <w:pPr>
        <w:ind w:right="-292" w:firstLine="420"/>
        <w:rPr>
          <w:rFonts w:hint="eastAsia" w:ascii="仿宋_GB2312" w:hAnsi="仿宋_GB2312" w:eastAsia="仿宋_GB2312" w:cs="仿宋_GB2312"/>
          <w:color w:val="auto"/>
          <w:sz w:val="24"/>
          <w:szCs w:val="24"/>
          <w:highlight w:val="none"/>
        </w:rPr>
      </w:pPr>
    </w:p>
    <w:p w14:paraId="770E26FF">
      <w:pPr>
        <w:pStyle w:val="6"/>
        <w:spacing w:before="120" w:line="5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法定代表人或授权代表签字或盖章：        </w:t>
      </w:r>
    </w:p>
    <w:p w14:paraId="343FC27F">
      <w:pPr>
        <w:pStyle w:val="6"/>
        <w:spacing w:before="120" w:line="5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项目联系人及电话：                                </w:t>
      </w:r>
    </w:p>
    <w:p w14:paraId="679F4626">
      <w:pPr>
        <w:pStyle w:val="6"/>
        <w:spacing w:before="120" w:line="5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报价供应商名称（签章）：                          </w:t>
      </w:r>
    </w:p>
    <w:p w14:paraId="3F274153">
      <w:pPr>
        <w:pStyle w:val="6"/>
        <w:spacing w:before="120" w:line="500" w:lineRule="exact"/>
        <w:rPr>
          <w:rFonts w:hint="eastAsia" w:ascii="黑体" w:hAnsi="黑体" w:eastAsia="黑体" w:cs="黑体"/>
          <w:color w:val="auto"/>
          <w:sz w:val="36"/>
          <w:szCs w:val="36"/>
          <w:highlight w:val="none"/>
        </w:rPr>
      </w:pPr>
      <w:r>
        <w:rPr>
          <w:rFonts w:hint="eastAsia" w:ascii="仿宋_GB2312" w:hAnsi="仿宋_GB2312" w:eastAsia="仿宋_GB2312" w:cs="仿宋_GB2312"/>
          <w:color w:val="auto"/>
          <w:sz w:val="24"/>
          <w:szCs w:val="24"/>
          <w:highlight w:val="none"/>
        </w:rPr>
        <w:t>报价日期：      年     月  日</w:t>
      </w:r>
    </w:p>
    <w:p w14:paraId="0E25A6C8">
      <w:pPr>
        <w:snapToGrid w:val="0"/>
        <w:spacing w:before="120" w:after="156" w:afterLines="50" w:line="440" w:lineRule="exact"/>
        <w:ind w:right="-292"/>
        <w:jc w:val="left"/>
        <w:rPr>
          <w:rFonts w:hint="eastAsia" w:ascii="仿宋_GB2312" w:hAnsi="仿宋_GB2312" w:eastAsia="仿宋_GB2312" w:cs="仿宋_GB2312"/>
          <w:color w:val="auto"/>
          <w:sz w:val="24"/>
          <w:szCs w:val="24"/>
          <w:highlight w:val="none"/>
          <w:lang w:val="en-US" w:eastAsia="zh-CN"/>
        </w:rPr>
      </w:pPr>
    </w:p>
    <w:p w14:paraId="65B7627B">
      <w:pPr>
        <w:snapToGrid w:val="0"/>
        <w:spacing w:before="120" w:after="156" w:afterLines="50" w:line="440" w:lineRule="exact"/>
        <w:ind w:right="-292"/>
        <w:jc w:val="left"/>
        <w:rPr>
          <w:rFonts w:hint="eastAsia" w:ascii="仿宋_GB2312" w:hAnsi="仿宋_GB2312" w:eastAsia="仿宋_GB2312" w:cs="仿宋_GB2312"/>
          <w:color w:val="auto"/>
          <w:sz w:val="24"/>
          <w:szCs w:val="24"/>
          <w:highlight w:val="none"/>
          <w:lang w:val="en-US" w:eastAsia="zh-CN"/>
        </w:rPr>
      </w:pPr>
    </w:p>
    <w:p w14:paraId="1C69FDC9">
      <w:pPr>
        <w:snapToGrid w:val="0"/>
        <w:spacing w:before="120" w:after="156" w:afterLines="50" w:line="440" w:lineRule="exact"/>
        <w:ind w:right="-292"/>
        <w:jc w:val="left"/>
        <w:rPr>
          <w:rFonts w:hint="eastAsia" w:ascii="仿宋_GB2312" w:hAnsi="仿宋_GB2312" w:eastAsia="仿宋_GB2312" w:cs="仿宋_GB2312"/>
          <w:color w:val="auto"/>
          <w:sz w:val="24"/>
          <w:szCs w:val="24"/>
          <w:highlight w:val="none"/>
          <w:lang w:val="en-US" w:eastAsia="zh-CN"/>
        </w:rPr>
      </w:pPr>
    </w:p>
    <w:p w14:paraId="42ADE0EC">
      <w:pPr>
        <w:snapToGrid w:val="0"/>
        <w:spacing w:before="120" w:after="156" w:afterLines="50" w:line="440" w:lineRule="exact"/>
        <w:ind w:right="-292"/>
        <w:jc w:val="left"/>
        <w:rPr>
          <w:rFonts w:hint="eastAsia" w:ascii="仿宋_GB2312" w:hAnsi="仿宋_GB2312" w:eastAsia="仿宋_GB2312" w:cs="仿宋_GB2312"/>
          <w:color w:val="auto"/>
          <w:sz w:val="24"/>
          <w:szCs w:val="24"/>
          <w:highlight w:val="none"/>
          <w:lang w:val="en-US" w:eastAsia="zh-CN"/>
        </w:rPr>
      </w:pPr>
    </w:p>
    <w:p w14:paraId="499C0784">
      <w:pPr>
        <w:snapToGrid w:val="0"/>
        <w:spacing w:before="120" w:after="156" w:afterLines="50" w:line="440" w:lineRule="exact"/>
        <w:ind w:right="-292"/>
        <w:jc w:val="left"/>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附件4</w:t>
      </w:r>
    </w:p>
    <w:p w14:paraId="406F40C6">
      <w:pPr>
        <w:pStyle w:val="6"/>
        <w:spacing w:before="120"/>
        <w:jc w:val="center"/>
        <w:rPr>
          <w:color w:val="auto"/>
          <w:highlight w:val="none"/>
        </w:rPr>
      </w:pPr>
      <w:r>
        <w:rPr>
          <w:rFonts w:hint="eastAsia" w:ascii="Times New Roman" w:hAnsi="Times New Roman" w:eastAsia="宋体" w:cs="Times New Roman"/>
          <w:b/>
          <w:bCs/>
          <w:color w:val="auto"/>
          <w:kern w:val="0"/>
          <w:sz w:val="24"/>
          <w:szCs w:val="24"/>
          <w:highlight w:val="none"/>
          <w:lang w:val="en-US" w:eastAsia="zh-CN" w:bidi="ar-SA"/>
        </w:rPr>
        <w:t>广西中医药大学附设中医学校（广西中医学校）智慧黑板及教学一体机采购项目</w:t>
      </w:r>
      <w:r>
        <w:rPr>
          <w:rFonts w:hint="eastAsia"/>
          <w:b/>
          <w:bCs/>
          <w:color w:val="auto"/>
          <w:highlight w:val="none"/>
        </w:rPr>
        <w:t>商务条款响应偏离表</w:t>
      </w:r>
      <w:r>
        <w:rPr>
          <w:rFonts w:hint="eastAsia" w:ascii="Times New Roman" w:hAnsi="Times New Roman" w:eastAsia="宋体" w:cs="Times New Roman"/>
          <w:b/>
          <w:bCs/>
          <w:color w:val="auto"/>
          <w:kern w:val="0"/>
          <w:sz w:val="24"/>
          <w:szCs w:val="24"/>
          <w:highlight w:val="none"/>
          <w:lang w:val="en-US" w:eastAsia="zh-CN" w:bidi="ar-SA"/>
        </w:rPr>
        <w:t>（必须提供）</w:t>
      </w:r>
    </w:p>
    <w:tbl>
      <w:tblPr>
        <w:tblStyle w:val="1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48AFB3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3C5FC19B">
            <w:pPr>
              <w:snapToGrid w:val="0"/>
              <w:spacing w:before="156" w:beforeLines="5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12B2115D">
            <w:pPr>
              <w:snapToGrid w:val="0"/>
              <w:spacing w:before="156" w:beforeLines="5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采购需求文件要求（注明章节及条款号）</w:t>
            </w:r>
          </w:p>
        </w:tc>
        <w:tc>
          <w:tcPr>
            <w:tcW w:w="3405" w:type="dxa"/>
            <w:tcBorders>
              <w:top w:val="single" w:color="auto" w:sz="4" w:space="0"/>
              <w:left w:val="single" w:color="auto" w:sz="4" w:space="0"/>
              <w:bottom w:val="single" w:color="auto" w:sz="4" w:space="0"/>
              <w:right w:val="single" w:color="auto" w:sz="4" w:space="0"/>
            </w:tcBorders>
            <w:noWrap w:val="0"/>
            <w:vAlign w:val="center"/>
          </w:tcPr>
          <w:p w14:paraId="377E1FB4">
            <w:pPr>
              <w:snapToGrid w:val="0"/>
              <w:spacing w:before="156" w:beforeLines="5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响应文件响应内容（可注明所在页码）</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1F1BEDA2">
            <w:pPr>
              <w:snapToGrid w:val="0"/>
              <w:spacing w:before="156" w:beforeLines="5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偏离说明</w:t>
            </w:r>
          </w:p>
        </w:tc>
      </w:tr>
      <w:tr w14:paraId="3EAF4E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3F6BD481">
            <w:pPr>
              <w:snapToGrid w:val="0"/>
              <w:spacing w:before="156" w:beforeLines="50"/>
              <w:jc w:val="center"/>
              <w:rPr>
                <w:rFonts w:hint="eastAsia" w:ascii="仿宋_GB2312" w:hAnsi="仿宋_GB2312" w:eastAsia="仿宋_GB2312" w:cs="仿宋_GB2312"/>
                <w:color w:val="auto"/>
                <w:sz w:val="24"/>
                <w:szCs w:val="24"/>
                <w:highlight w:val="none"/>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3CDB106E">
            <w:pPr>
              <w:snapToGrid w:val="0"/>
              <w:spacing w:before="156" w:beforeLines="50"/>
              <w:jc w:val="center"/>
              <w:rPr>
                <w:rFonts w:hint="eastAsia" w:ascii="仿宋_GB2312" w:hAnsi="仿宋_GB2312" w:eastAsia="仿宋_GB2312" w:cs="仿宋_GB2312"/>
                <w:color w:val="auto"/>
                <w:sz w:val="24"/>
                <w:szCs w:val="24"/>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2733ECFE">
            <w:pPr>
              <w:snapToGrid w:val="0"/>
              <w:spacing w:before="156" w:beforeLines="50"/>
              <w:jc w:val="center"/>
              <w:rPr>
                <w:rFonts w:hint="eastAsia" w:ascii="仿宋_GB2312" w:hAnsi="仿宋_GB2312" w:eastAsia="仿宋_GB2312" w:cs="仿宋_GB2312"/>
                <w:color w:val="auto"/>
                <w:sz w:val="24"/>
                <w:szCs w:val="24"/>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378D917C">
            <w:pPr>
              <w:snapToGrid w:val="0"/>
              <w:spacing w:before="156" w:beforeLines="50"/>
              <w:jc w:val="center"/>
              <w:rPr>
                <w:rFonts w:hint="eastAsia" w:ascii="仿宋_GB2312" w:hAnsi="仿宋_GB2312" w:eastAsia="仿宋_GB2312" w:cs="仿宋_GB2312"/>
                <w:color w:val="auto"/>
                <w:sz w:val="24"/>
                <w:szCs w:val="24"/>
                <w:highlight w:val="none"/>
              </w:rPr>
            </w:pPr>
          </w:p>
        </w:tc>
      </w:tr>
      <w:tr w14:paraId="25B263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09C8654F">
            <w:pPr>
              <w:snapToGrid w:val="0"/>
              <w:spacing w:before="156" w:beforeLines="5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3907E551">
            <w:pPr>
              <w:snapToGrid w:val="0"/>
              <w:spacing w:before="156" w:beforeLines="50"/>
              <w:jc w:val="center"/>
              <w:rPr>
                <w:rFonts w:hint="eastAsia" w:ascii="仿宋_GB2312" w:hAnsi="仿宋_GB2312" w:eastAsia="仿宋_GB2312" w:cs="仿宋_GB2312"/>
                <w:color w:val="auto"/>
                <w:sz w:val="24"/>
                <w:szCs w:val="24"/>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1D6017A4">
            <w:pPr>
              <w:snapToGrid w:val="0"/>
              <w:spacing w:before="156" w:beforeLines="50"/>
              <w:jc w:val="center"/>
              <w:rPr>
                <w:rFonts w:hint="eastAsia" w:ascii="仿宋_GB2312" w:hAnsi="仿宋_GB2312" w:eastAsia="仿宋_GB2312" w:cs="仿宋_GB2312"/>
                <w:color w:val="auto"/>
                <w:sz w:val="24"/>
                <w:szCs w:val="24"/>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69B29301">
            <w:pPr>
              <w:snapToGrid w:val="0"/>
              <w:spacing w:before="156" w:beforeLines="50"/>
              <w:jc w:val="center"/>
              <w:rPr>
                <w:rFonts w:hint="eastAsia" w:ascii="仿宋_GB2312" w:hAnsi="仿宋_GB2312" w:eastAsia="仿宋_GB2312" w:cs="仿宋_GB2312"/>
                <w:color w:val="auto"/>
                <w:sz w:val="24"/>
                <w:szCs w:val="24"/>
                <w:highlight w:val="none"/>
              </w:rPr>
            </w:pPr>
          </w:p>
        </w:tc>
      </w:tr>
    </w:tbl>
    <w:p w14:paraId="56DB4B13">
      <w:pPr>
        <w:pStyle w:val="6"/>
        <w:tabs>
          <w:tab w:val="left" w:pos="2127"/>
        </w:tabs>
        <w:spacing w:line="340" w:lineRule="exact"/>
        <w:ind w:right="-292"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注：</w:t>
      </w:r>
    </w:p>
    <w:p w14:paraId="054784F3">
      <w:pPr>
        <w:ind w:right="-292"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1.说明：应对照</w:t>
      </w:r>
      <w:r>
        <w:rPr>
          <w:rFonts w:hint="eastAsia" w:ascii="宋体" w:hAnsi="宋体" w:eastAsia="宋体" w:cs="宋体"/>
          <w:color w:val="auto"/>
          <w:kern w:val="0"/>
          <w:sz w:val="21"/>
          <w:szCs w:val="21"/>
          <w:highlight w:val="none"/>
          <w:lang w:val="en-US" w:eastAsia="zh-CN"/>
        </w:rPr>
        <w:t>采购需求文件</w:t>
      </w:r>
      <w:r>
        <w:rPr>
          <w:rFonts w:hint="eastAsia" w:ascii="宋体" w:hAnsi="宋体" w:eastAsia="宋体" w:cs="宋体"/>
          <w:color w:val="auto"/>
          <w:kern w:val="0"/>
          <w:sz w:val="21"/>
          <w:szCs w:val="21"/>
          <w:highlight w:val="none"/>
        </w:rPr>
        <w:t>中的</w:t>
      </w:r>
      <w:r>
        <w:rPr>
          <w:rFonts w:hint="eastAsia" w:ascii="宋体" w:hAnsi="宋体" w:eastAsia="宋体" w:cs="宋体"/>
          <w:b w:val="0"/>
          <w:bCs w:val="0"/>
          <w:color w:val="auto"/>
          <w:kern w:val="0"/>
          <w:sz w:val="21"/>
          <w:szCs w:val="21"/>
          <w:highlight w:val="none"/>
          <w:lang w:val="en-US" w:eastAsia="zh-CN"/>
        </w:rPr>
        <w:t>商务</w:t>
      </w:r>
      <w:r>
        <w:rPr>
          <w:rFonts w:hint="eastAsia" w:ascii="宋体" w:hAnsi="宋体" w:eastAsia="宋体" w:cs="宋体"/>
          <w:color w:val="auto"/>
          <w:kern w:val="0"/>
          <w:sz w:val="21"/>
          <w:szCs w:val="21"/>
          <w:highlight w:val="none"/>
        </w:rPr>
        <w:t>条款逐条实质性响应，并作出偏离说明。</w:t>
      </w:r>
    </w:p>
    <w:p w14:paraId="0E11D54D">
      <w:pPr>
        <w:keepNext w:val="0"/>
        <w:keepLines w:val="0"/>
        <w:pageBreakBefore w:val="0"/>
        <w:widowControl/>
        <w:kinsoku/>
        <w:wordWrap/>
        <w:overflowPunct/>
        <w:topLinePunct w:val="0"/>
        <w:autoSpaceDE/>
        <w:autoSpaceDN/>
        <w:bidi w:val="0"/>
        <w:adjustRightInd/>
        <w:snapToGrid/>
        <w:spacing w:line="240" w:lineRule="auto"/>
        <w:ind w:right="-292" w:firstLine="420" w:firstLineChars="0"/>
        <w:jc w:val="left"/>
        <w:textAlignment w:val="auto"/>
        <w:rPr>
          <w:rFonts w:hint="eastAsia" w:ascii="宋体" w:hAnsi="宋体" w:eastAsia="宋体" w:cs="宋体"/>
          <w:color w:val="auto"/>
          <w:kern w:val="0"/>
          <w:sz w:val="21"/>
          <w:szCs w:val="21"/>
          <w:highlight w:val="none"/>
          <w:u w:val="none"/>
        </w:rPr>
      </w:pPr>
      <w:r>
        <w:rPr>
          <w:rFonts w:hint="eastAsia" w:ascii="宋体" w:hAnsi="宋体" w:eastAsia="宋体" w:cs="宋体"/>
          <w:color w:val="auto"/>
          <w:kern w:val="0"/>
          <w:sz w:val="21"/>
          <w:szCs w:val="21"/>
          <w:highlight w:val="none"/>
        </w:rPr>
        <w:t>2.供应商应根据自身的承诺，对照磋商文件要求在“偏离说明”中注明“正偏离</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负偏离”或者“无偏离”。既不属于“正偏离”也不属于“负偏离”即为“无偏离”。</w:t>
      </w:r>
    </w:p>
    <w:p w14:paraId="6184335C">
      <w:pPr>
        <w:ind w:right="-292"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3.表格内容均需按要求填写并盖章，不得留空，否则按竞标无效处理。</w:t>
      </w:r>
    </w:p>
    <w:p w14:paraId="4C6333FA">
      <w:pPr>
        <w:ind w:right="-292"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如果采购需求商务条款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3113F96E">
      <w:pPr>
        <w:ind w:right="-292" w:firstLine="42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5.如技术偏离表中的竞标响应与佐证材料不一致的，以佐证材料为准。</w:t>
      </w:r>
    </w:p>
    <w:p w14:paraId="15CC95AE">
      <w:pPr>
        <w:ind w:right="-292" w:firstLine="42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本表可扩展</w:t>
      </w:r>
    </w:p>
    <w:p w14:paraId="3A71C67C">
      <w:pPr>
        <w:pStyle w:val="6"/>
        <w:spacing w:before="120" w:line="5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法定代表人或授权代表签字或盖章：        </w:t>
      </w:r>
    </w:p>
    <w:p w14:paraId="1AFC57BD">
      <w:pPr>
        <w:pStyle w:val="6"/>
        <w:spacing w:before="120" w:line="5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项目联系人及电话：                                </w:t>
      </w:r>
    </w:p>
    <w:p w14:paraId="012EECFB">
      <w:pPr>
        <w:pStyle w:val="6"/>
        <w:spacing w:before="120" w:line="5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报价供应商名称（签章）：                          </w:t>
      </w:r>
    </w:p>
    <w:p w14:paraId="01A644C5">
      <w:pPr>
        <w:pStyle w:val="6"/>
        <w:spacing w:before="120" w:line="500" w:lineRule="exact"/>
        <w:rPr>
          <w:rFonts w:hint="eastAsia" w:ascii="黑体" w:hAnsi="黑体" w:eastAsia="黑体" w:cs="黑体"/>
          <w:color w:val="auto"/>
          <w:sz w:val="36"/>
          <w:szCs w:val="36"/>
          <w:highlight w:val="none"/>
        </w:rPr>
      </w:pPr>
      <w:r>
        <w:rPr>
          <w:rFonts w:hint="eastAsia" w:ascii="仿宋_GB2312" w:hAnsi="仿宋_GB2312" w:eastAsia="仿宋_GB2312" w:cs="仿宋_GB2312"/>
          <w:color w:val="auto"/>
          <w:sz w:val="24"/>
          <w:szCs w:val="24"/>
          <w:highlight w:val="none"/>
        </w:rPr>
        <w:t>报价日期：      年     月  日</w:t>
      </w:r>
    </w:p>
    <w:p w14:paraId="6DEE4C34">
      <w:pPr>
        <w:pStyle w:val="6"/>
        <w:spacing w:before="120" w:line="500" w:lineRule="exact"/>
        <w:rPr>
          <w:rFonts w:hint="eastAsia" w:ascii="黑体" w:hAnsi="黑体" w:eastAsia="黑体" w:cs="黑体"/>
          <w:color w:val="auto"/>
          <w:sz w:val="36"/>
          <w:szCs w:val="36"/>
          <w:highlight w:val="none"/>
        </w:rPr>
      </w:pPr>
      <w:r>
        <w:rPr>
          <w:rFonts w:hint="eastAsia" w:ascii="仿宋_GB2312" w:hAnsi="仿宋_GB2312" w:eastAsia="仿宋_GB2312" w:cs="仿宋_GB2312"/>
          <w:color w:val="auto"/>
          <w:sz w:val="24"/>
          <w:szCs w:val="24"/>
          <w:highlight w:val="none"/>
        </w:rPr>
        <w:br w:type="page"/>
      </w:r>
    </w:p>
    <w:p w14:paraId="0FB66DC2">
      <w:pPr>
        <w:pStyle w:val="6"/>
        <w:spacing w:before="120" w:line="500" w:lineRule="exact"/>
        <w:rPr>
          <w:rFonts w:hint="eastAsia" w:ascii="仿宋" w:hAnsi="仿宋" w:eastAsia="仿宋" w:cs="仿宋"/>
          <w:color w:val="auto"/>
          <w:sz w:val="24"/>
          <w:szCs w:val="24"/>
          <w:highlight w:val="none"/>
        </w:rPr>
      </w:pPr>
    </w:p>
    <w:p w14:paraId="2C34E6B2">
      <w:pPr>
        <w:rPr>
          <w:rFonts w:hint="eastAsia"/>
          <w:color w:val="auto"/>
          <w:highlight w:val="none"/>
          <w:lang w:val="en-US" w:eastAsia="zh-CN"/>
        </w:rPr>
      </w:pPr>
      <w:r>
        <w:rPr>
          <w:rFonts w:hint="eastAsia"/>
          <w:color w:val="auto"/>
          <w:highlight w:val="none"/>
          <w:lang w:val="en-US" w:eastAsia="zh-CN"/>
        </w:rPr>
        <w:t>响应文件附件要求：必须提供材料包括不限于：</w:t>
      </w:r>
    </w:p>
    <w:p w14:paraId="7D8316C2">
      <w:pPr>
        <w:rPr>
          <w:rFonts w:hint="eastAsia"/>
          <w:color w:val="auto"/>
          <w:highlight w:val="none"/>
          <w:lang w:val="en-US" w:eastAsia="zh-CN"/>
        </w:rPr>
      </w:pPr>
      <w:r>
        <w:rPr>
          <w:rFonts w:hint="eastAsia"/>
          <w:color w:val="auto"/>
          <w:highlight w:val="none"/>
          <w:lang w:val="en-US" w:eastAsia="zh-CN"/>
        </w:rPr>
        <w:t>1.项目报价表（附件1）</w:t>
      </w:r>
    </w:p>
    <w:p w14:paraId="192164D2">
      <w:pPr>
        <w:rPr>
          <w:rFonts w:hint="eastAsia"/>
          <w:color w:val="auto"/>
          <w:highlight w:val="none"/>
          <w:lang w:val="en-US" w:eastAsia="zh-CN"/>
        </w:rPr>
      </w:pPr>
      <w:r>
        <w:rPr>
          <w:rFonts w:hint="eastAsia"/>
          <w:color w:val="auto"/>
          <w:highlight w:val="none"/>
          <w:lang w:val="en-US" w:eastAsia="zh-CN"/>
        </w:rPr>
        <w:t>2.货物技术参数配置清单（附件2）</w:t>
      </w:r>
    </w:p>
    <w:p w14:paraId="0AF508BC">
      <w:pPr>
        <w:rPr>
          <w:rFonts w:hint="eastAsia"/>
          <w:color w:val="auto"/>
          <w:highlight w:val="none"/>
          <w:lang w:val="en-US" w:eastAsia="zh-CN"/>
        </w:rPr>
      </w:pPr>
      <w:r>
        <w:rPr>
          <w:rFonts w:hint="eastAsia"/>
          <w:color w:val="auto"/>
          <w:highlight w:val="none"/>
          <w:lang w:val="en-US" w:eastAsia="zh-CN"/>
        </w:rPr>
        <w:t>3.技术参数及性能（配置）要求响应偏离表（附件3）</w:t>
      </w:r>
    </w:p>
    <w:p w14:paraId="3388D8A9">
      <w:pPr>
        <w:rPr>
          <w:rFonts w:hint="eastAsia"/>
          <w:color w:val="auto"/>
          <w:highlight w:val="none"/>
          <w:lang w:val="en-US" w:eastAsia="zh-CN"/>
        </w:rPr>
      </w:pPr>
      <w:r>
        <w:rPr>
          <w:rFonts w:hint="eastAsia"/>
          <w:color w:val="auto"/>
          <w:highlight w:val="none"/>
          <w:lang w:val="en-US" w:eastAsia="zh-CN"/>
        </w:rPr>
        <w:t>4.商务条款响应偏离表（附件4）</w:t>
      </w:r>
    </w:p>
    <w:p w14:paraId="71B522A5">
      <w:pPr>
        <w:rPr>
          <w:rFonts w:hint="eastAsia" w:ascii="Calibri" w:hAnsi="Calibri"/>
          <w:b w:val="0"/>
          <w:color w:val="auto"/>
          <w:szCs w:val="22"/>
          <w:highlight w:val="none"/>
          <w:lang w:val="en-US" w:eastAsia="zh-CN"/>
        </w:rPr>
      </w:pPr>
      <w:r>
        <w:rPr>
          <w:rFonts w:hint="eastAsia"/>
          <w:color w:val="auto"/>
          <w:highlight w:val="none"/>
          <w:lang w:val="en-US" w:eastAsia="zh-CN"/>
        </w:rPr>
        <w:t>5.符合本项目需求的</w:t>
      </w:r>
      <w:r>
        <w:rPr>
          <w:rFonts w:hint="eastAsia" w:ascii="Calibri" w:hAnsi="Calibri"/>
          <w:b w:val="0"/>
          <w:color w:val="auto"/>
          <w:szCs w:val="22"/>
          <w:highlight w:val="none"/>
        </w:rPr>
        <w:t>供应商资格</w:t>
      </w:r>
      <w:r>
        <w:rPr>
          <w:rFonts w:hint="eastAsia" w:ascii="Calibri" w:hAnsi="Calibri"/>
          <w:b w:val="0"/>
          <w:color w:val="auto"/>
          <w:szCs w:val="22"/>
          <w:highlight w:val="none"/>
          <w:lang w:val="en-US" w:eastAsia="zh-CN"/>
        </w:rPr>
        <w:t>证明材料</w:t>
      </w:r>
    </w:p>
    <w:p w14:paraId="79CBD35C">
      <w:pPr>
        <w:rPr>
          <w:rFonts w:hint="eastAsia"/>
          <w:color w:val="auto"/>
          <w:highlight w:val="none"/>
          <w:lang w:val="en-US" w:eastAsia="zh-CN"/>
        </w:rPr>
      </w:pPr>
      <w:r>
        <w:rPr>
          <w:rFonts w:hint="eastAsia"/>
          <w:color w:val="auto"/>
          <w:highlight w:val="none"/>
          <w:lang w:val="en-US" w:eastAsia="zh-CN"/>
        </w:rPr>
        <w:t>（1）有限期内的营业执照</w:t>
      </w:r>
    </w:p>
    <w:p w14:paraId="0CEA3631">
      <w:pPr>
        <w:rPr>
          <w:rFonts w:hint="eastAsia" w:ascii="Calibri" w:hAnsi="Calibri"/>
          <w:color w:val="auto"/>
          <w:szCs w:val="22"/>
          <w:highlight w:val="none"/>
          <w:lang w:val="en-US" w:eastAsia="zh-CN"/>
        </w:rPr>
      </w:pPr>
      <w:r>
        <w:rPr>
          <w:rFonts w:hint="eastAsia"/>
          <w:color w:val="auto"/>
          <w:highlight w:val="none"/>
          <w:lang w:val="en-US" w:eastAsia="zh-CN"/>
        </w:rPr>
        <w:t>（2）</w:t>
      </w:r>
      <w:r>
        <w:rPr>
          <w:rFonts w:hint="eastAsia" w:ascii="Calibri" w:hAnsi="Calibri"/>
          <w:color w:val="auto"/>
          <w:szCs w:val="22"/>
          <w:highlight w:val="none"/>
        </w:rPr>
        <w:t>未被“信用中国”网站（www.creditchina.gov.cn）列入失信被执行人、重大税收违法案件当事人名单、政府采购严重违法失信行为记录名单</w:t>
      </w:r>
      <w:r>
        <w:rPr>
          <w:rFonts w:hint="eastAsia" w:ascii="Calibri" w:hAnsi="Calibri"/>
          <w:color w:val="auto"/>
          <w:szCs w:val="22"/>
          <w:highlight w:val="none"/>
          <w:lang w:val="en-US" w:eastAsia="zh-CN"/>
        </w:rPr>
        <w:t>截图</w:t>
      </w:r>
    </w:p>
    <w:p w14:paraId="76A74901">
      <w:pPr>
        <w:rPr>
          <w:rFonts w:hint="eastAsia" w:ascii="Calibri" w:hAnsi="Calibri" w:eastAsia="宋体" w:cs="Times New Roman"/>
          <w:b w:val="0"/>
          <w:bCs w:val="0"/>
          <w:color w:val="auto"/>
          <w:szCs w:val="22"/>
          <w:highlight w:val="none"/>
        </w:rPr>
      </w:pPr>
      <w:r>
        <w:rPr>
          <w:rFonts w:hint="eastAsia" w:cs="Times New Roman"/>
          <w:color w:val="auto"/>
          <w:szCs w:val="22"/>
          <w:highlight w:val="none"/>
          <w:lang w:val="en-US" w:eastAsia="zh-CN"/>
        </w:rPr>
        <w:t>（3）提供2023年度—2025年度</w:t>
      </w:r>
      <w:r>
        <w:rPr>
          <w:rFonts w:hint="eastAsia" w:ascii="Calibri" w:hAnsi="Calibri" w:eastAsia="宋体" w:cs="Times New Roman"/>
          <w:b w:val="0"/>
          <w:bCs w:val="0"/>
          <w:color w:val="auto"/>
          <w:szCs w:val="22"/>
          <w:highlight w:val="none"/>
        </w:rPr>
        <w:t>财务状况报告[格式自拟]</w:t>
      </w:r>
    </w:p>
    <w:p w14:paraId="06992B2C">
      <w:pPr>
        <w:rPr>
          <w:rFonts w:hint="eastAsia"/>
          <w:color w:val="auto"/>
          <w:highlight w:val="none"/>
          <w:lang w:val="en-US" w:eastAsia="zh-CN"/>
        </w:rPr>
      </w:pPr>
      <w:r>
        <w:rPr>
          <w:rFonts w:hint="eastAsia"/>
          <w:color w:val="auto"/>
          <w:highlight w:val="none"/>
          <w:lang w:val="en-US" w:eastAsia="zh-CN"/>
        </w:rPr>
        <w:t>（4）响应文件提交截止之日前半年内谈判供应商连续三个月的依法缴纳税费或依法免缴税费的证明（扫描件或其他电子文件，原件备查，格式自拟）；无纳税记录的，应提供由谈判供应商所在地主管国税或地税部门出具的《依法纳税或依法免税证明》[格式自拟，扫描件或其他电子文件，原件备查]。</w:t>
      </w:r>
    </w:p>
    <w:p w14:paraId="05728276">
      <w:pPr>
        <w:rPr>
          <w:rFonts w:hint="eastAsia"/>
          <w:color w:val="auto"/>
          <w:highlight w:val="none"/>
          <w:lang w:val="en-US" w:eastAsia="zh-CN"/>
        </w:rPr>
      </w:pPr>
      <w:r>
        <w:rPr>
          <w:rFonts w:hint="eastAsia"/>
          <w:color w:val="auto"/>
          <w:highlight w:val="none"/>
          <w:lang w:val="en-US" w:eastAsia="zh-CN"/>
        </w:rPr>
        <w:t>（5）响应文件提交截止之日前半年内谈判供应商连续三个月的依法缴纳社保费的缴费凭证（复印件，原件备查，格式自拟）；无缴费记录的，应提供由谈判供应商所在地社保部门出具的《依法缴纳或依法免缴社保费证明》[格式自拟，复印件，原件备查]。</w:t>
      </w:r>
    </w:p>
    <w:p w14:paraId="5CCB3AF7">
      <w:pPr>
        <w:pStyle w:val="13"/>
        <w:rPr>
          <w:rFonts w:hint="eastAsia" w:ascii="Calibri" w:hAnsi="Calibri" w:eastAsia="宋体"/>
          <w:bCs w:val="0"/>
          <w:color w:val="auto"/>
          <w:spacing w:val="0"/>
          <w:kern w:val="2"/>
          <w:sz w:val="21"/>
          <w:highlight w:val="none"/>
        </w:rPr>
      </w:pPr>
      <w:r>
        <w:rPr>
          <w:rFonts w:hint="eastAsia" w:eastAsia="宋体"/>
          <w:bCs w:val="0"/>
          <w:color w:val="auto"/>
          <w:spacing w:val="0"/>
          <w:kern w:val="2"/>
          <w:sz w:val="21"/>
          <w:szCs w:val="22"/>
          <w:highlight w:val="none"/>
          <w:lang w:val="en-US" w:eastAsia="zh-CN"/>
        </w:rPr>
        <w:t>6.</w:t>
      </w:r>
      <w:r>
        <w:rPr>
          <w:rFonts w:hint="eastAsia" w:ascii="Calibri" w:hAnsi="Calibri" w:eastAsia="宋体"/>
          <w:bCs w:val="0"/>
          <w:color w:val="auto"/>
          <w:spacing w:val="0"/>
          <w:kern w:val="2"/>
          <w:sz w:val="21"/>
          <w:szCs w:val="22"/>
          <w:highlight w:val="none"/>
        </w:rPr>
        <w:t>法定代表人身份证</w:t>
      </w:r>
      <w:r>
        <w:rPr>
          <w:rFonts w:hint="eastAsia" w:ascii="Calibri" w:hAnsi="Calibri" w:eastAsia="宋体"/>
          <w:bCs w:val="0"/>
          <w:color w:val="auto"/>
          <w:spacing w:val="0"/>
          <w:kern w:val="2"/>
          <w:sz w:val="21"/>
          <w:szCs w:val="22"/>
          <w:highlight w:val="none"/>
          <w:lang w:val="en-US" w:eastAsia="zh-CN"/>
        </w:rPr>
        <w:t>复印件或</w:t>
      </w:r>
      <w:r>
        <w:rPr>
          <w:rFonts w:hint="eastAsia" w:ascii="Calibri" w:hAnsi="Calibri" w:eastAsia="宋体"/>
          <w:bCs w:val="0"/>
          <w:color w:val="auto"/>
          <w:spacing w:val="0"/>
          <w:kern w:val="2"/>
          <w:sz w:val="21"/>
          <w:highlight w:val="none"/>
        </w:rPr>
        <w:t>扫描件[格式自拟]</w:t>
      </w:r>
    </w:p>
    <w:p w14:paraId="15222087">
      <w:pPr>
        <w:pStyle w:val="13"/>
        <w:rPr>
          <w:rFonts w:hint="default" w:eastAsia="宋体"/>
          <w:bCs w:val="0"/>
          <w:color w:val="auto"/>
          <w:spacing w:val="0"/>
          <w:kern w:val="2"/>
          <w:sz w:val="21"/>
          <w:highlight w:val="none"/>
          <w:lang w:val="en-US" w:eastAsia="zh-CN"/>
        </w:rPr>
      </w:pPr>
      <w:r>
        <w:rPr>
          <w:rFonts w:hint="eastAsia" w:eastAsia="宋体"/>
          <w:bCs w:val="0"/>
          <w:color w:val="auto"/>
          <w:spacing w:val="0"/>
          <w:kern w:val="2"/>
          <w:sz w:val="21"/>
          <w:highlight w:val="none"/>
          <w:lang w:val="en-US" w:eastAsia="zh-CN"/>
        </w:rPr>
        <w:t>7.法定代表人授权书</w:t>
      </w:r>
      <w:r>
        <w:rPr>
          <w:rFonts w:hint="eastAsia" w:ascii="Calibri" w:hAnsi="Calibri" w:eastAsia="宋体"/>
          <w:bCs w:val="0"/>
          <w:color w:val="auto"/>
          <w:spacing w:val="0"/>
          <w:kern w:val="2"/>
          <w:sz w:val="21"/>
          <w:highlight w:val="none"/>
        </w:rPr>
        <w:t>[格式自拟</w:t>
      </w:r>
      <w:r>
        <w:rPr>
          <w:rFonts w:hint="eastAsia" w:eastAsia="宋体"/>
          <w:bCs w:val="0"/>
          <w:color w:val="auto"/>
          <w:spacing w:val="0"/>
          <w:kern w:val="2"/>
          <w:sz w:val="21"/>
          <w:highlight w:val="none"/>
          <w:lang w:eastAsia="zh-CN"/>
        </w:rPr>
        <w:t>，</w:t>
      </w:r>
      <w:r>
        <w:rPr>
          <w:rFonts w:hint="eastAsia" w:eastAsia="宋体"/>
          <w:bCs w:val="0"/>
          <w:color w:val="auto"/>
          <w:spacing w:val="0"/>
          <w:kern w:val="2"/>
          <w:sz w:val="21"/>
          <w:highlight w:val="none"/>
          <w:lang w:val="en-US" w:eastAsia="zh-CN"/>
        </w:rPr>
        <w:t>如授权则必须提供</w:t>
      </w:r>
      <w:r>
        <w:rPr>
          <w:rFonts w:hint="eastAsia" w:ascii="Calibri" w:hAnsi="Calibri" w:eastAsia="宋体"/>
          <w:bCs w:val="0"/>
          <w:color w:val="auto"/>
          <w:spacing w:val="0"/>
          <w:kern w:val="2"/>
          <w:sz w:val="21"/>
          <w:highlight w:val="none"/>
        </w:rPr>
        <w:t>]</w:t>
      </w:r>
    </w:p>
    <w:p w14:paraId="79347D35">
      <w:pPr>
        <w:rPr>
          <w:rFonts w:hint="eastAsia"/>
          <w:color w:val="auto"/>
          <w:highlight w:val="none"/>
          <w:lang w:val="en-US" w:eastAsia="zh-CN"/>
        </w:rPr>
      </w:pPr>
      <w:r>
        <w:rPr>
          <w:rFonts w:hint="eastAsia"/>
          <w:color w:val="auto"/>
          <w:highlight w:val="none"/>
          <w:lang w:val="en-US" w:eastAsia="zh-CN"/>
        </w:rPr>
        <w:t>8.</w:t>
      </w:r>
      <w:r>
        <w:rPr>
          <w:rFonts w:hint="eastAsia" w:ascii="Calibri" w:hAnsi="Calibri"/>
          <w:b w:val="0"/>
          <w:bCs w:val="0"/>
          <w:color w:val="auto"/>
          <w:szCs w:val="22"/>
          <w:highlight w:val="none"/>
        </w:rPr>
        <w:t>售后</w:t>
      </w:r>
      <w:r>
        <w:rPr>
          <w:rFonts w:hint="eastAsia"/>
          <w:color w:val="auto"/>
          <w:highlight w:val="none"/>
          <w:lang w:val="en-US" w:eastAsia="zh-CN"/>
        </w:rPr>
        <w:t>服务承诺书（格式自拟）</w:t>
      </w:r>
    </w:p>
    <w:p w14:paraId="38DB87C0">
      <w:pPr>
        <w:rPr>
          <w:rFonts w:hint="eastAsia"/>
          <w:color w:val="auto"/>
          <w:highlight w:val="none"/>
          <w:lang w:val="en-US" w:eastAsia="zh-CN"/>
        </w:rPr>
      </w:pPr>
      <w:r>
        <w:rPr>
          <w:rFonts w:hint="eastAsia"/>
          <w:color w:val="auto"/>
          <w:highlight w:val="none"/>
          <w:lang w:val="en-US" w:eastAsia="zh-CN"/>
        </w:rPr>
        <w:t>9.需求中要求提供的相关材料</w:t>
      </w:r>
    </w:p>
    <w:p w14:paraId="6A6616C8">
      <w:pPr>
        <w:rPr>
          <w:rFonts w:hint="eastAsia" w:eastAsia="宋体" w:cs="Times New Roman"/>
          <w:color w:val="auto"/>
          <w:highlight w:val="none"/>
        </w:rPr>
      </w:pPr>
      <w:r>
        <w:rPr>
          <w:rFonts w:hint="eastAsia" w:eastAsia="宋体" w:cs="Times New Roman"/>
          <w:color w:val="auto"/>
          <w:highlight w:val="none"/>
          <w:lang w:val="en-US" w:eastAsia="zh-CN"/>
        </w:rPr>
        <w:t>以上材料均须加盖报价单位公章，电子档需转换成PDF文件上传采购平台，否则报价无效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1130091"/>
    </w:sdtPr>
    <w:sdtContent>
      <w:p w14:paraId="329452E4">
        <w:pPr>
          <w:pStyle w:val="7"/>
          <w:jc w:val="center"/>
        </w:pPr>
        <w:r>
          <w:fldChar w:fldCharType="begin"/>
        </w:r>
        <w:r>
          <w:instrText xml:space="preserve">PAGE   \* MERGEFORMAT</w:instrText>
        </w:r>
        <w:r>
          <w:fldChar w:fldCharType="separate"/>
        </w:r>
        <w:r>
          <w:rPr>
            <w:lang w:val="zh-CN"/>
          </w:rPr>
          <w:t>25</w:t>
        </w:r>
        <w:r>
          <w:fldChar w:fldCharType="end"/>
        </w:r>
      </w:p>
    </w:sdtContent>
  </w:sdt>
  <w:p w14:paraId="723F7C70">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BB75EC"/>
    <w:rsid w:val="000637A3"/>
    <w:rsid w:val="000910C8"/>
    <w:rsid w:val="00191C6C"/>
    <w:rsid w:val="001F0009"/>
    <w:rsid w:val="00280339"/>
    <w:rsid w:val="002975F6"/>
    <w:rsid w:val="003462F5"/>
    <w:rsid w:val="0034653F"/>
    <w:rsid w:val="00504961"/>
    <w:rsid w:val="005920A8"/>
    <w:rsid w:val="007951E0"/>
    <w:rsid w:val="007B3BA0"/>
    <w:rsid w:val="00930D2D"/>
    <w:rsid w:val="00B4122A"/>
    <w:rsid w:val="00B67793"/>
    <w:rsid w:val="00B86424"/>
    <w:rsid w:val="00D50B6B"/>
    <w:rsid w:val="00E91742"/>
    <w:rsid w:val="00F244E5"/>
    <w:rsid w:val="0160602B"/>
    <w:rsid w:val="07193D9B"/>
    <w:rsid w:val="0B677386"/>
    <w:rsid w:val="17F0746E"/>
    <w:rsid w:val="18AD587A"/>
    <w:rsid w:val="2D9840EF"/>
    <w:rsid w:val="3358275F"/>
    <w:rsid w:val="3C415C71"/>
    <w:rsid w:val="40126699"/>
    <w:rsid w:val="43954220"/>
    <w:rsid w:val="49BB75EC"/>
    <w:rsid w:val="49CA63B2"/>
    <w:rsid w:val="4A1210AE"/>
    <w:rsid w:val="4A2B2D63"/>
    <w:rsid w:val="4BFF4758"/>
    <w:rsid w:val="4FE3663C"/>
    <w:rsid w:val="55256F9C"/>
    <w:rsid w:val="56DC48C2"/>
    <w:rsid w:val="5F8C054B"/>
    <w:rsid w:val="6503392D"/>
    <w:rsid w:val="6A3F328A"/>
    <w:rsid w:val="7D574B2E"/>
    <w:rsid w:val="7EE059F4"/>
    <w:rsid w:val="7F9B12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style>
  <w:style w:type="paragraph" w:styleId="3">
    <w:name w:val="annotation text"/>
    <w:basedOn w:val="1"/>
    <w:uiPriority w:val="0"/>
    <w:pPr>
      <w:jc w:val="left"/>
    </w:pPr>
  </w:style>
  <w:style w:type="paragraph" w:styleId="4">
    <w:name w:val="Body Text"/>
    <w:basedOn w:val="1"/>
    <w:next w:val="1"/>
    <w:qFormat/>
    <w:uiPriority w:val="0"/>
    <w:pPr>
      <w:spacing w:line="380" w:lineRule="exact"/>
    </w:pPr>
    <w:rPr>
      <w:rFonts w:ascii="Times New Roman" w:hAnsi="Times New Roman"/>
      <w:kern w:val="0"/>
      <w:sz w:val="24"/>
      <w:szCs w:val="24"/>
    </w:rPr>
  </w:style>
  <w:style w:type="paragraph" w:styleId="5">
    <w:name w:val="Body Text Indent"/>
    <w:basedOn w:val="1"/>
    <w:qFormat/>
    <w:uiPriority w:val="0"/>
    <w:pPr>
      <w:ind w:firstLine="830" w:firstLineChars="352"/>
    </w:pPr>
    <w:rPr>
      <w:rFonts w:ascii="仿宋_GB2312" w:eastAsia="仿宋_GB2312" w:cs="仿宋_GB2312"/>
      <w:sz w:val="32"/>
      <w:szCs w:val="32"/>
    </w:rPr>
  </w:style>
  <w:style w:type="paragraph" w:styleId="6">
    <w:name w:val="Plain Text"/>
    <w:basedOn w:val="1"/>
    <w:qFormat/>
    <w:uiPriority w:val="0"/>
    <w:rPr>
      <w:rFonts w:ascii="宋体" w:hAnsi="Courier New"/>
      <w:szCs w:val="20"/>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First Indent 2"/>
    <w:basedOn w:val="5"/>
    <w:next w:val="2"/>
    <w:qFormat/>
    <w:uiPriority w:val="0"/>
    <w:pPr>
      <w:spacing w:after="120"/>
      <w:ind w:left="420" w:leftChars="200" w:firstLine="420" w:firstLineChars="200"/>
    </w:pPr>
    <w:rPr>
      <w:rFonts w:ascii="Times New Roman" w:eastAsia="宋体"/>
      <w:sz w:val="21"/>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表格文字"/>
    <w:basedOn w:val="1"/>
    <w:next w:val="4"/>
    <w:qFormat/>
    <w:uiPriority w:val="0"/>
    <w:pPr>
      <w:spacing w:before="25" w:after="25"/>
      <w:jc w:val="left"/>
    </w:pPr>
    <w:rPr>
      <w:bCs/>
      <w:spacing w:val="10"/>
      <w:kern w:val="0"/>
      <w:sz w:val="24"/>
    </w:rPr>
  </w:style>
  <w:style w:type="character" w:customStyle="1" w:styleId="14">
    <w:name w:val="font31"/>
    <w:basedOn w:val="12"/>
    <w:qFormat/>
    <w:uiPriority w:val="0"/>
    <w:rPr>
      <w:rFonts w:hint="eastAsia" w:ascii="宋体" w:hAnsi="宋体" w:eastAsia="宋体" w:cs="宋体"/>
      <w:color w:val="000000"/>
      <w:sz w:val="20"/>
      <w:szCs w:val="20"/>
      <w:u w:val="none"/>
    </w:rPr>
  </w:style>
  <w:style w:type="character" w:customStyle="1" w:styleId="15">
    <w:name w:val="页眉 字符"/>
    <w:basedOn w:val="12"/>
    <w:link w:val="8"/>
    <w:qFormat/>
    <w:uiPriority w:val="0"/>
    <w:rPr>
      <w:rFonts w:ascii="Calibri" w:hAnsi="Calibri"/>
      <w:kern w:val="2"/>
      <w:sz w:val="18"/>
      <w:szCs w:val="18"/>
    </w:rPr>
  </w:style>
  <w:style w:type="character" w:customStyle="1" w:styleId="16">
    <w:name w:val="页脚 字符"/>
    <w:basedOn w:val="12"/>
    <w:link w:val="7"/>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E4FD4-BE55-42AB-B390-3C573BD10108}">
  <ds:schemaRefs/>
</ds:datastoreItem>
</file>

<file path=docProps/app.xml><?xml version="1.0" encoding="utf-8"?>
<Properties xmlns="http://schemas.openxmlformats.org/officeDocument/2006/extended-properties" xmlns:vt="http://schemas.openxmlformats.org/officeDocument/2006/docPropsVTypes">
  <Template>Normal</Template>
  <Pages>59</Pages>
  <Words>11549</Words>
  <Characters>12818</Characters>
  <Lines>178</Lines>
  <Paragraphs>50</Paragraphs>
  <TotalTime>15</TotalTime>
  <ScaleCrop>false</ScaleCrop>
  <LinksUpToDate>false</LinksUpToDate>
  <CharactersWithSpaces>13015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2026-07-03T03:36:00Z</dcterms:created>
  <dc:creator>Li sa</dc:creator>
  <cp:lastModifiedBy>Li sa</cp:lastModifiedBy>
  <dcterms:modified xsi:type="dcterms:W3CDTF">2026-07-17T03:40:07Z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8D2EE33573E14DCAAC5291F37E8F7D03_11</vt:lpwstr>
  </property>
  <property fmtid="{D5CDD505-2E9C-101B-9397-08002B2CF9AE}" pid="4" name="KSOTemplateDocerSaveRecord">
    <vt:lpwstr>eyJoZGlkIjoiYjZhNzhlNTIxMWRhMmRkODZiZTJiZTc4NTU3MzQ4YjIiLCJ1c2VySWQiOiI2NTYxNDg4OTcifQ==</vt:lpwstr>
  </property>
</Properties>
</file>