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1516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1"/>
        <w:gridCol w:w="13327"/>
      </w:tblGrid>
      <w:tr w14:paraId="65371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1" w:type="dxa"/>
            <w:tcBorders>
              <w:top w:val="nil"/>
              <w:left w:val="nil"/>
              <w:bottom w:val="single" w:color="auto" w:sz="4" w:space="0"/>
              <w:right w:val="nil"/>
            </w:tcBorders>
          </w:tcPr>
          <w:p w14:paraId="368E945C">
            <w:pPr>
              <w:widowControl/>
              <w:spacing w:line="276" w:lineRule="auto"/>
              <w:jc w:val="left"/>
              <w:rPr>
                <w:rFonts w:ascii="宋体" w:hAnsi="宋体"/>
                <w:sz w:val="18"/>
                <w:szCs w:val="18"/>
                <w:u w:val="single"/>
              </w:rPr>
            </w:pPr>
          </w:p>
        </w:tc>
        <w:tc>
          <w:tcPr>
            <w:tcW w:w="13327" w:type="dxa"/>
            <w:tcBorders>
              <w:top w:val="nil"/>
              <w:left w:val="nil"/>
              <w:bottom w:val="single" w:color="auto" w:sz="4" w:space="0"/>
              <w:right w:val="nil"/>
            </w:tcBorders>
          </w:tcPr>
          <w:p w14:paraId="0293FDF1">
            <w:pPr>
              <w:widowControl/>
              <w:spacing w:line="276" w:lineRule="auto"/>
              <w:jc w:val="left"/>
              <w:rPr>
                <w:rFonts w:hint="eastAsia" w:ascii="宋体" w:hAnsi="宋体" w:eastAsia="宋体"/>
                <w:b/>
                <w:sz w:val="28"/>
                <w:szCs w:val="28"/>
                <w:lang w:val="en-US" w:eastAsia="zh-CN"/>
              </w:rPr>
            </w:pPr>
            <w:bookmarkStart w:id="1" w:name="_GoBack"/>
            <w:bookmarkStart w:id="0" w:name="OLE_LINK1"/>
            <w:r>
              <w:rPr>
                <w:rFonts w:hint="eastAsia" w:ascii="宋体" w:hAnsi="宋体"/>
                <w:b/>
                <w:sz w:val="28"/>
                <w:szCs w:val="28"/>
              </w:rPr>
              <w:t>广西中医药大学护理实验教学中心 —护理（康养）实验室建设（目录内）</w:t>
            </w:r>
            <w:r>
              <w:rPr>
                <w:rFonts w:hint="eastAsia" w:ascii="宋体" w:hAnsi="宋体"/>
                <w:b/>
                <w:sz w:val="28"/>
                <w:szCs w:val="28"/>
                <w:lang w:val="en-US" w:eastAsia="zh-CN"/>
              </w:rPr>
              <w:t>在线询价</w:t>
            </w:r>
            <w:r>
              <w:rPr>
                <w:rFonts w:hint="eastAsia" w:ascii="宋体" w:hAnsi="宋体"/>
                <w:b/>
                <w:sz w:val="28"/>
                <w:szCs w:val="28"/>
              </w:rPr>
              <w:t>采购文件</w:t>
            </w:r>
            <w:bookmarkEnd w:id="0"/>
          </w:p>
          <w:bookmarkEnd w:id="1"/>
          <w:p w14:paraId="6808B47B">
            <w:pPr>
              <w:widowControl/>
              <w:spacing w:line="276" w:lineRule="auto"/>
              <w:jc w:val="left"/>
              <w:rPr>
                <w:rFonts w:ascii="宋体" w:hAnsi="宋体"/>
                <w:szCs w:val="21"/>
              </w:rPr>
            </w:pPr>
            <w:r>
              <w:rPr>
                <w:rFonts w:hint="eastAsia" w:ascii="宋体" w:hAnsi="宋体"/>
                <w:szCs w:val="21"/>
              </w:rPr>
              <w:t>说明：</w:t>
            </w:r>
          </w:p>
          <w:p w14:paraId="0A798135">
            <w:pPr>
              <w:widowControl/>
              <w:spacing w:line="276" w:lineRule="auto"/>
              <w:jc w:val="left"/>
              <w:rPr>
                <w:rFonts w:ascii="宋体" w:hAnsi="宋体"/>
                <w:szCs w:val="21"/>
              </w:rPr>
            </w:pPr>
            <w:r>
              <w:rPr>
                <w:rFonts w:hint="eastAsia" w:ascii="宋体" w:hAnsi="宋体"/>
                <w:szCs w:val="21"/>
              </w:rPr>
              <w:t>1.投标人须根据技术参数及性能配置要求提供一一对应的技术响应偏离表。</w:t>
            </w:r>
          </w:p>
          <w:p w14:paraId="2B3495DD">
            <w:pPr>
              <w:widowControl/>
              <w:spacing w:line="276" w:lineRule="auto"/>
              <w:jc w:val="left"/>
              <w:rPr>
                <w:rFonts w:ascii="宋体" w:hAnsi="宋体"/>
                <w:sz w:val="18"/>
                <w:szCs w:val="18"/>
              </w:rPr>
            </w:pPr>
            <w:r>
              <w:rPr>
                <w:rFonts w:hint="eastAsia" w:ascii="宋体" w:hAnsi="宋体"/>
                <w:szCs w:val="21"/>
              </w:rPr>
              <w:t>2.本章中带★号条款为实质性内容要求，投标时必须满足。</w:t>
            </w:r>
          </w:p>
        </w:tc>
      </w:tr>
    </w:tbl>
    <w:p w14:paraId="295E04AD">
      <w:pPr>
        <w:rPr>
          <w:rFonts w:hint="eastAsia" w:eastAsia="宋体"/>
          <w:color w:val="000000" w:themeColor="text1"/>
          <w:sz w:val="18"/>
          <w:szCs w:val="18"/>
          <w:u w:val="none"/>
          <w:lang w:eastAsia="zh-CN"/>
          <w14:textFill>
            <w14:solidFill>
              <w14:schemeClr w14:val="tx1"/>
            </w14:solidFill>
          </w14:textFill>
        </w:rPr>
      </w:pPr>
    </w:p>
    <w:tbl>
      <w:tblPr>
        <w:tblStyle w:val="8"/>
        <w:tblW w:w="1458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6"/>
        <w:gridCol w:w="666"/>
        <w:gridCol w:w="846"/>
        <w:gridCol w:w="6547"/>
        <w:gridCol w:w="600"/>
        <w:gridCol w:w="600"/>
        <w:gridCol w:w="948"/>
        <w:gridCol w:w="1032"/>
        <w:gridCol w:w="780"/>
        <w:gridCol w:w="902"/>
        <w:gridCol w:w="1268"/>
      </w:tblGrid>
      <w:tr w14:paraId="58806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E219">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FCA9">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采购品目</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9361">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参考</w:t>
            </w:r>
            <w:r>
              <w:rPr>
                <w:rFonts w:hint="eastAsia" w:ascii="宋体" w:hAnsi="宋体" w:eastAsia="宋体" w:cs="宋体"/>
                <w:i w:val="0"/>
                <w:iCs w:val="0"/>
                <w:color w:val="000000"/>
                <w:kern w:val="0"/>
                <w:sz w:val="18"/>
                <w:szCs w:val="18"/>
                <w:u w:val="none"/>
                <w:lang w:val="en-US" w:eastAsia="zh-CN" w:bidi="ar"/>
              </w:rPr>
              <w:t>品牌</w:t>
            </w:r>
          </w:p>
        </w:tc>
        <w:tc>
          <w:tcPr>
            <w:tcW w:w="6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D4A0">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★参数配置</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8C11">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3C6A">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BC04">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参考单价</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CE30">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合计金额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（元）</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E433">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是否进口产品</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426B">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参考图片</w:t>
            </w: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FAE8">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4CFF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62" w:hRule="atLeast"/>
        </w:trPr>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F4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8E6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UPS不间断电源</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AB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科华YTR3320-J</w:t>
            </w:r>
          </w:p>
          <w:p w14:paraId="38D92F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40634A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力迅3D15KS</w:t>
            </w:r>
          </w:p>
          <w:p w14:paraId="0876B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捷益达20KVA UPS</w:t>
            </w:r>
          </w:p>
        </w:tc>
        <w:tc>
          <w:tcPr>
            <w:tcW w:w="6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A533">
            <w:pPr>
              <w:keepNext w:val="0"/>
              <w:keepLines w:val="0"/>
              <w:widowControl/>
              <w:suppressLineNumbers w:val="0"/>
              <w:jc w:val="left"/>
              <w:textAlignment w:val="center"/>
              <w:rPr>
                <w:rFonts w:hint="eastAsia"/>
              </w:rPr>
            </w:pPr>
            <w:r>
              <w:rPr>
                <w:rFonts w:hint="eastAsia"/>
              </w:rPr>
              <w:t>一、主机</w:t>
            </w:r>
          </w:p>
          <w:p w14:paraId="13CC3A73">
            <w:pPr>
              <w:keepNext w:val="0"/>
              <w:keepLines w:val="0"/>
              <w:widowControl/>
              <w:suppressLineNumbers w:val="0"/>
              <w:jc w:val="left"/>
              <w:textAlignment w:val="center"/>
              <w:rPr>
                <w:rFonts w:hint="eastAsia"/>
              </w:rPr>
            </w:pPr>
            <w:r>
              <w:rPr>
                <w:rFonts w:hint="eastAsia"/>
              </w:rPr>
              <w:t>技术参数要求：</w:t>
            </w:r>
          </w:p>
          <w:p w14:paraId="2EAEB347">
            <w:pPr>
              <w:keepNext w:val="0"/>
              <w:keepLines w:val="0"/>
              <w:widowControl/>
              <w:suppressLineNumbers w:val="0"/>
              <w:jc w:val="left"/>
              <w:textAlignment w:val="center"/>
              <w:rPr>
                <w:rFonts w:hint="eastAsia"/>
              </w:rPr>
            </w:pPr>
            <w:r>
              <w:rPr>
                <w:rFonts w:hint="eastAsia"/>
              </w:rPr>
              <w:t>1. 输出功率容量15kVA全智能型高频纯在线式单进单出UPS，整机采用双变换在线式设计，配置阀控免维护蓄电池；</w:t>
            </w:r>
          </w:p>
          <w:p w14:paraId="2EA314D7">
            <w:pPr>
              <w:keepNext w:val="0"/>
              <w:keepLines w:val="0"/>
              <w:widowControl/>
              <w:suppressLineNumbers w:val="0"/>
              <w:jc w:val="left"/>
              <w:textAlignment w:val="center"/>
              <w:rPr>
                <w:rFonts w:hint="eastAsia"/>
              </w:rPr>
            </w:pPr>
            <w:r>
              <w:rPr>
                <w:rFonts w:hint="eastAsia"/>
              </w:rPr>
              <w:t>2. 具有完备的检测、保护功能，如输出短路保护、过载保护、电池过充、过放电保护、输入电压过低、过高保护、UPS内部过温保护，UPS具有自我诊断、自动测试保护；</w:t>
            </w:r>
          </w:p>
          <w:p w14:paraId="3333E7FF">
            <w:pPr>
              <w:keepNext w:val="0"/>
              <w:keepLines w:val="0"/>
              <w:widowControl/>
              <w:suppressLineNumbers w:val="0"/>
              <w:jc w:val="left"/>
              <w:textAlignment w:val="center"/>
              <w:rPr>
                <w:rFonts w:hint="eastAsia"/>
              </w:rPr>
            </w:pPr>
            <w:r>
              <w:rPr>
                <w:rFonts w:hint="eastAsia"/>
              </w:rPr>
              <w:t>3. 输入电压：单相三线 176V-300V</w:t>
            </w:r>
          </w:p>
          <w:p w14:paraId="1640B92A">
            <w:pPr>
              <w:keepNext w:val="0"/>
              <w:keepLines w:val="0"/>
              <w:widowControl/>
              <w:suppressLineNumbers w:val="0"/>
              <w:jc w:val="left"/>
              <w:textAlignment w:val="center"/>
              <w:rPr>
                <w:rFonts w:hint="eastAsia"/>
              </w:rPr>
            </w:pPr>
            <w:r>
              <w:rPr>
                <w:rFonts w:hint="eastAsia"/>
              </w:rPr>
              <w:t>4. 输入频率 :45～54Hz/56～64Hz，依据电网频率自动选择同步范围</w:t>
            </w:r>
          </w:p>
          <w:p w14:paraId="3E61557F">
            <w:pPr>
              <w:keepNext w:val="0"/>
              <w:keepLines w:val="0"/>
              <w:widowControl/>
              <w:suppressLineNumbers w:val="0"/>
              <w:jc w:val="left"/>
              <w:textAlignment w:val="center"/>
              <w:rPr>
                <w:rFonts w:hint="eastAsia"/>
              </w:rPr>
            </w:pPr>
            <w:r>
              <w:rPr>
                <w:rFonts w:hint="eastAsia"/>
              </w:rPr>
              <w:t>5. 高输入功率因数,输入端采用功率因数校正技术（PFC）使输入功率因数≥0.95</w:t>
            </w:r>
          </w:p>
          <w:p w14:paraId="0D08D5CD">
            <w:pPr>
              <w:keepNext w:val="0"/>
              <w:keepLines w:val="0"/>
              <w:widowControl/>
              <w:suppressLineNumbers w:val="0"/>
              <w:jc w:val="left"/>
              <w:textAlignment w:val="center"/>
              <w:rPr>
                <w:rFonts w:hint="eastAsia"/>
              </w:rPr>
            </w:pPr>
            <w:r>
              <w:rPr>
                <w:rFonts w:hint="eastAsia"/>
              </w:rPr>
              <w:t>6. 冷启动功能，直流（DC）开机，可在市电中断时，用电池组直接启动UPS，充分发挥UPS的紧急备用功能，具有冷启动UPS功能；</w:t>
            </w:r>
          </w:p>
          <w:p w14:paraId="206EC698">
            <w:pPr>
              <w:keepNext w:val="0"/>
              <w:keepLines w:val="0"/>
              <w:widowControl/>
              <w:suppressLineNumbers w:val="0"/>
              <w:jc w:val="left"/>
              <w:textAlignment w:val="center"/>
              <w:rPr>
                <w:rFonts w:hint="eastAsia"/>
              </w:rPr>
            </w:pPr>
            <w:r>
              <w:rPr>
                <w:rFonts w:hint="eastAsia"/>
              </w:rPr>
              <w:t>7. 输出电压:220VAC（±1%）</w:t>
            </w:r>
          </w:p>
          <w:p w14:paraId="25AF9AE6">
            <w:pPr>
              <w:keepNext w:val="0"/>
              <w:keepLines w:val="0"/>
              <w:widowControl/>
              <w:suppressLineNumbers w:val="0"/>
              <w:jc w:val="left"/>
              <w:textAlignment w:val="center"/>
              <w:rPr>
                <w:rFonts w:hint="eastAsia"/>
              </w:rPr>
            </w:pPr>
            <w:r>
              <w:rPr>
                <w:rFonts w:hint="eastAsia"/>
              </w:rPr>
              <w:t>8. 输出频率 :50/60Hz±0.2%(电池模式)</w:t>
            </w:r>
          </w:p>
          <w:p w14:paraId="2608ED32">
            <w:pPr>
              <w:keepNext w:val="0"/>
              <w:keepLines w:val="0"/>
              <w:widowControl/>
              <w:suppressLineNumbers w:val="0"/>
              <w:jc w:val="left"/>
              <w:textAlignment w:val="center"/>
              <w:rPr>
                <w:rFonts w:hint="eastAsia"/>
              </w:rPr>
            </w:pPr>
            <w:r>
              <w:rPr>
                <w:rFonts w:hint="eastAsia"/>
              </w:rPr>
              <w:t>9. 额定功率因数:0.8</w:t>
            </w:r>
          </w:p>
          <w:p w14:paraId="7886FA37">
            <w:pPr>
              <w:keepNext w:val="0"/>
              <w:keepLines w:val="0"/>
              <w:widowControl/>
              <w:suppressLineNumbers w:val="0"/>
              <w:jc w:val="left"/>
              <w:textAlignment w:val="center"/>
              <w:rPr>
                <w:rFonts w:hint="eastAsia"/>
              </w:rPr>
            </w:pPr>
            <w:r>
              <w:rPr>
                <w:rFonts w:hint="eastAsia"/>
              </w:rPr>
              <w:t>10. 超载能力:105％～125％的负载维持1min后转旁路工作，125%～150% 30秒转旁路</w:t>
            </w:r>
          </w:p>
          <w:p w14:paraId="62B23CFD">
            <w:pPr>
              <w:keepNext w:val="0"/>
              <w:keepLines w:val="0"/>
              <w:widowControl/>
              <w:suppressLineNumbers w:val="0"/>
              <w:jc w:val="left"/>
              <w:textAlignment w:val="center"/>
              <w:rPr>
                <w:rFonts w:hint="eastAsia"/>
              </w:rPr>
            </w:pPr>
            <w:r>
              <w:rPr>
                <w:rFonts w:hint="eastAsia"/>
              </w:rPr>
              <w:t>11. 供电额定电压:192V</w:t>
            </w:r>
          </w:p>
          <w:p w14:paraId="3EE35580">
            <w:pPr>
              <w:keepNext w:val="0"/>
              <w:keepLines w:val="0"/>
              <w:widowControl/>
              <w:suppressLineNumbers w:val="0"/>
              <w:jc w:val="left"/>
              <w:textAlignment w:val="center"/>
              <w:rPr>
                <w:rFonts w:hint="eastAsia"/>
              </w:rPr>
            </w:pPr>
            <w:r>
              <w:rPr>
                <w:rFonts w:hint="eastAsia"/>
              </w:rPr>
              <w:t>12. 整机效率≥93%</w:t>
            </w:r>
          </w:p>
          <w:p w14:paraId="48D5415F">
            <w:pPr>
              <w:keepNext w:val="0"/>
              <w:keepLines w:val="0"/>
              <w:widowControl/>
              <w:suppressLineNumbers w:val="0"/>
              <w:jc w:val="left"/>
              <w:textAlignment w:val="center"/>
              <w:rPr>
                <w:rFonts w:hint="eastAsia"/>
              </w:rPr>
            </w:pPr>
            <w:r>
              <w:rPr>
                <w:rFonts w:hint="eastAsia"/>
              </w:rPr>
              <w:t>★供货商在验收时，必须提供原件（生产厂家项目授权书原件）。否则不予验收后果自负  并视为虚假应标处理并根据招标法及标书要求追究法律责任。</w:t>
            </w:r>
          </w:p>
          <w:p w14:paraId="2736EEAF">
            <w:pPr>
              <w:keepNext w:val="0"/>
              <w:keepLines w:val="0"/>
              <w:widowControl/>
              <w:suppressLineNumbers w:val="0"/>
              <w:jc w:val="left"/>
              <w:textAlignment w:val="center"/>
              <w:rPr>
                <w:rFonts w:hint="eastAsia"/>
              </w:rPr>
            </w:pPr>
            <w:r>
              <w:rPr>
                <w:rFonts w:hint="eastAsia"/>
              </w:rPr>
              <w:t>二、蓄电池</w:t>
            </w:r>
          </w:p>
          <w:p w14:paraId="13B86503">
            <w:pPr>
              <w:keepNext w:val="0"/>
              <w:keepLines w:val="0"/>
              <w:widowControl/>
              <w:suppressLineNumbers w:val="0"/>
              <w:jc w:val="left"/>
              <w:textAlignment w:val="center"/>
              <w:rPr>
                <w:rFonts w:hint="eastAsia"/>
              </w:rPr>
            </w:pPr>
            <w:r>
              <w:rPr>
                <w:rFonts w:hint="eastAsia"/>
              </w:rPr>
              <w:t>★1铅酸蓄电池；12V 100AH 电池，且为阀控式免维护蓄电池</w:t>
            </w:r>
          </w:p>
          <w:p w14:paraId="12379F23">
            <w:pPr>
              <w:keepNext w:val="0"/>
              <w:keepLines w:val="0"/>
              <w:widowControl/>
              <w:suppressLineNumbers w:val="0"/>
              <w:jc w:val="left"/>
              <w:textAlignment w:val="center"/>
              <w:rPr>
                <w:rFonts w:hint="eastAsia"/>
              </w:rPr>
            </w:pPr>
            <w:r>
              <w:rPr>
                <w:rFonts w:hint="eastAsia"/>
              </w:rPr>
              <w:t>★2.蓄电池在25℃±2℃的环境中静置28天后容量保持率应≥99%；</w:t>
            </w:r>
          </w:p>
          <w:p w14:paraId="0920EA54">
            <w:pPr>
              <w:keepNext w:val="0"/>
              <w:keepLines w:val="0"/>
              <w:widowControl/>
              <w:suppressLineNumbers w:val="0"/>
              <w:jc w:val="left"/>
              <w:textAlignment w:val="center"/>
              <w:rPr>
                <w:rFonts w:hint="eastAsia"/>
              </w:rPr>
            </w:pPr>
            <w:r>
              <w:rPr>
                <w:rFonts w:hint="eastAsia"/>
              </w:rPr>
              <w:t xml:space="preserve">★3.过度放电恢复能力：蓄电池过度放电后容量恢复值应≥99%，再充电性能：蓄电池恒压充电24h的再充电能力因素 Rbf 24h≥95  </w:t>
            </w:r>
          </w:p>
          <w:p w14:paraId="67BA4C43">
            <w:pPr>
              <w:keepNext w:val="0"/>
              <w:keepLines w:val="0"/>
              <w:widowControl/>
              <w:suppressLineNumbers w:val="0"/>
              <w:jc w:val="left"/>
              <w:textAlignment w:val="center"/>
              <w:rPr>
                <w:rFonts w:hint="eastAsia"/>
              </w:rPr>
            </w:pPr>
            <w:r>
              <w:rPr>
                <w:rFonts w:hint="eastAsia"/>
              </w:rPr>
              <w:t>4.蓄电池壳、盖、连接条保护罩应符合GB/T2408-2008中第8.3.2条FH-1（水平级）和第9.3.2条FV-0（垂直级）的要求；充电过程中遇明火，内部应不引燃及引爆。</w:t>
            </w:r>
          </w:p>
          <w:p w14:paraId="153BE6B8">
            <w:pPr>
              <w:keepNext w:val="0"/>
              <w:keepLines w:val="0"/>
              <w:widowControl/>
              <w:suppressLineNumbers w:val="0"/>
              <w:jc w:val="left"/>
              <w:textAlignment w:val="center"/>
              <w:rPr>
                <w:rFonts w:hint="eastAsia"/>
              </w:rPr>
            </w:pPr>
            <w:r>
              <w:rPr>
                <w:rFonts w:hint="eastAsia"/>
              </w:rPr>
              <w:t xml:space="preserve">5.应能承受50kPa的正压或负压而不破裂、不开胶，压力释放后壳体无残余变形；                                                                                                                                                                                                                                                                                                                                                                                                                                                                              </w:t>
            </w:r>
          </w:p>
          <w:p w14:paraId="78E8A48C">
            <w:pPr>
              <w:keepNext w:val="0"/>
              <w:keepLines w:val="0"/>
              <w:widowControl/>
              <w:suppressLineNumbers w:val="0"/>
              <w:jc w:val="left"/>
              <w:textAlignment w:val="center"/>
              <w:rPr>
                <w:rFonts w:hint="eastAsia"/>
              </w:rPr>
            </w:pPr>
            <w:r>
              <w:rPr>
                <w:rFonts w:hint="eastAsia"/>
              </w:rPr>
              <w:t>6.安全阀具有自动开启和自动关闭的功能，其开阀压应在18.00KPA—18.10kpa，</w:t>
            </w:r>
          </w:p>
          <w:p w14:paraId="42D94E66">
            <w:pPr>
              <w:keepNext w:val="0"/>
              <w:keepLines w:val="0"/>
              <w:widowControl/>
              <w:suppressLineNumbers w:val="0"/>
              <w:jc w:val="left"/>
              <w:textAlignment w:val="center"/>
              <w:rPr>
                <w:rFonts w:hint="eastAsia"/>
              </w:rPr>
            </w:pPr>
            <w:r>
              <w:rPr>
                <w:rFonts w:hint="eastAsia"/>
              </w:rPr>
              <w:t xml:space="preserve">闭阀压应时16.7KPA—16.9KPA。                                                        </w:t>
            </w:r>
          </w:p>
          <w:p w14:paraId="4FC5E3D0">
            <w:pPr>
              <w:keepNext w:val="0"/>
              <w:keepLines w:val="0"/>
              <w:widowControl/>
              <w:suppressLineNumbers w:val="0"/>
              <w:jc w:val="left"/>
              <w:textAlignment w:val="center"/>
              <w:rPr>
                <w:rFonts w:hint="eastAsia"/>
              </w:rPr>
            </w:pPr>
            <w:r>
              <w:rPr>
                <w:rFonts w:hint="eastAsia"/>
              </w:rPr>
              <w:t>7、 电池端子必须是铜芯端子，正负极端子应有明显标志，且便于链接。</w:t>
            </w:r>
          </w:p>
          <w:p w14:paraId="06A4F57B">
            <w:pPr>
              <w:keepNext w:val="0"/>
              <w:keepLines w:val="0"/>
              <w:widowControl/>
              <w:suppressLineNumbers w:val="0"/>
              <w:jc w:val="left"/>
              <w:textAlignment w:val="center"/>
              <w:rPr>
                <w:rFonts w:hint="eastAsia"/>
              </w:rPr>
            </w:pPr>
            <w:r>
              <w:rPr>
                <w:rFonts w:hint="eastAsia"/>
              </w:rPr>
              <w:t>8.封口剂性能:采用封口剂的蓄电池，在-30℃～65℃温度范围内无裂纹与溢流现象。</w:t>
            </w:r>
          </w:p>
          <w:p w14:paraId="5566FDD1">
            <w:pPr>
              <w:keepNext w:val="0"/>
              <w:keepLines w:val="0"/>
              <w:widowControl/>
              <w:suppressLineNumbers w:val="0"/>
              <w:jc w:val="left"/>
              <w:textAlignment w:val="center"/>
              <w:rPr>
                <w:rFonts w:hint="eastAsia"/>
              </w:rPr>
            </w:pPr>
            <w:r>
              <w:rPr>
                <w:rFonts w:hint="eastAsia"/>
              </w:rPr>
              <w:t>9.同系列蓄电池产品应通过抗震检测，其抗震等级应不低于8.9级</w:t>
            </w:r>
          </w:p>
          <w:p w14:paraId="189FA5FF">
            <w:pPr>
              <w:keepNext w:val="0"/>
              <w:keepLines w:val="0"/>
              <w:widowControl/>
              <w:suppressLineNumbers w:val="0"/>
              <w:jc w:val="left"/>
              <w:textAlignment w:val="center"/>
              <w:rPr>
                <w:rFonts w:hint="eastAsia"/>
              </w:rPr>
            </w:pPr>
            <w:r>
              <w:rPr>
                <w:rFonts w:hint="eastAsia"/>
              </w:rPr>
              <w:t>★10为保证电池极板的耐腐蚀性和使用寿命，蓄电池生产采用高温高湿固化工艺</w:t>
            </w:r>
          </w:p>
          <w:p w14:paraId="0DF84B5D">
            <w:pPr>
              <w:keepNext w:val="0"/>
              <w:keepLines w:val="0"/>
              <w:widowControl/>
              <w:suppressLineNumbers w:val="0"/>
              <w:jc w:val="left"/>
              <w:textAlignment w:val="center"/>
              <w:rPr>
                <w:rFonts w:hint="eastAsia"/>
              </w:rPr>
            </w:pPr>
            <w:r>
              <w:rPr>
                <w:rFonts w:hint="eastAsia"/>
              </w:rPr>
              <w:t>★11电池原材料采用的原矿石铅，纯度 99.99%。（出具相关证明文件）</w:t>
            </w:r>
          </w:p>
          <w:p w14:paraId="47E75C54">
            <w:pPr>
              <w:keepNext w:val="0"/>
              <w:keepLines w:val="0"/>
              <w:widowControl/>
              <w:suppressLineNumbers w:val="0"/>
              <w:jc w:val="left"/>
              <w:textAlignment w:val="center"/>
              <w:rPr>
                <w:rFonts w:hint="eastAsia"/>
              </w:rPr>
            </w:pPr>
            <w:r>
              <w:rPr>
                <w:rFonts w:hint="eastAsia"/>
              </w:rPr>
              <w:t>★12提供生产厂家泰尔检测报告+排污许可证.</w:t>
            </w:r>
          </w:p>
          <w:p w14:paraId="179A64A1">
            <w:pPr>
              <w:keepNext w:val="0"/>
              <w:keepLines w:val="0"/>
              <w:widowControl/>
              <w:suppressLineNumbers w:val="0"/>
              <w:jc w:val="left"/>
              <w:textAlignment w:val="center"/>
              <w:rPr>
                <w:rFonts w:hint="eastAsia"/>
              </w:rPr>
            </w:pPr>
            <w:r>
              <w:rPr>
                <w:rFonts w:hint="eastAsia"/>
              </w:rPr>
              <w:t>★13提供生产厂商对本项目的授权书、供货证明和售后服务承诺函原件。</w:t>
            </w:r>
          </w:p>
          <w:p w14:paraId="14387F9B">
            <w:pPr>
              <w:keepNext w:val="0"/>
              <w:keepLines w:val="0"/>
              <w:widowControl/>
              <w:suppressLineNumbers w:val="0"/>
              <w:jc w:val="left"/>
              <w:textAlignment w:val="center"/>
              <w:rPr>
                <w:rFonts w:hint="eastAsia"/>
              </w:rPr>
            </w:pPr>
            <w:r>
              <w:rPr>
                <w:rFonts w:hint="eastAsia"/>
              </w:rPr>
              <w:t>注：</w:t>
            </w:r>
          </w:p>
          <w:p w14:paraId="3E5C9C6E">
            <w:pPr>
              <w:keepNext w:val="0"/>
              <w:keepLines w:val="0"/>
              <w:widowControl/>
              <w:suppressLineNumbers w:val="0"/>
              <w:jc w:val="left"/>
              <w:textAlignment w:val="center"/>
              <w:rPr>
                <w:rFonts w:hint="eastAsia"/>
              </w:rPr>
            </w:pPr>
            <w:r>
              <w:rPr>
                <w:rFonts w:hint="eastAsia"/>
              </w:rPr>
              <w:t>以上带★条款，必须满足，提供真实检测报告证明满足上述条件</w:t>
            </w:r>
          </w:p>
          <w:p w14:paraId="26479E77">
            <w:pPr>
              <w:keepNext w:val="0"/>
              <w:keepLines w:val="0"/>
              <w:widowControl/>
              <w:suppressLineNumbers w:val="0"/>
              <w:jc w:val="left"/>
              <w:textAlignment w:val="center"/>
              <w:rPr>
                <w:rFonts w:hint="eastAsia"/>
              </w:rPr>
            </w:pPr>
            <w:r>
              <w:rPr>
                <w:rFonts w:hint="eastAsia"/>
              </w:rPr>
              <w:t>★项目在验收时，为保证售后服务质量.供应商必须提供以下原件（本项目的授权书、供货证明和售后服务承诺函原件）。</w:t>
            </w:r>
          </w:p>
          <w:p w14:paraId="3089C44E">
            <w:pPr>
              <w:keepNext w:val="0"/>
              <w:keepLines w:val="0"/>
              <w:widowControl/>
              <w:suppressLineNumbers w:val="0"/>
              <w:jc w:val="left"/>
              <w:textAlignment w:val="center"/>
              <w:rPr>
                <w:rFonts w:hint="eastAsia"/>
              </w:rPr>
            </w:pPr>
            <w:r>
              <w:rPr>
                <w:rFonts w:hint="eastAsia"/>
              </w:rPr>
              <w:t>否则不予验收 后果自负  并视为虚假应标处理并根据招标法及标书要求追究法律责任。</w:t>
            </w:r>
          </w:p>
          <w:p w14:paraId="0898068E">
            <w:pPr>
              <w:keepNext w:val="0"/>
              <w:keepLines w:val="0"/>
              <w:widowControl/>
              <w:suppressLineNumbers w:val="0"/>
              <w:jc w:val="left"/>
              <w:textAlignment w:val="center"/>
              <w:rPr>
                <w:rFonts w:hint="eastAsia"/>
              </w:rPr>
            </w:pPr>
            <w:r>
              <w:rPr>
                <w:rFonts w:hint="eastAsia"/>
              </w:rPr>
              <w:t>三、电池柜</w:t>
            </w:r>
          </w:p>
          <w:p w14:paraId="3D1634B0">
            <w:pPr>
              <w:keepNext w:val="0"/>
              <w:keepLines w:val="0"/>
              <w:widowControl/>
              <w:suppressLineNumbers w:val="0"/>
              <w:jc w:val="left"/>
              <w:textAlignment w:val="center"/>
              <w:rPr>
                <w:rFonts w:hint="eastAsia"/>
              </w:rPr>
            </w:pPr>
            <w:r>
              <w:rPr>
                <w:rFonts w:hint="eastAsia"/>
              </w:rPr>
              <w:t xml:space="preserve">1、 冷轧钢板，结构紧凑合理    </w:t>
            </w:r>
          </w:p>
          <w:p w14:paraId="46FA9D4F">
            <w:pPr>
              <w:keepNext w:val="0"/>
              <w:keepLines w:val="0"/>
              <w:widowControl/>
              <w:suppressLineNumbers w:val="0"/>
              <w:jc w:val="left"/>
              <w:textAlignment w:val="center"/>
              <w:rPr>
                <w:rFonts w:hint="eastAsia"/>
              </w:rPr>
            </w:pPr>
            <w:r>
              <w:rPr>
                <w:rFonts w:hint="eastAsia"/>
              </w:rPr>
              <w:t>2、 机械性能高，承载能力大</w:t>
            </w:r>
          </w:p>
          <w:p w14:paraId="51D90388">
            <w:pPr>
              <w:keepNext w:val="0"/>
              <w:keepLines w:val="0"/>
              <w:widowControl/>
              <w:suppressLineNumbers w:val="0"/>
              <w:jc w:val="left"/>
              <w:textAlignment w:val="center"/>
              <w:rPr>
                <w:rFonts w:hint="eastAsia"/>
              </w:rPr>
            </w:pPr>
            <w:r>
              <w:rPr>
                <w:rFonts w:hint="eastAsia"/>
              </w:rPr>
              <w:t>3、 防火性能好，整箱静电喷塑、耐磨、防蚀</w:t>
            </w:r>
          </w:p>
          <w:p w14:paraId="51A51A0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rPr>
              <w:t>4 标配电池连接线和空气开关：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98005">
            <w:pPr>
              <w:rPr>
                <w:rFonts w:hint="eastAsia" w:ascii="Calibri" w:hAnsi="Calibri" w:eastAsia="微软雅黑" w:cs="宋体"/>
                <w:kern w:val="2"/>
                <w:sz w:val="21"/>
                <w:szCs w:val="22"/>
                <w:lang w:val="en-US" w:eastAsia="zh-CN" w:bidi="ar-SA"/>
              </w:rPr>
            </w:pPr>
            <w:r>
              <w:rPr>
                <w:rFonts w:hint="eastAsia"/>
                <w:lang w:val="en-US" w:eastAsia="zh-CN"/>
              </w:rPr>
              <w:t>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E5D1">
            <w:pPr>
              <w:keepNext w:val="0"/>
              <w:keepLines w:val="0"/>
              <w:widowControl/>
              <w:suppressLineNumbers w:val="0"/>
              <w:jc w:val="center"/>
              <w:textAlignment w:val="center"/>
              <w:rPr>
                <w:rFonts w:hint="default" w:ascii="宋体" w:hAnsi="宋体" w:eastAsia="宋体" w:cs="宋体"/>
                <w:i w:val="0"/>
                <w:iCs w:val="0"/>
                <w:color w:val="FF0000"/>
                <w:kern w:val="2"/>
                <w:sz w:val="22"/>
                <w:szCs w:val="22"/>
                <w:u w:val="none"/>
                <w:lang w:val="en-US" w:eastAsia="zh-CN" w:bidi="ar-SA"/>
              </w:rPr>
            </w:pPr>
            <w:r>
              <w:rPr>
                <w:rFonts w:hint="eastAsia" w:ascii="宋体" w:hAnsi="宋体" w:eastAsia="宋体" w:cs="宋体"/>
                <w:i w:val="0"/>
                <w:iCs w:val="0"/>
                <w:color w:val="FF0000"/>
                <w:sz w:val="22"/>
                <w:szCs w:val="22"/>
                <w:u w:val="none"/>
                <w:lang w:val="en-US" w:eastAsia="zh-CN"/>
              </w:rPr>
              <w:t>1</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0B7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63000</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BF2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63000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30EA">
            <w:pPr>
              <w:rPr>
                <w:rFonts w:hint="eastAsia" w:ascii="Calibri" w:hAnsi="Calibri" w:eastAsia="微软雅黑" w:cs="宋体"/>
                <w:kern w:val="2"/>
                <w:sz w:val="21"/>
                <w:szCs w:val="22"/>
                <w:lang w:val="en-US" w:eastAsia="zh-CN" w:bidi="ar-SA"/>
              </w:rPr>
            </w:pPr>
            <w:r>
              <w:rPr>
                <w:rFonts w:hint="eastAsia"/>
                <w:lang w:val="en-US" w:eastAsia="zh-CN"/>
              </w:rPr>
              <w:t>否</w:t>
            </w: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F9AF">
            <w:pPr>
              <w:jc w:val="center"/>
              <w:rPr>
                <w:rFonts w:hint="eastAsia" w:ascii="宋体" w:hAnsi="宋体" w:eastAsia="宋体" w:cs="宋体"/>
                <w:i w:val="0"/>
                <w:iCs w:val="0"/>
                <w:color w:val="000000"/>
                <w:sz w:val="21"/>
                <w:szCs w:val="21"/>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6F3CB5">
            <w:pPr>
              <w:rPr>
                <w:rFonts w:hint="eastAsia" w:ascii="宋体" w:hAnsi="宋体" w:eastAsia="宋体" w:cs="宋体"/>
                <w:i w:val="0"/>
                <w:iCs w:val="0"/>
                <w:color w:val="000000"/>
                <w:sz w:val="21"/>
                <w:szCs w:val="21"/>
                <w:u w:val="none"/>
              </w:rPr>
            </w:pPr>
          </w:p>
        </w:tc>
      </w:tr>
      <w:tr w14:paraId="4F6C2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3" w:hRule="atLeast"/>
        </w:trPr>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D4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38A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无线管理服务终端</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923E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H3C ER3208G3-P-E/普联TL-R479GPE-AC/锐捷RG-EG110G-P</w:t>
            </w:r>
          </w:p>
        </w:tc>
        <w:tc>
          <w:tcPr>
            <w:tcW w:w="6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355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1、采用不低于双核 CPU高性能 ARM ，不低于256MB DRAM；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2、支持至少2 个 GE WAN 口，8 个 GE LAN 口（其中 3 个可切换为 WAN 口）；</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3、POE供电，不低于110W;带机量不低于250 台；可管理 低于200 个 MINI AP，适用带宽不低于500bpS；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 WEB 页面配置和管理设备，支持 MAC 地址过滤、URL 过滤、HTTP 下载文件过滤，支持 ARP 防护、DDoS 攻击防范等；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5、集路由、交换、AC、POE 于一体；</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3483">
            <w:pPr>
              <w:rPr>
                <w:rFonts w:hint="default"/>
                <w:lang w:val="en-US" w:eastAsia="zh-CN"/>
              </w:rPr>
            </w:pPr>
            <w:r>
              <w:rPr>
                <w:rFonts w:hint="eastAsia"/>
                <w:lang w:val="en-US" w:eastAsia="zh-CN"/>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E9FB">
            <w:pPr>
              <w:keepNext w:val="0"/>
              <w:keepLines w:val="0"/>
              <w:widowControl/>
              <w:suppressLineNumbers w:val="0"/>
              <w:jc w:val="center"/>
              <w:textAlignment w:val="center"/>
              <w:rPr>
                <w:rFonts w:hint="default" w:ascii="宋体" w:hAnsi="宋体" w:eastAsia="宋体" w:cs="宋体"/>
                <w:i w:val="0"/>
                <w:iCs w:val="0"/>
                <w:color w:val="FF0000"/>
                <w:sz w:val="22"/>
                <w:szCs w:val="22"/>
                <w:u w:val="none"/>
                <w:lang w:val="en-US" w:eastAsia="zh-CN"/>
              </w:rPr>
            </w:pPr>
            <w:r>
              <w:rPr>
                <w:rFonts w:hint="eastAsia" w:ascii="宋体" w:hAnsi="宋体" w:cs="宋体"/>
                <w:i w:val="0"/>
                <w:iCs w:val="0"/>
                <w:color w:val="FF0000"/>
                <w:sz w:val="22"/>
                <w:szCs w:val="22"/>
                <w:u w:val="none"/>
                <w:lang w:val="en-US" w:eastAsia="zh-CN"/>
              </w:rPr>
              <w:t>1</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96B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5800</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67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5800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D957">
            <w:pPr>
              <w:rPr>
                <w:rFonts w:hint="eastAsia"/>
                <w:lang w:val="en-US" w:eastAsia="zh-CN"/>
              </w:rPr>
            </w:pP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DC90">
            <w:pPr>
              <w:jc w:val="center"/>
              <w:rPr>
                <w:rFonts w:hint="eastAsia" w:ascii="宋体" w:hAnsi="宋体" w:eastAsia="宋体" w:cs="宋体"/>
                <w:i w:val="0"/>
                <w:iCs w:val="0"/>
                <w:color w:val="000000"/>
                <w:sz w:val="21"/>
                <w:szCs w:val="21"/>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0BDE69">
            <w:pPr>
              <w:rPr>
                <w:rFonts w:hint="eastAsia" w:ascii="宋体" w:hAnsi="宋体" w:eastAsia="宋体" w:cs="宋体"/>
                <w:i w:val="0"/>
                <w:iCs w:val="0"/>
                <w:color w:val="000000"/>
                <w:sz w:val="21"/>
                <w:szCs w:val="21"/>
                <w:u w:val="none"/>
              </w:rPr>
            </w:pPr>
          </w:p>
        </w:tc>
      </w:tr>
      <w:tr w14:paraId="78B3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8" w:hRule="atLeast"/>
        </w:trPr>
        <w:tc>
          <w:tcPr>
            <w:tcW w:w="1060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3120C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合计金额</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726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68800</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73D0">
            <w:pPr>
              <w:rPr>
                <w:rFonts w:hint="eastAsia" w:ascii="宋体" w:hAnsi="宋体" w:eastAsia="宋体" w:cs="宋体"/>
                <w:i w:val="0"/>
                <w:iCs w:val="0"/>
                <w:color w:val="000000"/>
                <w:sz w:val="18"/>
                <w:szCs w:val="18"/>
                <w:u w:val="none"/>
              </w:rPr>
            </w:pPr>
          </w:p>
        </w:tc>
        <w:tc>
          <w:tcPr>
            <w:tcW w:w="9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5148">
            <w:pPr>
              <w:rPr>
                <w:rFonts w:hint="eastAsia" w:ascii="宋体" w:hAnsi="宋体" w:eastAsia="宋体" w:cs="宋体"/>
                <w:i w:val="0"/>
                <w:iCs w:val="0"/>
                <w:color w:val="000000"/>
                <w:sz w:val="18"/>
                <w:szCs w:val="18"/>
                <w:u w:val="none"/>
              </w:rPr>
            </w:pPr>
          </w:p>
        </w:tc>
        <w:tc>
          <w:tcPr>
            <w:tcW w:w="12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16A4">
            <w:pPr>
              <w:rPr>
                <w:rFonts w:hint="eastAsia" w:ascii="宋体" w:hAnsi="宋体" w:eastAsia="宋体" w:cs="宋体"/>
                <w:i w:val="0"/>
                <w:iCs w:val="0"/>
                <w:color w:val="000000"/>
                <w:sz w:val="18"/>
                <w:szCs w:val="18"/>
                <w:u w:val="none"/>
              </w:rPr>
            </w:pPr>
          </w:p>
        </w:tc>
      </w:tr>
    </w:tbl>
    <w:p w14:paraId="4B9AE02D">
      <w:pPr>
        <w:rPr>
          <w:rFonts w:hint="eastAsia" w:eastAsia="宋体"/>
          <w:color w:val="000000" w:themeColor="text1"/>
          <w:sz w:val="18"/>
          <w:szCs w:val="18"/>
          <w:u w:val="none"/>
          <w:lang w:eastAsia="zh-CN"/>
          <w14:textFill>
            <w14:solidFill>
              <w14:schemeClr w14:val="tx1"/>
            </w14:solidFill>
          </w14:textFill>
        </w:rPr>
      </w:pPr>
    </w:p>
    <w:p w14:paraId="0624648C">
      <w:pPr>
        <w:rPr>
          <w:rFonts w:hint="eastAsia" w:eastAsia="宋体"/>
          <w:color w:val="000000" w:themeColor="text1"/>
          <w:sz w:val="18"/>
          <w:szCs w:val="18"/>
          <w:u w:val="none"/>
          <w:lang w:eastAsia="zh-CN"/>
          <w14:textFill>
            <w14:solidFill>
              <w14:schemeClr w14:val="tx1"/>
            </w14:solidFill>
          </w14:textFill>
        </w:rPr>
      </w:pPr>
    </w:p>
    <w:p w14:paraId="70F483E4">
      <w:pPr>
        <w:rPr>
          <w:rFonts w:hint="eastAsia" w:eastAsia="宋体"/>
          <w:color w:val="000000" w:themeColor="text1"/>
          <w:sz w:val="18"/>
          <w:szCs w:val="18"/>
          <w:u w:val="none"/>
          <w:lang w:eastAsia="zh-CN"/>
          <w14:textFill>
            <w14:solidFill>
              <w14:schemeClr w14:val="tx1"/>
            </w14:solidFill>
          </w14:textFill>
        </w:rPr>
      </w:pPr>
    </w:p>
    <w:p w14:paraId="36D70E0A">
      <w:pPr>
        <w:rPr>
          <w:rFonts w:hint="eastAsia" w:eastAsia="宋体"/>
          <w:color w:val="000000" w:themeColor="text1"/>
          <w:sz w:val="18"/>
          <w:szCs w:val="18"/>
          <w:u w:val="none"/>
          <w:lang w:eastAsia="zh-CN"/>
          <w14:textFill>
            <w14:solidFill>
              <w14:schemeClr w14:val="tx1"/>
            </w14:solidFill>
          </w14:textFill>
        </w:rPr>
      </w:pPr>
    </w:p>
    <w:p w14:paraId="0029860A">
      <w:pPr>
        <w:rPr>
          <w:rFonts w:ascii="宋体" w:hAnsi="宋体"/>
          <w:szCs w:val="21"/>
        </w:rPr>
      </w:pPr>
    </w:p>
    <w:tbl>
      <w:tblPr>
        <w:tblStyle w:val="9"/>
        <w:tblpPr w:leftFromText="180" w:rightFromText="180" w:vertAnchor="text" w:horzAnchor="margin" w:tblpXSpec="center" w:tblpY="427"/>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559"/>
        <w:gridCol w:w="11656"/>
      </w:tblGrid>
      <w:tr w14:paraId="7C8F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4174" w:type="dxa"/>
            <w:gridSpan w:val="3"/>
          </w:tcPr>
          <w:p w14:paraId="371AF758">
            <w:pPr>
              <w:jc w:val="center"/>
              <w:rPr>
                <w:rFonts w:ascii="宋体" w:hAnsi="宋体"/>
                <w:b/>
                <w:szCs w:val="21"/>
              </w:rPr>
            </w:pPr>
            <w:r>
              <w:rPr>
                <w:rFonts w:hint="eastAsia" w:ascii="宋体" w:hAnsi="宋体"/>
                <w:szCs w:val="21"/>
              </w:rPr>
              <w:t>★</w:t>
            </w:r>
            <w:r>
              <w:rPr>
                <w:rFonts w:hint="eastAsia" w:ascii="宋体" w:hAnsi="宋体"/>
                <w:b/>
                <w:szCs w:val="21"/>
              </w:rPr>
              <w:t>商务条款</w:t>
            </w:r>
          </w:p>
        </w:tc>
      </w:tr>
      <w:tr w14:paraId="1F33E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33EF6FA">
            <w:pPr>
              <w:jc w:val="center"/>
              <w:rPr>
                <w:rFonts w:ascii="宋体" w:hAnsi="宋体"/>
                <w:sz w:val="21"/>
                <w:szCs w:val="21"/>
              </w:rPr>
            </w:pPr>
            <w:r>
              <w:rPr>
                <w:rFonts w:hint="eastAsia" w:ascii="宋体" w:hAnsi="宋体"/>
                <w:sz w:val="21"/>
                <w:szCs w:val="21"/>
              </w:rPr>
              <w:t>1</w:t>
            </w:r>
          </w:p>
        </w:tc>
        <w:tc>
          <w:tcPr>
            <w:tcW w:w="1559" w:type="dxa"/>
          </w:tcPr>
          <w:p w14:paraId="3E1F150F">
            <w:pPr>
              <w:rPr>
                <w:rFonts w:ascii="宋体" w:hAnsi="宋体"/>
                <w:sz w:val="21"/>
                <w:szCs w:val="21"/>
              </w:rPr>
            </w:pPr>
            <w:r>
              <w:rPr>
                <w:rFonts w:hint="eastAsia" w:ascii="宋体" w:hAnsi="宋体"/>
                <w:sz w:val="21"/>
                <w:szCs w:val="21"/>
              </w:rPr>
              <w:t>报价要求</w:t>
            </w:r>
          </w:p>
        </w:tc>
        <w:tc>
          <w:tcPr>
            <w:tcW w:w="11656" w:type="dxa"/>
          </w:tcPr>
          <w:p w14:paraId="7811D6F9">
            <w:pPr>
              <w:rPr>
                <w:rFonts w:ascii="宋体" w:hAnsi="宋体"/>
                <w:sz w:val="21"/>
                <w:szCs w:val="21"/>
              </w:rPr>
            </w:pPr>
            <w:r>
              <w:rPr>
                <w:rFonts w:hint="eastAsia" w:ascii="宋体" w:hAnsi="宋体"/>
                <w:sz w:val="21"/>
                <w:szCs w:val="21"/>
              </w:rPr>
              <w:t>本次在线询价报价须为人民币报价，包含：产品价格、运输费（含装卸费）、安装费、</w:t>
            </w:r>
            <w:r>
              <w:rPr>
                <w:rFonts w:hint="eastAsia" w:ascii="宋体" w:hAnsi="宋体"/>
                <w:sz w:val="21"/>
                <w:szCs w:val="21"/>
                <w:lang w:val="en-US" w:eastAsia="zh-CN"/>
              </w:rPr>
              <w:t>拆除旧电池费、</w:t>
            </w:r>
            <w:r>
              <w:rPr>
                <w:rFonts w:hint="eastAsia" w:ascii="宋体" w:hAnsi="宋体"/>
                <w:sz w:val="21"/>
                <w:szCs w:val="21"/>
              </w:rPr>
              <w:t>税费、产品质保期内维护等费用。对于本文件中明确列明必须报价的货物或服务，供应商应分别报价。采购人未列明的货物或服务，不在供应商报价之内。注：</w:t>
            </w:r>
            <w:r>
              <w:rPr>
                <w:rFonts w:hint="eastAsia" w:ascii="宋体" w:hAnsi="宋体"/>
                <w:w w:val="104"/>
                <w:sz w:val="21"/>
                <w:szCs w:val="21"/>
              </w:rPr>
              <w:t>竞标供应商的投标总报价≤采购预算。</w:t>
            </w:r>
          </w:p>
        </w:tc>
      </w:tr>
      <w:tr w14:paraId="0206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959" w:type="dxa"/>
          </w:tcPr>
          <w:p w14:paraId="7B71B7E3">
            <w:pPr>
              <w:jc w:val="center"/>
              <w:rPr>
                <w:rFonts w:ascii="宋体" w:hAnsi="宋体"/>
                <w:sz w:val="21"/>
                <w:szCs w:val="21"/>
              </w:rPr>
            </w:pPr>
            <w:r>
              <w:rPr>
                <w:rFonts w:hint="eastAsia" w:ascii="宋体" w:hAnsi="宋体"/>
                <w:sz w:val="21"/>
                <w:szCs w:val="21"/>
              </w:rPr>
              <w:t>2</w:t>
            </w:r>
          </w:p>
        </w:tc>
        <w:tc>
          <w:tcPr>
            <w:tcW w:w="1559" w:type="dxa"/>
          </w:tcPr>
          <w:p w14:paraId="525589BF">
            <w:pPr>
              <w:rPr>
                <w:rFonts w:ascii="宋体" w:hAnsi="宋体"/>
                <w:sz w:val="21"/>
                <w:szCs w:val="21"/>
              </w:rPr>
            </w:pPr>
            <w:r>
              <w:rPr>
                <w:rFonts w:hint="eastAsia" w:ascii="宋体" w:hAnsi="宋体"/>
                <w:sz w:val="21"/>
                <w:szCs w:val="21"/>
              </w:rPr>
              <w:t>货物性能要求</w:t>
            </w:r>
          </w:p>
        </w:tc>
        <w:tc>
          <w:tcPr>
            <w:tcW w:w="11656" w:type="dxa"/>
          </w:tcPr>
          <w:p w14:paraId="6241B020">
            <w:pPr>
              <w:pStyle w:val="12"/>
              <w:numPr>
                <w:ilvl w:val="0"/>
                <w:numId w:val="0"/>
              </w:numPr>
              <w:ind w:leftChars="0"/>
              <w:rPr>
                <w:rFonts w:ascii="宋体" w:hAnsi="宋体"/>
                <w:sz w:val="21"/>
                <w:szCs w:val="21"/>
              </w:rPr>
            </w:pPr>
            <w:r>
              <w:rPr>
                <w:rFonts w:hint="eastAsia" w:ascii="宋体" w:hAnsi="宋体"/>
                <w:sz w:val="21"/>
                <w:szCs w:val="21"/>
                <w:lang w:val="en-US" w:eastAsia="zh-CN"/>
              </w:rPr>
              <w:t>1、</w:t>
            </w:r>
            <w:r>
              <w:rPr>
                <w:rFonts w:hint="eastAsia" w:ascii="宋体" w:hAnsi="宋体"/>
                <w:sz w:val="21"/>
                <w:szCs w:val="21"/>
              </w:rPr>
              <w:t>本项目所有货物规格、技术参数已确定，不得做任何变更，否则视为不响应本采购要求；</w:t>
            </w:r>
          </w:p>
          <w:p w14:paraId="19B6A3EE">
            <w:pPr>
              <w:pStyle w:val="12"/>
              <w:numPr>
                <w:ilvl w:val="0"/>
                <w:numId w:val="0"/>
              </w:numPr>
              <w:ind w:leftChars="0"/>
              <w:rPr>
                <w:rFonts w:ascii="宋体" w:hAnsi="宋体"/>
                <w:sz w:val="21"/>
                <w:szCs w:val="21"/>
              </w:rPr>
            </w:pPr>
            <w:r>
              <w:rPr>
                <w:rFonts w:hint="eastAsia" w:ascii="宋体" w:hAnsi="宋体"/>
                <w:sz w:val="21"/>
                <w:szCs w:val="21"/>
                <w:lang w:val="en-US" w:eastAsia="zh-CN"/>
              </w:rPr>
              <w:t>2、</w:t>
            </w:r>
            <w:r>
              <w:rPr>
                <w:rFonts w:hint="eastAsia" w:ascii="宋体" w:hAnsi="宋体"/>
                <w:sz w:val="21"/>
                <w:szCs w:val="21"/>
              </w:rPr>
              <w:t>对不能满足参数要求、虚假应标的，采购人将上报监督管理部门，由此所产生的的后果由成交供应商自行承担。</w:t>
            </w:r>
          </w:p>
        </w:tc>
      </w:tr>
      <w:tr w14:paraId="66C3E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326F51E">
            <w:pPr>
              <w:jc w:val="center"/>
              <w:rPr>
                <w:rFonts w:ascii="宋体" w:hAnsi="宋体"/>
                <w:sz w:val="21"/>
                <w:szCs w:val="21"/>
              </w:rPr>
            </w:pPr>
            <w:r>
              <w:rPr>
                <w:rFonts w:hint="eastAsia" w:ascii="宋体" w:hAnsi="宋体"/>
                <w:sz w:val="21"/>
                <w:szCs w:val="21"/>
              </w:rPr>
              <w:t>3</w:t>
            </w:r>
          </w:p>
        </w:tc>
        <w:tc>
          <w:tcPr>
            <w:tcW w:w="1559" w:type="dxa"/>
          </w:tcPr>
          <w:p w14:paraId="36A11030">
            <w:pPr>
              <w:rPr>
                <w:rFonts w:ascii="宋体" w:hAnsi="宋体"/>
                <w:sz w:val="21"/>
                <w:szCs w:val="21"/>
              </w:rPr>
            </w:pPr>
            <w:r>
              <w:rPr>
                <w:rFonts w:hint="eastAsia" w:ascii="宋体" w:hAnsi="宋体"/>
                <w:sz w:val="21"/>
                <w:szCs w:val="21"/>
              </w:rPr>
              <w:t>交货及安装期要求</w:t>
            </w:r>
          </w:p>
        </w:tc>
        <w:tc>
          <w:tcPr>
            <w:tcW w:w="11656" w:type="dxa"/>
          </w:tcPr>
          <w:p w14:paraId="2F30AE31">
            <w:pPr>
              <w:pStyle w:val="12"/>
              <w:numPr>
                <w:ilvl w:val="0"/>
                <w:numId w:val="0"/>
              </w:numPr>
              <w:ind w:leftChars="0"/>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lang w:val="en-US" w:eastAsia="zh-CN"/>
                <w14:textFill>
                  <w14:solidFill>
                    <w14:schemeClr w14:val="tx1"/>
                  </w14:solidFill>
                </w14:textFill>
              </w:rPr>
              <w:t>1、</w:t>
            </w:r>
            <w:r>
              <w:rPr>
                <w:rFonts w:hint="eastAsia" w:ascii="宋体" w:hAnsi="宋体"/>
                <w:color w:val="000000" w:themeColor="text1"/>
                <w:sz w:val="21"/>
                <w:szCs w:val="21"/>
                <w14:textFill>
                  <w14:solidFill>
                    <w14:schemeClr w14:val="tx1"/>
                  </w14:solidFill>
                </w14:textFill>
              </w:rPr>
              <w:t>货物到货后需要等</w:t>
            </w:r>
            <w:r>
              <w:rPr>
                <w:rFonts w:hint="eastAsia" w:ascii="宋体" w:hAnsi="宋体"/>
                <w:color w:val="000000" w:themeColor="text1"/>
                <w:sz w:val="21"/>
                <w:szCs w:val="21"/>
                <w:lang w:val="en-US" w:eastAsia="zh-CN"/>
                <w14:textFill>
                  <w14:solidFill>
                    <w14:schemeClr w14:val="tx1"/>
                  </w14:solidFill>
                </w14:textFill>
              </w:rPr>
              <w:t>采购人</w:t>
            </w:r>
            <w:r>
              <w:rPr>
                <w:rFonts w:hint="eastAsia" w:ascii="宋体" w:hAnsi="宋体"/>
                <w:color w:val="000000" w:themeColor="text1"/>
                <w:sz w:val="21"/>
                <w:szCs w:val="21"/>
                <w14:textFill>
                  <w14:solidFill>
                    <w14:schemeClr w14:val="tx1"/>
                  </w14:solidFill>
                </w14:textFill>
              </w:rPr>
              <w:t>确定安装时间，乙方接到通知后10天内安装完毕</w:t>
            </w:r>
            <w:r>
              <w:rPr>
                <w:rFonts w:ascii="宋体" w:hAnsi="宋体"/>
                <w:color w:val="000000" w:themeColor="text1"/>
                <w:sz w:val="21"/>
                <w:szCs w:val="21"/>
                <w14:textFill>
                  <w14:solidFill>
                    <w14:schemeClr w14:val="tx1"/>
                  </w14:solidFill>
                </w14:textFill>
              </w:rPr>
              <w:t>并通过最终验收交付使用。</w:t>
            </w:r>
          </w:p>
          <w:p w14:paraId="17855692">
            <w:pPr>
              <w:pStyle w:val="12"/>
              <w:numPr>
                <w:ilvl w:val="0"/>
                <w:numId w:val="0"/>
              </w:numPr>
              <w:ind w:leftChars="0"/>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lang w:val="en-US" w:eastAsia="zh-CN"/>
                <w14:textFill>
                  <w14:solidFill>
                    <w14:schemeClr w14:val="tx1"/>
                  </w14:solidFill>
                </w14:textFill>
              </w:rPr>
              <w:t>2、</w:t>
            </w:r>
            <w:r>
              <w:rPr>
                <w:rFonts w:hint="eastAsia" w:ascii="宋体" w:hAnsi="宋体"/>
                <w:color w:val="000000" w:themeColor="text1"/>
                <w:sz w:val="21"/>
                <w:szCs w:val="21"/>
                <w14:textFill>
                  <w14:solidFill>
                    <w14:schemeClr w14:val="tx1"/>
                  </w14:solidFill>
                </w14:textFill>
              </w:rPr>
              <w:t>成交供应商提供的货物必须是原厂生产全新的、完整的、未使用过的合格产品， 货物质量符合国家相关标准和规范， 具备正规合法经销渠道。所有产品除满足上表要求的技术参数外，其余均按国家标准及生产厂家出厂标准配置。成交供应商提供的货物规格、技术参数、质量不符合合同规定及采购需求规定标准的</w:t>
            </w:r>
            <w:r>
              <w:rPr>
                <w:rFonts w:hint="eastAsia" w:ascii="宋体" w:hAnsi="宋体"/>
                <w:color w:val="000000" w:themeColor="text1"/>
                <w:sz w:val="21"/>
                <w:szCs w:val="21"/>
                <w:lang w:eastAsia="zh-CN"/>
                <w14:textFill>
                  <w14:solidFill>
                    <w14:schemeClr w14:val="tx1"/>
                  </w14:solidFill>
                </w14:textFill>
              </w:rPr>
              <w:t>，</w:t>
            </w:r>
            <w:r>
              <w:rPr>
                <w:rFonts w:hint="eastAsia" w:ascii="宋体" w:hAnsi="宋体"/>
                <w:color w:val="000000" w:themeColor="text1"/>
                <w:sz w:val="21"/>
                <w:szCs w:val="21"/>
                <w14:textFill>
                  <w14:solidFill>
                    <w14:schemeClr w14:val="tx1"/>
                  </w14:solidFill>
                </w14:textFill>
              </w:rPr>
              <w:t>采购人有权拒收该货物。成交供应商拒绝更换货物的，采购人可单方面解除合同，并有权要求成交供应商赔偿经济损失。</w:t>
            </w:r>
          </w:p>
          <w:p w14:paraId="01DC59FC">
            <w:pPr>
              <w:pStyle w:val="12"/>
              <w:numPr>
                <w:ilvl w:val="0"/>
                <w:numId w:val="0"/>
              </w:numPr>
              <w:ind w:leftChars="0"/>
              <w:rPr>
                <w:rFonts w:ascii="宋体" w:hAnsi="宋体"/>
                <w:sz w:val="21"/>
                <w:szCs w:val="21"/>
              </w:rPr>
            </w:pPr>
            <w:r>
              <w:rPr>
                <w:rFonts w:hint="eastAsia" w:ascii="宋体" w:hAnsi="宋体"/>
                <w:sz w:val="21"/>
                <w:szCs w:val="21"/>
                <w:lang w:val="en-US" w:eastAsia="zh-CN"/>
              </w:rPr>
              <w:t>3、</w:t>
            </w:r>
            <w:r>
              <w:rPr>
                <w:rFonts w:hint="eastAsia" w:ascii="宋体" w:hAnsi="宋体"/>
                <w:sz w:val="21"/>
                <w:szCs w:val="21"/>
              </w:rPr>
              <w:t>本次采购的货物必须是成交供应商免费送货上门并提供免费安装，不接受物流快递发货以及远程指导安装，否则采购人有权取消合同。</w:t>
            </w:r>
          </w:p>
          <w:p w14:paraId="55A88991">
            <w:pPr>
              <w:pStyle w:val="12"/>
              <w:numPr>
                <w:ilvl w:val="0"/>
                <w:numId w:val="0"/>
              </w:numPr>
              <w:ind w:leftChars="0"/>
              <w:rPr>
                <w:rFonts w:ascii="宋体" w:hAnsi="宋体"/>
                <w:sz w:val="21"/>
                <w:szCs w:val="21"/>
              </w:rPr>
            </w:pPr>
            <w:r>
              <w:rPr>
                <w:rFonts w:hint="eastAsia" w:ascii="宋体" w:hAnsi="宋体"/>
                <w:sz w:val="21"/>
                <w:szCs w:val="21"/>
                <w:lang w:val="en-US" w:eastAsia="zh-CN"/>
              </w:rPr>
              <w:t>4、</w:t>
            </w:r>
            <w:r>
              <w:rPr>
                <w:rFonts w:hint="eastAsia" w:ascii="宋体" w:hAnsi="宋体"/>
                <w:sz w:val="21"/>
                <w:szCs w:val="21"/>
              </w:rPr>
              <w:t>如不能按期交货和安装完毕，则视为违约，造成的一切损失由成交供应商承担。成交供应商提供的货物及服务不满足在线询价文件要求而导致最终验收不合格的</w:t>
            </w:r>
            <w:r>
              <w:rPr>
                <w:rFonts w:hint="eastAsia" w:ascii="宋体" w:hAnsi="宋体"/>
                <w:spacing w:val="7"/>
                <w:sz w:val="21"/>
                <w:szCs w:val="21"/>
              </w:rPr>
              <w:t>，</w:t>
            </w:r>
            <w:r>
              <w:rPr>
                <w:rFonts w:hint="eastAsia" w:ascii="宋体" w:hAnsi="宋体"/>
                <w:spacing w:val="3"/>
                <w:sz w:val="21"/>
                <w:szCs w:val="21"/>
              </w:rPr>
              <w:t>采购人有权解除合同并追究成交供应商的法律责任。</w:t>
            </w:r>
          </w:p>
        </w:tc>
      </w:tr>
      <w:tr w14:paraId="4B84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66C362A4">
            <w:pPr>
              <w:jc w:val="center"/>
              <w:rPr>
                <w:rFonts w:ascii="宋体" w:hAnsi="宋体"/>
                <w:sz w:val="21"/>
                <w:szCs w:val="21"/>
              </w:rPr>
            </w:pPr>
            <w:r>
              <w:rPr>
                <w:rFonts w:hint="eastAsia" w:ascii="宋体" w:hAnsi="宋体"/>
                <w:sz w:val="21"/>
                <w:szCs w:val="21"/>
              </w:rPr>
              <w:t>4</w:t>
            </w:r>
          </w:p>
        </w:tc>
        <w:tc>
          <w:tcPr>
            <w:tcW w:w="1559" w:type="dxa"/>
          </w:tcPr>
          <w:p w14:paraId="1B1AC578">
            <w:pPr>
              <w:rPr>
                <w:rFonts w:ascii="宋体" w:hAnsi="宋体"/>
                <w:sz w:val="21"/>
                <w:szCs w:val="21"/>
              </w:rPr>
            </w:pPr>
            <w:r>
              <w:rPr>
                <w:rFonts w:hint="eastAsia" w:ascii="宋体" w:hAnsi="宋体"/>
                <w:sz w:val="21"/>
                <w:szCs w:val="21"/>
              </w:rPr>
              <w:t>交货及安装地点</w:t>
            </w:r>
          </w:p>
        </w:tc>
        <w:tc>
          <w:tcPr>
            <w:tcW w:w="11656" w:type="dxa"/>
          </w:tcPr>
          <w:p w14:paraId="321542F6">
            <w:pPr>
              <w:rPr>
                <w:rFonts w:ascii="宋体" w:hAnsi="宋体"/>
                <w:sz w:val="21"/>
                <w:szCs w:val="21"/>
              </w:rPr>
            </w:pPr>
            <w:r>
              <w:rPr>
                <w:rFonts w:hint="eastAsia" w:ascii="宋体" w:hAnsi="宋体"/>
                <w:sz w:val="21"/>
                <w:szCs w:val="21"/>
              </w:rPr>
              <w:t>采购人指定地点。</w:t>
            </w:r>
          </w:p>
        </w:tc>
      </w:tr>
      <w:tr w14:paraId="0A86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1F52324">
            <w:pPr>
              <w:jc w:val="center"/>
              <w:rPr>
                <w:rFonts w:ascii="宋体" w:hAnsi="宋体"/>
                <w:sz w:val="21"/>
                <w:szCs w:val="21"/>
              </w:rPr>
            </w:pPr>
            <w:r>
              <w:rPr>
                <w:rFonts w:hint="eastAsia" w:ascii="宋体" w:hAnsi="宋体"/>
                <w:sz w:val="21"/>
                <w:szCs w:val="21"/>
              </w:rPr>
              <w:t>5</w:t>
            </w:r>
          </w:p>
        </w:tc>
        <w:tc>
          <w:tcPr>
            <w:tcW w:w="1559" w:type="dxa"/>
          </w:tcPr>
          <w:p w14:paraId="7280CF35">
            <w:pPr>
              <w:rPr>
                <w:rFonts w:ascii="宋体" w:hAnsi="宋体"/>
                <w:sz w:val="21"/>
                <w:szCs w:val="21"/>
              </w:rPr>
            </w:pPr>
            <w:r>
              <w:rPr>
                <w:rFonts w:hint="eastAsia" w:ascii="宋体" w:hAnsi="宋体"/>
                <w:sz w:val="21"/>
                <w:szCs w:val="21"/>
              </w:rPr>
              <w:t>验收</w:t>
            </w:r>
          </w:p>
        </w:tc>
        <w:tc>
          <w:tcPr>
            <w:tcW w:w="11656" w:type="dxa"/>
          </w:tcPr>
          <w:p w14:paraId="22FB0DE0">
            <w:pPr>
              <w:pStyle w:val="12"/>
              <w:numPr>
                <w:ilvl w:val="0"/>
                <w:numId w:val="0"/>
              </w:numPr>
              <w:ind w:leftChars="0"/>
              <w:rPr>
                <w:rFonts w:ascii="宋体" w:hAnsi="宋体"/>
                <w:sz w:val="21"/>
                <w:szCs w:val="21"/>
              </w:rPr>
            </w:pPr>
            <w:r>
              <w:rPr>
                <w:rFonts w:hint="eastAsia" w:ascii="宋体" w:hAnsi="宋体"/>
                <w:sz w:val="21"/>
                <w:szCs w:val="21"/>
                <w:lang w:val="en-US" w:eastAsia="zh-CN"/>
              </w:rPr>
              <w:t>1、</w:t>
            </w:r>
            <w:r>
              <w:rPr>
                <w:rFonts w:hint="eastAsia" w:ascii="宋体" w:hAnsi="宋体"/>
                <w:sz w:val="21"/>
                <w:szCs w:val="21"/>
              </w:rPr>
              <w:t>初步验收：货物运抵采购人指定地点后，采购人对成交供应商提交的货物依据本合同及在线询价文件上的技术规格要求和国家有关质量标准进行现场初步验收，外观、说明书符合在线询价文件技术要求的，给予签收，初步验收不合格的不予签收。如发生所供货物与合同约定不符，采购人有权退货或要求成交供应商进行更换、补齐，因此造成逾期交货的，成交供应商应承担逾期交货的违约责任。成交供应商应在接到采购人要求后 10 日内予以补救，所产生的费用及法律后果由成交供应商承担。</w:t>
            </w:r>
          </w:p>
          <w:p w14:paraId="6C0F78CC">
            <w:pPr>
              <w:pStyle w:val="12"/>
              <w:numPr>
                <w:ilvl w:val="0"/>
                <w:numId w:val="0"/>
              </w:numPr>
              <w:ind w:leftChars="0"/>
              <w:rPr>
                <w:rFonts w:ascii="宋体" w:hAnsi="宋体"/>
                <w:sz w:val="21"/>
                <w:szCs w:val="21"/>
              </w:rPr>
            </w:pPr>
            <w:r>
              <w:rPr>
                <w:rFonts w:hint="eastAsia" w:ascii="宋体" w:hAnsi="宋体" w:cs="宋体"/>
                <w:color w:val="000000"/>
                <w:kern w:val="0"/>
                <w:sz w:val="21"/>
                <w:szCs w:val="21"/>
                <w:lang w:val="en-US" w:eastAsia="zh-CN" w:bidi="ar"/>
              </w:rPr>
              <w:t>2、采购人</w:t>
            </w:r>
            <w:r>
              <w:rPr>
                <w:rFonts w:hint="eastAsia" w:ascii="宋体" w:hAnsi="宋体" w:eastAsia="宋体" w:cs="宋体"/>
                <w:color w:val="000000"/>
                <w:kern w:val="0"/>
                <w:sz w:val="21"/>
                <w:szCs w:val="21"/>
                <w:lang w:bidi="ar"/>
              </w:rPr>
              <w:t>根据技术参数应答表和原厂售后服务承诺书原件拨打设备制造厂商售后电话，可使用主机序列号查明相关产品配置，验证服务响应时效，确保技术参数真实，服务满足需求。如验证不符，视为虚假应标，应取消中标资格。</w:t>
            </w:r>
          </w:p>
          <w:p w14:paraId="71241251">
            <w:pPr>
              <w:pStyle w:val="12"/>
              <w:numPr>
                <w:ilvl w:val="0"/>
                <w:numId w:val="0"/>
              </w:numPr>
              <w:ind w:leftChars="0"/>
              <w:rPr>
                <w:rFonts w:ascii="宋体" w:hAnsi="宋体"/>
                <w:sz w:val="21"/>
                <w:szCs w:val="21"/>
              </w:rPr>
            </w:pPr>
            <w:r>
              <w:rPr>
                <w:rFonts w:hint="eastAsia" w:ascii="宋体" w:hAnsi="宋体"/>
                <w:sz w:val="21"/>
                <w:szCs w:val="21"/>
                <w:lang w:val="en-US" w:eastAsia="zh-CN"/>
              </w:rPr>
              <w:t>3、</w:t>
            </w:r>
            <w:r>
              <w:rPr>
                <w:rFonts w:hint="eastAsia" w:ascii="宋体" w:hAnsi="宋体"/>
                <w:sz w:val="21"/>
                <w:szCs w:val="21"/>
              </w:rPr>
              <w:t>最终验收：货物经安装完成且符合技术要求后，采购人进行最终验收。验收时成交供应商必须在现场。货物符合合同约定的技术规范要求和验收标准的，采购人签署验收合格证明。如货物不符合合同约定的要求的，成交供应商应当在 10 日内采取措施消除缺陷后重新申请终验，并承担由此产生的费用。</w:t>
            </w:r>
          </w:p>
        </w:tc>
      </w:tr>
      <w:tr w14:paraId="5641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B0A1B68">
            <w:pPr>
              <w:jc w:val="center"/>
              <w:rPr>
                <w:rFonts w:ascii="宋体" w:hAnsi="宋体"/>
                <w:sz w:val="21"/>
                <w:szCs w:val="21"/>
              </w:rPr>
            </w:pPr>
            <w:r>
              <w:rPr>
                <w:rFonts w:hint="eastAsia" w:ascii="宋体" w:hAnsi="宋体"/>
                <w:sz w:val="21"/>
                <w:szCs w:val="21"/>
              </w:rPr>
              <w:t>6</w:t>
            </w:r>
          </w:p>
        </w:tc>
        <w:tc>
          <w:tcPr>
            <w:tcW w:w="1559" w:type="dxa"/>
          </w:tcPr>
          <w:p w14:paraId="7BB71DEE">
            <w:pPr>
              <w:rPr>
                <w:rFonts w:ascii="宋体" w:hAnsi="宋体"/>
                <w:sz w:val="21"/>
                <w:szCs w:val="21"/>
              </w:rPr>
            </w:pPr>
            <w:r>
              <w:rPr>
                <w:rFonts w:hint="eastAsia" w:ascii="宋体" w:hAnsi="宋体"/>
                <w:sz w:val="21"/>
                <w:szCs w:val="21"/>
              </w:rPr>
              <w:t>货款结算</w:t>
            </w:r>
          </w:p>
        </w:tc>
        <w:tc>
          <w:tcPr>
            <w:tcW w:w="11656" w:type="dxa"/>
          </w:tcPr>
          <w:p w14:paraId="55A29013">
            <w:pPr>
              <w:rPr>
                <w:rFonts w:ascii="宋体" w:hAnsi="宋体"/>
                <w:sz w:val="21"/>
                <w:szCs w:val="21"/>
              </w:rPr>
            </w:pPr>
            <w:r>
              <w:rPr>
                <w:rFonts w:hint="eastAsia" w:ascii="宋体" w:hAnsi="宋体"/>
                <w:sz w:val="21"/>
                <w:szCs w:val="21"/>
              </w:rPr>
              <w:t>一次性支付：本合同项下的全部货物经最终验收合格后 15 个工作日内，采购人凭成交供应商开具的全额发票向成交供应商支付全部合同价款。</w:t>
            </w:r>
          </w:p>
        </w:tc>
      </w:tr>
      <w:tr w14:paraId="2401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959" w:type="dxa"/>
          </w:tcPr>
          <w:p w14:paraId="363A38F3">
            <w:pPr>
              <w:jc w:val="center"/>
              <w:rPr>
                <w:rFonts w:ascii="宋体" w:hAnsi="宋体"/>
                <w:sz w:val="21"/>
                <w:szCs w:val="21"/>
              </w:rPr>
            </w:pPr>
            <w:r>
              <w:rPr>
                <w:rFonts w:hint="eastAsia" w:ascii="宋体" w:hAnsi="宋体"/>
                <w:sz w:val="21"/>
                <w:szCs w:val="21"/>
              </w:rPr>
              <w:t>7</w:t>
            </w:r>
          </w:p>
        </w:tc>
        <w:tc>
          <w:tcPr>
            <w:tcW w:w="1559" w:type="dxa"/>
          </w:tcPr>
          <w:p w14:paraId="62F3FF79">
            <w:pPr>
              <w:rPr>
                <w:rFonts w:ascii="宋体" w:hAnsi="宋体"/>
                <w:sz w:val="21"/>
                <w:szCs w:val="21"/>
              </w:rPr>
            </w:pPr>
            <w:r>
              <w:rPr>
                <w:rFonts w:hint="eastAsia" w:ascii="宋体" w:hAnsi="宋体"/>
                <w:sz w:val="21"/>
                <w:szCs w:val="21"/>
              </w:rPr>
              <w:t>质保期</w:t>
            </w:r>
          </w:p>
        </w:tc>
        <w:tc>
          <w:tcPr>
            <w:tcW w:w="11656" w:type="dxa"/>
          </w:tcPr>
          <w:p w14:paraId="3B3B170B">
            <w:pPr>
              <w:tabs>
                <w:tab w:val="center" w:pos="4153"/>
                <w:tab w:val="right" w:pos="8306"/>
              </w:tabs>
              <w:snapToGrid w:val="0"/>
              <w:rPr>
                <w:rFonts w:hint="eastAsia" w:ascii="宋体" w:hAnsi="宋体"/>
                <w:sz w:val="21"/>
                <w:szCs w:val="21"/>
                <w:lang w:val="en-US" w:eastAsia="zh-CN"/>
              </w:rPr>
            </w:pPr>
            <w:r>
              <w:rPr>
                <w:rFonts w:hint="eastAsia" w:ascii="宋体" w:hAnsi="宋体"/>
                <w:sz w:val="21"/>
                <w:szCs w:val="21"/>
                <w:lang w:val="en-US" w:eastAsia="zh-CN"/>
              </w:rPr>
              <w:t>1、质保期自交货最终验收合格之日起计。</w:t>
            </w:r>
          </w:p>
          <w:p w14:paraId="17A44B5D">
            <w:pPr>
              <w:tabs>
                <w:tab w:val="center" w:pos="4153"/>
                <w:tab w:val="right" w:pos="8306"/>
              </w:tabs>
              <w:snapToGrid w:val="0"/>
              <w:rPr>
                <w:rFonts w:ascii="宋体" w:hAnsi="宋体"/>
                <w:color w:val="000000" w:themeColor="text1"/>
                <w:sz w:val="21"/>
                <w:szCs w:val="21"/>
                <w14:textFill>
                  <w14:solidFill>
                    <w14:schemeClr w14:val="tx1"/>
                  </w14:solidFill>
                </w14:textFill>
              </w:rPr>
            </w:pPr>
            <w:r>
              <w:rPr>
                <w:rFonts w:hint="eastAsia" w:ascii="宋体" w:hAnsi="宋体"/>
                <w:sz w:val="21"/>
                <w:szCs w:val="21"/>
                <w:lang w:val="en-US" w:eastAsia="zh-CN"/>
              </w:rPr>
              <w:t>2、</w:t>
            </w:r>
            <w:r>
              <w:rPr>
                <w:rFonts w:hint="eastAsia" w:ascii="宋体" w:hAnsi="宋体"/>
                <w:sz w:val="21"/>
                <w:szCs w:val="21"/>
              </w:rPr>
              <w:t>除“参数配置”中另有要求外，其余货物按国家有关产品“三包”规定执行“三包”，质保期自货物最终验收合格之日起计算，不少于</w:t>
            </w:r>
            <w:r>
              <w:rPr>
                <w:rFonts w:hint="eastAsia" w:ascii="宋体" w:hAnsi="宋体"/>
                <w:sz w:val="21"/>
                <w:szCs w:val="21"/>
                <w:lang w:val="en-US" w:eastAsia="zh-CN"/>
              </w:rPr>
              <w:t>3</w:t>
            </w:r>
            <w:r>
              <w:rPr>
                <w:rFonts w:hint="eastAsia" w:ascii="宋体" w:hAnsi="宋体"/>
                <w:sz w:val="21"/>
                <w:szCs w:val="21"/>
              </w:rPr>
              <w:t>年，质保期内免费上门维修，免费更换零部件。</w:t>
            </w:r>
          </w:p>
        </w:tc>
      </w:tr>
      <w:tr w14:paraId="5A9D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ECC05F7">
            <w:pPr>
              <w:jc w:val="center"/>
              <w:rPr>
                <w:rFonts w:ascii="宋体" w:hAnsi="宋体"/>
                <w:sz w:val="21"/>
                <w:szCs w:val="21"/>
              </w:rPr>
            </w:pPr>
            <w:r>
              <w:rPr>
                <w:rFonts w:hint="eastAsia" w:ascii="宋体" w:hAnsi="宋体"/>
                <w:sz w:val="21"/>
                <w:szCs w:val="21"/>
              </w:rPr>
              <w:t>8</w:t>
            </w:r>
          </w:p>
        </w:tc>
        <w:tc>
          <w:tcPr>
            <w:tcW w:w="1559" w:type="dxa"/>
          </w:tcPr>
          <w:p w14:paraId="22E6AFA0">
            <w:pPr>
              <w:rPr>
                <w:rFonts w:ascii="宋体" w:hAnsi="宋体"/>
                <w:sz w:val="21"/>
                <w:szCs w:val="21"/>
              </w:rPr>
            </w:pPr>
            <w:r>
              <w:rPr>
                <w:rFonts w:hint="eastAsia" w:ascii="宋体" w:hAnsi="宋体"/>
                <w:sz w:val="21"/>
                <w:szCs w:val="21"/>
              </w:rPr>
              <w:t>售后服务要求</w:t>
            </w:r>
          </w:p>
        </w:tc>
        <w:tc>
          <w:tcPr>
            <w:tcW w:w="11656" w:type="dxa"/>
          </w:tcPr>
          <w:p w14:paraId="4812EED7">
            <w:pPr>
              <w:pStyle w:val="12"/>
              <w:numPr>
                <w:ilvl w:val="0"/>
                <w:numId w:val="0"/>
              </w:numPr>
              <w:tabs>
                <w:tab w:val="center" w:pos="4153"/>
                <w:tab w:val="right" w:pos="8306"/>
              </w:tabs>
              <w:snapToGrid w:val="0"/>
              <w:ind w:left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lang w:val="en-US" w:eastAsia="zh-CN"/>
                <w14:textFill>
                  <w14:solidFill>
                    <w14:schemeClr w14:val="tx1"/>
                  </w14:solidFill>
                </w14:textFill>
              </w:rPr>
              <w:t>1、</w:t>
            </w:r>
            <w:r>
              <w:rPr>
                <w:rFonts w:hint="eastAsia" w:ascii="宋体" w:hAnsi="宋体"/>
                <w:color w:val="000000" w:themeColor="text1"/>
                <w:sz w:val="21"/>
                <w:szCs w:val="21"/>
                <w14:textFill>
                  <w14:solidFill>
                    <w14:schemeClr w14:val="tx1"/>
                  </w14:solidFill>
                </w14:textFill>
              </w:rPr>
              <w:t>为确保货物质量，报价人必须提供售后服务承诺书原件（加盖公章），如无法提供的，视为虚假应标，取消成交资格。</w:t>
            </w:r>
          </w:p>
          <w:p w14:paraId="2140693D">
            <w:pPr>
              <w:pStyle w:val="12"/>
              <w:numPr>
                <w:ilvl w:val="0"/>
                <w:numId w:val="0"/>
              </w:numPr>
              <w:tabs>
                <w:tab w:val="center" w:pos="4153"/>
                <w:tab w:val="right" w:pos="8306"/>
              </w:tabs>
              <w:snapToGrid w:val="0"/>
              <w:ind w:left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lang w:val="en-US" w:eastAsia="zh-CN"/>
                <w14:textFill>
                  <w14:solidFill>
                    <w14:schemeClr w14:val="tx1"/>
                  </w14:solidFill>
                </w14:textFill>
              </w:rPr>
              <w:t>2、</w:t>
            </w:r>
            <w:r>
              <w:rPr>
                <w:rFonts w:hint="eastAsia" w:ascii="宋体" w:hAnsi="宋体"/>
                <w:color w:val="000000" w:themeColor="text1"/>
                <w:sz w:val="21"/>
                <w:szCs w:val="21"/>
                <w14:textFill>
                  <w14:solidFill>
                    <w14:schemeClr w14:val="tx1"/>
                  </w14:solidFill>
                </w14:textFill>
              </w:rPr>
              <w:t>项目整体安装完毕，最终验收合格之日起，质保期内所有货物免费上门维修服务、免费更换零部件，更换所用货物不得低于竞标标准。质保期满后，如需更换货物零部件，成交供应商须保证提供优惠价格的配件和服务。</w:t>
            </w:r>
          </w:p>
          <w:p w14:paraId="11B94DE5">
            <w:pPr>
              <w:pStyle w:val="12"/>
              <w:numPr>
                <w:ilvl w:val="0"/>
                <w:numId w:val="0"/>
              </w:numPr>
              <w:tabs>
                <w:tab w:val="center" w:pos="4153"/>
                <w:tab w:val="right" w:pos="8306"/>
              </w:tabs>
              <w:snapToGrid w:val="0"/>
              <w:ind w:leftChars="0"/>
              <w:jc w:val="left"/>
              <w:rPr>
                <w:rFonts w:ascii="宋体" w:hAnsi="宋体"/>
                <w:color w:val="000000" w:themeColor="text1"/>
                <w:sz w:val="2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3、</w:t>
            </w:r>
            <w:r>
              <w:rPr>
                <w:rFonts w:hint="eastAsia" w:ascii="宋体" w:hAnsi="宋体" w:cs="宋体"/>
                <w:color w:val="000000" w:themeColor="text1"/>
                <w:sz w:val="21"/>
                <w:szCs w:val="21"/>
                <w14:textFill>
                  <w14:solidFill>
                    <w14:schemeClr w14:val="tx1"/>
                  </w14:solidFill>
                </w14:textFill>
              </w:rPr>
              <w:t>在质保期内货物非因人为及不可抗拒因素的原因而引起损坏或质量问题，成交供应商应免费予以技术服务、维修或设备更换，并承担相应费用和零部件的费用，因人为因素出现的故障不在免费保修范围内，成交供应商也要积极帮助采购人修理，并提供优惠价格的配件和服务；</w:t>
            </w:r>
          </w:p>
          <w:p w14:paraId="1FACA192">
            <w:pPr>
              <w:pStyle w:val="12"/>
              <w:numPr>
                <w:ilvl w:val="0"/>
                <w:numId w:val="0"/>
              </w:numPr>
              <w:tabs>
                <w:tab w:val="center" w:pos="4153"/>
                <w:tab w:val="right" w:pos="8306"/>
              </w:tabs>
              <w:snapToGrid w:val="0"/>
              <w:ind w:leftChars="0"/>
              <w:jc w:val="left"/>
              <w:rPr>
                <w:rFonts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lang w:val="en-US" w:eastAsia="zh-CN"/>
                <w14:textFill>
                  <w14:solidFill>
                    <w14:schemeClr w14:val="tx1"/>
                  </w14:solidFill>
                </w14:textFill>
              </w:rPr>
              <w:t>4、</w:t>
            </w:r>
            <w:r>
              <w:rPr>
                <w:rFonts w:hint="eastAsia" w:ascii="宋体" w:hAnsi="宋体"/>
                <w:color w:val="000000" w:themeColor="text1"/>
                <w:sz w:val="21"/>
                <w:szCs w:val="21"/>
                <w14:textFill>
                  <w14:solidFill>
                    <w14:schemeClr w14:val="tx1"/>
                  </w14:solidFill>
                </w14:textFill>
              </w:rPr>
              <w:t>投标人应充分考虑供货成本及参数要求再进行报价，如投标人低价恶意竞价、且成交后无法按要求提供货物或者所供货物及资质要求无法满足参数要求的，采购人将按虚假竞标处理，并保留因耽误采购人使用时间造成的损失进行赔偿的权利，通过报备政采云平台及财政厅监管部门，并按规定对投标人公司予以处罚和进行网上通报处理，追究投标人的法律责任，由此引发的一切后果由投标人承担。</w:t>
            </w:r>
          </w:p>
        </w:tc>
      </w:tr>
      <w:tr w14:paraId="06AE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0BCE16D">
            <w:pPr>
              <w:jc w:val="center"/>
              <w:rPr>
                <w:rFonts w:ascii="宋体" w:hAnsi="宋体"/>
                <w:sz w:val="21"/>
                <w:szCs w:val="21"/>
              </w:rPr>
            </w:pPr>
            <w:r>
              <w:rPr>
                <w:rFonts w:hint="eastAsia" w:ascii="宋体" w:hAnsi="宋体"/>
                <w:sz w:val="21"/>
                <w:szCs w:val="21"/>
              </w:rPr>
              <w:t>9</w:t>
            </w:r>
          </w:p>
        </w:tc>
        <w:tc>
          <w:tcPr>
            <w:tcW w:w="1559" w:type="dxa"/>
          </w:tcPr>
          <w:p w14:paraId="761A01DF">
            <w:pPr>
              <w:rPr>
                <w:rFonts w:ascii="宋体" w:hAnsi="宋体"/>
                <w:sz w:val="21"/>
                <w:szCs w:val="21"/>
              </w:rPr>
            </w:pPr>
            <w:r>
              <w:rPr>
                <w:rFonts w:hint="eastAsia" w:ascii="宋体" w:hAnsi="宋体"/>
                <w:sz w:val="21"/>
                <w:szCs w:val="21"/>
              </w:rPr>
              <w:t>违约责任</w:t>
            </w:r>
          </w:p>
        </w:tc>
        <w:tc>
          <w:tcPr>
            <w:tcW w:w="11656" w:type="dxa"/>
          </w:tcPr>
          <w:p w14:paraId="234A4417">
            <w:pPr>
              <w:rPr>
                <w:rFonts w:ascii="宋体" w:hAnsi="宋体"/>
                <w:sz w:val="21"/>
                <w:szCs w:val="21"/>
              </w:rPr>
            </w:pPr>
            <w:r>
              <w:rPr>
                <w:rFonts w:hint="eastAsia" w:ascii="宋体" w:hAnsi="宋体"/>
                <w:sz w:val="21"/>
                <w:szCs w:val="21"/>
              </w:rPr>
              <w:t>1</w:t>
            </w:r>
            <w:r>
              <w:rPr>
                <w:rFonts w:hint="eastAsia" w:ascii="宋体" w:hAnsi="宋体"/>
                <w:sz w:val="21"/>
                <w:szCs w:val="21"/>
                <w:lang w:eastAsia="zh-CN"/>
              </w:rPr>
              <w:t>、</w:t>
            </w:r>
            <w:r>
              <w:rPr>
                <w:rFonts w:hint="eastAsia" w:ascii="宋体" w:hAnsi="宋体"/>
                <w:sz w:val="21"/>
                <w:szCs w:val="21"/>
              </w:rPr>
              <w:t>本在线询价文件项下的货物在交货、安装、验收及质保期等任何阶段内不符合合同约定的技术规范要求和验收标准的，采购人有权向成交供应商索赔并选择下列一项或多项补救措施：</w:t>
            </w:r>
          </w:p>
          <w:p w14:paraId="533CFFF3">
            <w:pPr>
              <w:rPr>
                <w:rFonts w:ascii="宋体" w:hAnsi="宋体"/>
                <w:sz w:val="21"/>
                <w:szCs w:val="21"/>
              </w:rPr>
            </w:pPr>
            <w:r>
              <w:rPr>
                <w:rFonts w:hint="eastAsia" w:ascii="宋体" w:hAnsi="宋体"/>
                <w:sz w:val="21"/>
                <w:szCs w:val="21"/>
              </w:rPr>
              <w:t>（1）由成交供应商采取措施消除货物缺陷或不符合合同之处，如果成交供应商不能及时消除缺陷，采购人有权自行消除缺陷或不符合合同之处，由此产生的一切费用均由成交供应商承担。</w:t>
            </w:r>
          </w:p>
          <w:p w14:paraId="3F0BFE2D">
            <w:pPr>
              <w:rPr>
                <w:rFonts w:ascii="宋体" w:hAnsi="宋体"/>
                <w:sz w:val="21"/>
                <w:szCs w:val="21"/>
              </w:rPr>
            </w:pPr>
            <w:r>
              <w:rPr>
                <w:rFonts w:hint="eastAsia" w:ascii="宋体" w:hAnsi="宋体"/>
                <w:sz w:val="21"/>
                <w:szCs w:val="21"/>
              </w:rPr>
              <w:t>（2）由成交供应商在接到采购人通知后 10 日内用符合合同规定的规格、质量和性能要求的新零件、部件和货物更换有缺陷的设备或用新的技术资料替换有错误的技术资料或补供遗漏的货物或技术资料等，成交供应商应承担一切费用和风险并负担给采购人造成的全部损失。</w:t>
            </w:r>
          </w:p>
          <w:p w14:paraId="0C11D303">
            <w:pPr>
              <w:rPr>
                <w:rFonts w:ascii="宋体" w:hAnsi="宋体"/>
                <w:sz w:val="21"/>
                <w:szCs w:val="21"/>
              </w:rPr>
            </w:pPr>
            <w:r>
              <w:rPr>
                <w:rFonts w:hint="eastAsia" w:ascii="宋体" w:hAnsi="宋体"/>
                <w:sz w:val="21"/>
                <w:szCs w:val="21"/>
              </w:rPr>
              <w:t>（3）根据货物的低劣程度、损坏程度以及采购人所遭受损失的数额，成交供应商必须降低货物的价格。</w:t>
            </w:r>
          </w:p>
          <w:p w14:paraId="077BEF1E">
            <w:pPr>
              <w:rPr>
                <w:rFonts w:ascii="宋体" w:hAnsi="宋体"/>
                <w:sz w:val="21"/>
                <w:szCs w:val="21"/>
              </w:rPr>
            </w:pPr>
            <w:r>
              <w:rPr>
                <w:rFonts w:hint="eastAsia" w:ascii="宋体" w:hAnsi="宋体"/>
                <w:sz w:val="21"/>
                <w:szCs w:val="21"/>
              </w:rPr>
              <w:t>（4）退货，成交供应商应退还采购人支付的全部合同款，同时应承担该货物的直接费用（运输、保险、检验、货款利息及银行手续费等）。</w:t>
            </w:r>
          </w:p>
          <w:p w14:paraId="57F4BDFA">
            <w:pPr>
              <w:rPr>
                <w:rFonts w:ascii="宋体" w:hAnsi="宋体"/>
                <w:sz w:val="21"/>
                <w:szCs w:val="21"/>
              </w:rPr>
            </w:pPr>
            <w:r>
              <w:rPr>
                <w:rFonts w:hint="eastAsia" w:ascii="宋体" w:hAnsi="宋体"/>
                <w:sz w:val="21"/>
                <w:szCs w:val="21"/>
              </w:rPr>
              <w:t>2</w:t>
            </w:r>
            <w:r>
              <w:rPr>
                <w:rFonts w:hint="eastAsia" w:ascii="宋体" w:hAnsi="宋体"/>
                <w:sz w:val="21"/>
                <w:szCs w:val="21"/>
                <w:lang w:eastAsia="zh-CN"/>
              </w:rPr>
              <w:t>、</w:t>
            </w:r>
            <w:r>
              <w:rPr>
                <w:rFonts w:hint="eastAsia" w:ascii="宋体" w:hAnsi="宋体"/>
                <w:sz w:val="21"/>
                <w:szCs w:val="21"/>
              </w:rPr>
              <w:t>成交供应商逾期交付货物的，每逾期一日，应按逾期交货总额3‰向采购人支付违约金。逾期超过约定日期 17 个工作日不能交货的，采购人有权解除本合同，并要求成交供应商支付合同总额 20 %的违约金。</w:t>
            </w:r>
          </w:p>
          <w:p w14:paraId="0FA0D9F2">
            <w:pPr>
              <w:rPr>
                <w:rFonts w:ascii="宋体" w:hAnsi="宋体"/>
                <w:sz w:val="21"/>
                <w:szCs w:val="21"/>
              </w:rPr>
            </w:pPr>
            <w:r>
              <w:rPr>
                <w:rFonts w:hint="eastAsia" w:ascii="宋体" w:hAnsi="宋体"/>
                <w:sz w:val="21"/>
                <w:szCs w:val="21"/>
              </w:rPr>
              <w:t>3</w:t>
            </w:r>
            <w:r>
              <w:rPr>
                <w:rFonts w:hint="eastAsia" w:ascii="宋体" w:hAnsi="宋体"/>
                <w:sz w:val="21"/>
                <w:szCs w:val="21"/>
                <w:lang w:eastAsia="zh-CN"/>
              </w:rPr>
              <w:t>、</w:t>
            </w:r>
            <w:r>
              <w:rPr>
                <w:rFonts w:hint="eastAsia" w:ascii="宋体" w:hAnsi="宋体"/>
                <w:sz w:val="21"/>
                <w:szCs w:val="21"/>
              </w:rPr>
              <w:t>成交供应商所交付的货物规格、技术参数、质量不符合合同规定及在线询价文件规定标准的，采购人有权拒收该货物，成交供应商愿意更换货物但逾期交货的，按成交供应商逾期交货处理。成交供应商拒绝更换货物的，采购人可单方面解除合同，并要求成交供应商支付合同总值 20 %的违约金，违约金不足以弥补采购人损失的，成交供应商还应负责赔偿。</w:t>
            </w:r>
          </w:p>
          <w:p w14:paraId="017F210D">
            <w:pPr>
              <w:rPr>
                <w:rFonts w:ascii="宋体" w:hAnsi="宋体"/>
                <w:sz w:val="21"/>
                <w:szCs w:val="21"/>
              </w:rPr>
            </w:pPr>
            <w:r>
              <w:rPr>
                <w:rFonts w:hint="eastAsia" w:ascii="宋体" w:hAnsi="宋体"/>
                <w:sz w:val="21"/>
                <w:szCs w:val="21"/>
              </w:rPr>
              <w:t>4</w:t>
            </w:r>
            <w:r>
              <w:rPr>
                <w:rFonts w:hint="eastAsia" w:ascii="宋体" w:hAnsi="宋体"/>
                <w:sz w:val="21"/>
                <w:szCs w:val="21"/>
                <w:lang w:eastAsia="zh-CN"/>
              </w:rPr>
              <w:t>、</w:t>
            </w:r>
            <w:r>
              <w:rPr>
                <w:rFonts w:hint="eastAsia" w:ascii="宋体" w:hAnsi="宋体"/>
                <w:sz w:val="21"/>
                <w:szCs w:val="21"/>
              </w:rPr>
              <w:t>成交供应商未能按约定要求履行保修义务的，每发生一次应向采购人支付合同金额的5</w:t>
            </w:r>
            <w:r>
              <w:rPr>
                <w:rFonts w:ascii="宋体" w:hAnsi="宋体"/>
                <w:sz w:val="21"/>
                <w:szCs w:val="21"/>
              </w:rPr>
              <w:t>%</w:t>
            </w:r>
            <w:r>
              <w:rPr>
                <w:rFonts w:hint="eastAsia" w:ascii="宋体" w:hAnsi="宋体"/>
                <w:sz w:val="21"/>
                <w:szCs w:val="21"/>
              </w:rPr>
              <w:t>违约金，同时，采购人有权委托第三方进行保修，所产生的费用由成交供应商承担。若因货物缺陷或成交供应商服务质量等问题造成采购人或任何人员人身、财产损害的，成交供应商应承担有关责任并作出相应赔偿。</w:t>
            </w:r>
          </w:p>
        </w:tc>
      </w:tr>
      <w:tr w14:paraId="1CD18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959" w:type="dxa"/>
          </w:tcPr>
          <w:p w14:paraId="12D1C97A">
            <w:pPr>
              <w:jc w:val="center"/>
              <w:rPr>
                <w:rFonts w:ascii="宋体" w:hAnsi="宋体"/>
                <w:sz w:val="21"/>
                <w:szCs w:val="21"/>
              </w:rPr>
            </w:pPr>
            <w:r>
              <w:rPr>
                <w:rFonts w:hint="eastAsia" w:ascii="宋体" w:hAnsi="宋体"/>
                <w:sz w:val="21"/>
                <w:szCs w:val="21"/>
              </w:rPr>
              <w:t>10</w:t>
            </w:r>
          </w:p>
        </w:tc>
        <w:tc>
          <w:tcPr>
            <w:tcW w:w="1559" w:type="dxa"/>
          </w:tcPr>
          <w:p w14:paraId="4FFB6839">
            <w:pPr>
              <w:rPr>
                <w:rFonts w:ascii="宋体" w:hAnsi="宋体"/>
                <w:sz w:val="21"/>
                <w:szCs w:val="21"/>
              </w:rPr>
            </w:pPr>
            <w:r>
              <w:rPr>
                <w:rFonts w:hint="eastAsia" w:ascii="宋体" w:hAnsi="宋体"/>
                <w:sz w:val="21"/>
                <w:szCs w:val="21"/>
              </w:rPr>
              <w:t>其他要求</w:t>
            </w:r>
          </w:p>
        </w:tc>
        <w:tc>
          <w:tcPr>
            <w:tcW w:w="11656" w:type="dxa"/>
          </w:tcPr>
          <w:p w14:paraId="67A8C0EA">
            <w:pPr>
              <w:pStyle w:val="3"/>
              <w:numPr>
                <w:ilvl w:val="0"/>
                <w:numId w:val="0"/>
              </w:numPr>
              <w:kinsoku w:val="0"/>
              <w:overflowPunct w:val="0"/>
              <w:spacing w:before="49"/>
              <w:rPr>
                <w:rFonts w:hint="eastAsia" w:ascii="宋体" w:hAnsi="宋体" w:eastAsia="宋体" w:cs="宋体"/>
                <w:spacing w:val="-11"/>
                <w:kern w:val="2"/>
                <w:sz w:val="21"/>
                <w:szCs w:val="21"/>
              </w:rPr>
            </w:pPr>
            <w:r>
              <w:rPr>
                <w:rFonts w:hint="eastAsia" w:cs="宋体"/>
                <w:spacing w:val="-11"/>
                <w:kern w:val="2"/>
                <w:sz w:val="21"/>
                <w:szCs w:val="21"/>
                <w:lang w:val="en-US" w:eastAsia="zh-CN"/>
              </w:rPr>
              <w:t>1、</w:t>
            </w:r>
            <w:r>
              <w:rPr>
                <w:rFonts w:hint="eastAsia" w:ascii="宋体" w:hAnsi="宋体" w:eastAsia="宋体" w:cs="宋体"/>
                <w:spacing w:val="-11"/>
                <w:kern w:val="2"/>
                <w:sz w:val="21"/>
                <w:szCs w:val="21"/>
              </w:rPr>
              <w:t>对在“信用中国”网站、中国政府采购网被列入失信被执行人、重大税收违法案件当事人名单、政府采购严重违法失信行为记录名单及其他不符合《中华人民共和国政府采购法》第二十二条规定的供应商，不得参与投标报价。</w:t>
            </w:r>
          </w:p>
          <w:p w14:paraId="0F6F1DA0">
            <w:pPr>
              <w:pStyle w:val="3"/>
              <w:numPr>
                <w:ilvl w:val="0"/>
                <w:numId w:val="0"/>
              </w:numPr>
              <w:kinsoku w:val="0"/>
              <w:overflowPunct w:val="0"/>
              <w:spacing w:before="49"/>
              <w:rPr>
                <w:rFonts w:hint="eastAsia" w:ascii="宋体" w:hAnsi="宋体" w:eastAsia="宋体" w:cs="宋体"/>
                <w:spacing w:val="-11"/>
                <w:kern w:val="2"/>
                <w:sz w:val="21"/>
                <w:szCs w:val="21"/>
              </w:rPr>
            </w:pPr>
            <w:r>
              <w:rPr>
                <w:rFonts w:hint="eastAsia" w:cs="宋体"/>
                <w:color w:val="000000"/>
                <w:kern w:val="0"/>
                <w:sz w:val="21"/>
                <w:szCs w:val="21"/>
                <w:lang w:val="en-US" w:eastAsia="zh-CN" w:bidi="ar"/>
              </w:rPr>
              <w:t>2、</w:t>
            </w:r>
            <w:r>
              <w:rPr>
                <w:rFonts w:hint="eastAsia" w:ascii="宋体" w:hAnsi="宋体" w:eastAsia="宋体" w:cs="宋体"/>
                <w:color w:val="000000"/>
                <w:kern w:val="0"/>
                <w:sz w:val="21"/>
                <w:szCs w:val="21"/>
                <w:lang w:bidi="ar"/>
              </w:rPr>
              <w:t>投标产品要求中标供应商签合同前提供供货证明和原厂销售服务承诺函，并加盖原厂公章。</w:t>
            </w:r>
          </w:p>
          <w:p w14:paraId="7ED4DFF4">
            <w:pPr>
              <w:pStyle w:val="3"/>
              <w:kinsoku w:val="0"/>
              <w:overflowPunct w:val="0"/>
              <w:spacing w:before="49"/>
              <w:ind w:left="20"/>
              <w:rPr>
                <w:rFonts w:hint="eastAsia" w:ascii="宋体" w:hAnsi="宋体" w:eastAsia="宋体" w:cs="宋体"/>
                <w:spacing w:val="-11"/>
                <w:kern w:val="2"/>
                <w:sz w:val="21"/>
                <w:szCs w:val="21"/>
              </w:rPr>
            </w:pPr>
            <w:r>
              <w:rPr>
                <w:rFonts w:hint="eastAsia" w:cs="宋体"/>
                <w:spacing w:val="-11"/>
                <w:kern w:val="2"/>
                <w:sz w:val="21"/>
                <w:szCs w:val="21"/>
                <w:lang w:val="en-US" w:eastAsia="zh-CN"/>
              </w:rPr>
              <w:t>3、</w:t>
            </w:r>
            <w:r>
              <w:rPr>
                <w:rFonts w:hint="eastAsia" w:ascii="宋体" w:hAnsi="宋体" w:eastAsia="宋体" w:cs="宋体"/>
                <w:spacing w:val="-11"/>
                <w:kern w:val="2"/>
                <w:sz w:val="21"/>
                <w:szCs w:val="21"/>
              </w:rPr>
              <w:t>成交供应商在收到成交结果通知之日起5个工作日内必须向采购人提供询价货物的以下纸质资料及产品样品：</w:t>
            </w:r>
          </w:p>
          <w:p w14:paraId="43D886EE">
            <w:pPr>
              <w:pStyle w:val="3"/>
              <w:kinsoku w:val="0"/>
              <w:overflowPunct w:val="0"/>
              <w:spacing w:before="49"/>
              <w:ind w:left="20"/>
              <w:rPr>
                <w:rFonts w:hint="eastAsia" w:ascii="宋体" w:hAnsi="宋体" w:eastAsia="宋体" w:cs="宋体"/>
                <w:spacing w:val="-11"/>
                <w:kern w:val="2"/>
                <w:sz w:val="21"/>
                <w:szCs w:val="21"/>
              </w:rPr>
            </w:pPr>
            <w:r>
              <w:rPr>
                <w:rFonts w:hint="eastAsia" w:ascii="宋体" w:hAnsi="宋体" w:eastAsia="宋体" w:cs="宋体"/>
                <w:spacing w:val="-11"/>
                <w:kern w:val="2"/>
                <w:sz w:val="21"/>
                <w:szCs w:val="21"/>
              </w:rPr>
              <w:t>（1）商品合格证，并加盖厂家公章。</w:t>
            </w:r>
          </w:p>
          <w:p w14:paraId="73E6651E">
            <w:pPr>
              <w:pStyle w:val="3"/>
              <w:kinsoku w:val="0"/>
              <w:overflowPunct w:val="0"/>
              <w:spacing w:before="49"/>
              <w:ind w:left="20"/>
              <w:rPr>
                <w:rFonts w:hint="eastAsia" w:ascii="宋体" w:hAnsi="宋体" w:eastAsia="宋体" w:cs="宋体"/>
                <w:spacing w:val="-11"/>
                <w:kern w:val="2"/>
                <w:sz w:val="21"/>
                <w:szCs w:val="21"/>
              </w:rPr>
            </w:pPr>
            <w:r>
              <w:rPr>
                <w:rFonts w:hint="eastAsia" w:ascii="宋体" w:hAnsi="宋体" w:eastAsia="宋体" w:cs="宋体"/>
                <w:spacing w:val="-11"/>
                <w:kern w:val="2"/>
                <w:sz w:val="21"/>
                <w:szCs w:val="21"/>
              </w:rPr>
              <w:t>（2）</w:t>
            </w:r>
            <w:r>
              <w:rPr>
                <w:rFonts w:hint="eastAsia" w:cs="宋体"/>
                <w:spacing w:val="-11"/>
                <w:kern w:val="2"/>
                <w:sz w:val="21"/>
                <w:szCs w:val="21"/>
                <w:lang w:val="en-US" w:eastAsia="zh-CN"/>
              </w:rPr>
              <w:t>检测报告</w:t>
            </w:r>
            <w:r>
              <w:rPr>
                <w:rFonts w:hint="eastAsia" w:ascii="宋体" w:hAnsi="宋体" w:eastAsia="宋体" w:cs="宋体"/>
                <w:spacing w:val="-11"/>
                <w:kern w:val="2"/>
                <w:sz w:val="21"/>
                <w:szCs w:val="21"/>
              </w:rPr>
              <w:t>。</w:t>
            </w:r>
          </w:p>
          <w:p w14:paraId="0DA1417D">
            <w:pPr>
              <w:pStyle w:val="3"/>
              <w:kinsoku w:val="0"/>
              <w:overflowPunct w:val="0"/>
              <w:spacing w:before="49"/>
              <w:ind w:left="20"/>
              <w:rPr>
                <w:rFonts w:cs="宋体"/>
                <w:spacing w:val="-11"/>
                <w:kern w:val="2"/>
                <w:sz w:val="21"/>
                <w:szCs w:val="21"/>
              </w:rPr>
            </w:pPr>
            <w:r>
              <w:rPr>
                <w:rFonts w:hint="eastAsia" w:cs="宋体"/>
                <w:spacing w:val="-11"/>
                <w:kern w:val="2"/>
                <w:sz w:val="21"/>
                <w:szCs w:val="21"/>
                <w:lang w:val="en-US" w:eastAsia="zh-CN"/>
              </w:rPr>
              <w:t>4、</w:t>
            </w:r>
            <w:r>
              <w:rPr>
                <w:rFonts w:hint="eastAsia" w:cs="宋体"/>
                <w:spacing w:val="-11"/>
                <w:kern w:val="2"/>
                <w:sz w:val="21"/>
                <w:szCs w:val="21"/>
              </w:rPr>
              <w:t>本项目采购任务急，现特向潜在供应商作出相关提醒：供应商存在不按要求竞标、不按要求提供审查资料、货物样品或资料、产品样品审查不合格、成交后无故放弃、不按合同履行等违约行为的， 采购人有权按预算金额20%的赔偿金额向成交供应商追偿其所造成的损失。</w:t>
            </w:r>
          </w:p>
          <w:p w14:paraId="533C965A">
            <w:pPr>
              <w:pStyle w:val="3"/>
              <w:kinsoku w:val="0"/>
              <w:overflowPunct w:val="0"/>
              <w:spacing w:before="49"/>
              <w:rPr>
                <w:rFonts w:cs="宋体"/>
                <w:color w:val="00B0F0"/>
                <w:spacing w:val="-11"/>
                <w:kern w:val="2"/>
                <w:sz w:val="21"/>
                <w:szCs w:val="21"/>
              </w:rPr>
            </w:pPr>
          </w:p>
        </w:tc>
      </w:tr>
    </w:tbl>
    <w:p w14:paraId="70D71B2E">
      <w:pPr>
        <w:rPr>
          <w:rFonts w:ascii="宋体" w:hAnsi="宋体"/>
          <w:sz w:val="18"/>
          <w:szCs w:val="18"/>
        </w:rPr>
      </w:pPr>
    </w:p>
    <w:sectPr>
      <w:footerReference r:id="rId3" w:type="default"/>
      <w:pgSz w:w="16838" w:h="11906" w:orient="landscape"/>
      <w:pgMar w:top="850" w:right="680" w:bottom="680" w:left="113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FF9FA">
    <w:pPr>
      <w:pStyle w:val="5"/>
      <w:jc w:val="center"/>
    </w:pPr>
    <w:r>
      <w:fldChar w:fldCharType="begin"/>
    </w:r>
    <w:r>
      <w:instrText xml:space="preserve">PAGE   \* MERGEFORMAT</w:instrText>
    </w:r>
    <w:r>
      <w:fldChar w:fldCharType="separate"/>
    </w:r>
    <w:r>
      <w:rPr>
        <w:lang w:val="zh-CN"/>
      </w:rPr>
      <w:t>6</w:t>
    </w:r>
    <w:r>
      <w:fldChar w:fldCharType="end"/>
    </w:r>
  </w:p>
  <w:p w14:paraId="4543550F">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yMzg0ZTRjZWExNzIyNWJlNjkzMjkzOWU0OTRiNDYifQ=="/>
  </w:docVars>
  <w:rsids>
    <w:rsidRoot w:val="006F415C"/>
    <w:rsid w:val="0000657E"/>
    <w:rsid w:val="000071AB"/>
    <w:rsid w:val="00010997"/>
    <w:rsid w:val="00042573"/>
    <w:rsid w:val="000D2719"/>
    <w:rsid w:val="000D7C18"/>
    <w:rsid w:val="000F4813"/>
    <w:rsid w:val="00111AC8"/>
    <w:rsid w:val="001168C8"/>
    <w:rsid w:val="001968BC"/>
    <w:rsid w:val="001B0309"/>
    <w:rsid w:val="001B727E"/>
    <w:rsid w:val="001C690C"/>
    <w:rsid w:val="001D3408"/>
    <w:rsid w:val="001F560E"/>
    <w:rsid w:val="00203A16"/>
    <w:rsid w:val="00220101"/>
    <w:rsid w:val="00251CC2"/>
    <w:rsid w:val="00261BA9"/>
    <w:rsid w:val="002F18BC"/>
    <w:rsid w:val="00303DE9"/>
    <w:rsid w:val="0033343E"/>
    <w:rsid w:val="003463C8"/>
    <w:rsid w:val="00355850"/>
    <w:rsid w:val="00393959"/>
    <w:rsid w:val="003C2021"/>
    <w:rsid w:val="003C24F2"/>
    <w:rsid w:val="003D7909"/>
    <w:rsid w:val="00451615"/>
    <w:rsid w:val="004522EA"/>
    <w:rsid w:val="00455AEF"/>
    <w:rsid w:val="00461108"/>
    <w:rsid w:val="00485C05"/>
    <w:rsid w:val="004C3426"/>
    <w:rsid w:val="004D28E9"/>
    <w:rsid w:val="004F27D6"/>
    <w:rsid w:val="004F5987"/>
    <w:rsid w:val="00584CB4"/>
    <w:rsid w:val="00586C1C"/>
    <w:rsid w:val="006200C1"/>
    <w:rsid w:val="00622441"/>
    <w:rsid w:val="00630573"/>
    <w:rsid w:val="0064758D"/>
    <w:rsid w:val="006518BD"/>
    <w:rsid w:val="006B1C3C"/>
    <w:rsid w:val="006B3EB3"/>
    <w:rsid w:val="006E3E8D"/>
    <w:rsid w:val="006F415C"/>
    <w:rsid w:val="00701105"/>
    <w:rsid w:val="00733ABB"/>
    <w:rsid w:val="007B6A44"/>
    <w:rsid w:val="007C3C95"/>
    <w:rsid w:val="007D7B5D"/>
    <w:rsid w:val="00830265"/>
    <w:rsid w:val="00863F45"/>
    <w:rsid w:val="008F0A7B"/>
    <w:rsid w:val="009471EA"/>
    <w:rsid w:val="00953C4F"/>
    <w:rsid w:val="009727AB"/>
    <w:rsid w:val="009B1B2A"/>
    <w:rsid w:val="009C348A"/>
    <w:rsid w:val="009C5965"/>
    <w:rsid w:val="009E6FAD"/>
    <w:rsid w:val="00A56305"/>
    <w:rsid w:val="00A60E4F"/>
    <w:rsid w:val="00A80D5C"/>
    <w:rsid w:val="00AA1028"/>
    <w:rsid w:val="00AE11DF"/>
    <w:rsid w:val="00AF0A40"/>
    <w:rsid w:val="00B66E4C"/>
    <w:rsid w:val="00B74CC8"/>
    <w:rsid w:val="00B80D9E"/>
    <w:rsid w:val="00BC2688"/>
    <w:rsid w:val="00C0724B"/>
    <w:rsid w:val="00C22C39"/>
    <w:rsid w:val="00C3499A"/>
    <w:rsid w:val="00C53B39"/>
    <w:rsid w:val="00C82F90"/>
    <w:rsid w:val="00C910D1"/>
    <w:rsid w:val="00CD0A50"/>
    <w:rsid w:val="00CD5AB3"/>
    <w:rsid w:val="00D1496C"/>
    <w:rsid w:val="00D43618"/>
    <w:rsid w:val="00D7371F"/>
    <w:rsid w:val="00D74B9A"/>
    <w:rsid w:val="00D937EB"/>
    <w:rsid w:val="00D95DE6"/>
    <w:rsid w:val="00DA039F"/>
    <w:rsid w:val="00DA2875"/>
    <w:rsid w:val="00DB7F80"/>
    <w:rsid w:val="00DC3147"/>
    <w:rsid w:val="00DD0C00"/>
    <w:rsid w:val="00DD7EB7"/>
    <w:rsid w:val="00DE4AFA"/>
    <w:rsid w:val="00E076F1"/>
    <w:rsid w:val="00E14384"/>
    <w:rsid w:val="00E87E91"/>
    <w:rsid w:val="00E9191C"/>
    <w:rsid w:val="00EA2F79"/>
    <w:rsid w:val="00EA556F"/>
    <w:rsid w:val="00EB217A"/>
    <w:rsid w:val="00F06B1E"/>
    <w:rsid w:val="00F40023"/>
    <w:rsid w:val="00FC6CF0"/>
    <w:rsid w:val="00FD37E1"/>
    <w:rsid w:val="00FD43C1"/>
    <w:rsid w:val="00FD77F3"/>
    <w:rsid w:val="016070DE"/>
    <w:rsid w:val="032077ED"/>
    <w:rsid w:val="046A5064"/>
    <w:rsid w:val="05687CD1"/>
    <w:rsid w:val="06471FDD"/>
    <w:rsid w:val="0649781E"/>
    <w:rsid w:val="08D061E1"/>
    <w:rsid w:val="0AC01862"/>
    <w:rsid w:val="0C037484"/>
    <w:rsid w:val="0C361799"/>
    <w:rsid w:val="0D437689"/>
    <w:rsid w:val="0F806D97"/>
    <w:rsid w:val="0F985657"/>
    <w:rsid w:val="0FCD09CD"/>
    <w:rsid w:val="16547688"/>
    <w:rsid w:val="1B693D15"/>
    <w:rsid w:val="1C781BF0"/>
    <w:rsid w:val="1F747457"/>
    <w:rsid w:val="221F3677"/>
    <w:rsid w:val="22851A6B"/>
    <w:rsid w:val="26077B0F"/>
    <w:rsid w:val="28D66F96"/>
    <w:rsid w:val="2A8A21AF"/>
    <w:rsid w:val="2CAE6886"/>
    <w:rsid w:val="2D945F79"/>
    <w:rsid w:val="3053211A"/>
    <w:rsid w:val="347831DE"/>
    <w:rsid w:val="350C7DCA"/>
    <w:rsid w:val="357C6C2C"/>
    <w:rsid w:val="35BF7D63"/>
    <w:rsid w:val="385827C4"/>
    <w:rsid w:val="3CE95E6B"/>
    <w:rsid w:val="3EB4618B"/>
    <w:rsid w:val="3FFA3DA2"/>
    <w:rsid w:val="4048006E"/>
    <w:rsid w:val="41B3295A"/>
    <w:rsid w:val="41C9151C"/>
    <w:rsid w:val="45F21B5E"/>
    <w:rsid w:val="471F5078"/>
    <w:rsid w:val="47E60EC0"/>
    <w:rsid w:val="49093E15"/>
    <w:rsid w:val="4B51066F"/>
    <w:rsid w:val="4BEB2D42"/>
    <w:rsid w:val="4C2A663C"/>
    <w:rsid w:val="4C370AC4"/>
    <w:rsid w:val="4F3A40CE"/>
    <w:rsid w:val="52E734FB"/>
    <w:rsid w:val="53FC752F"/>
    <w:rsid w:val="58E61264"/>
    <w:rsid w:val="5B9531D8"/>
    <w:rsid w:val="5C7B276E"/>
    <w:rsid w:val="5FCF5AF8"/>
    <w:rsid w:val="5FF05A6E"/>
    <w:rsid w:val="61843A34"/>
    <w:rsid w:val="629464CE"/>
    <w:rsid w:val="637F4A62"/>
    <w:rsid w:val="67FE6CDF"/>
    <w:rsid w:val="6C185A0B"/>
    <w:rsid w:val="6C7D1B5B"/>
    <w:rsid w:val="6F1A1697"/>
    <w:rsid w:val="717074B8"/>
    <w:rsid w:val="72132DB8"/>
    <w:rsid w:val="730F3BC4"/>
    <w:rsid w:val="755C2BC7"/>
    <w:rsid w:val="759233F8"/>
    <w:rsid w:val="76CF2B2C"/>
    <w:rsid w:val="7C0C40B8"/>
    <w:rsid w:val="7D080444"/>
    <w:rsid w:val="7D6719C9"/>
    <w:rsid w:val="7D7545DE"/>
    <w:rsid w:val="7DE71E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99"/>
    <w:pPr>
      <w:jc w:val="left"/>
    </w:pPr>
  </w:style>
  <w:style w:type="paragraph" w:styleId="3">
    <w:name w:val="Body Text"/>
    <w:basedOn w:val="1"/>
    <w:link w:val="19"/>
    <w:qFormat/>
    <w:uiPriority w:val="1"/>
    <w:pPr>
      <w:autoSpaceDE w:val="0"/>
      <w:autoSpaceDN w:val="0"/>
      <w:adjustRightInd w:val="0"/>
      <w:jc w:val="left"/>
    </w:pPr>
    <w:rPr>
      <w:rFonts w:ascii="宋体" w:hAnsi="宋体" w:cs="Times New Roman"/>
      <w:kern w:val="0"/>
      <w:sz w:val="20"/>
      <w:szCs w:val="24"/>
    </w:rPr>
  </w:style>
  <w:style w:type="paragraph" w:styleId="4">
    <w:name w:val="Balloon Text"/>
    <w:basedOn w:val="1"/>
    <w:link w:val="16"/>
    <w:qFormat/>
    <w:uiPriority w:val="99"/>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8"/>
    <w:qFormat/>
    <w:uiPriority w:val="99"/>
    <w:rPr>
      <w:b/>
      <w:bCs/>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qFormat/>
    <w:uiPriority w:val="99"/>
    <w:rPr>
      <w:sz w:val="21"/>
      <w:szCs w:val="21"/>
    </w:rPr>
  </w:style>
  <w:style w:type="paragraph" w:customStyle="1" w:styleId="12">
    <w:name w:val="List Paragraph"/>
    <w:basedOn w:val="1"/>
    <w:qFormat/>
    <w:uiPriority w:val="34"/>
    <w:pPr>
      <w:ind w:firstLine="420" w:firstLineChars="200"/>
    </w:pPr>
    <w:rPr>
      <w:rFonts w:ascii="Times New Roman" w:hAnsi="Times New Roman" w:cs="Times New Roman"/>
      <w:szCs w:val="24"/>
    </w:rPr>
  </w:style>
  <w:style w:type="character" w:customStyle="1" w:styleId="13">
    <w:name w:val="页眉 Char"/>
    <w:basedOn w:val="10"/>
    <w:link w:val="6"/>
    <w:qFormat/>
    <w:uiPriority w:val="99"/>
    <w:rPr>
      <w:sz w:val="18"/>
      <w:szCs w:val="18"/>
    </w:rPr>
  </w:style>
  <w:style w:type="character" w:customStyle="1" w:styleId="14">
    <w:name w:val="页脚 Char"/>
    <w:basedOn w:val="10"/>
    <w:link w:val="5"/>
    <w:qFormat/>
    <w:uiPriority w:val="99"/>
    <w:rPr>
      <w:sz w:val="18"/>
      <w:szCs w:val="18"/>
    </w:rPr>
  </w:style>
  <w:style w:type="character" w:customStyle="1" w:styleId="15">
    <w:name w:val="font21"/>
    <w:qFormat/>
    <w:uiPriority w:val="0"/>
    <w:rPr>
      <w:rFonts w:hint="eastAsia" w:ascii="宋体" w:hAnsi="宋体" w:eastAsia="宋体" w:cs="宋体"/>
      <w:color w:val="FF0000"/>
      <w:sz w:val="22"/>
      <w:szCs w:val="22"/>
      <w:u w:val="none"/>
    </w:rPr>
  </w:style>
  <w:style w:type="character" w:customStyle="1" w:styleId="16">
    <w:name w:val="批注框文本 Char"/>
    <w:basedOn w:val="10"/>
    <w:link w:val="4"/>
    <w:qFormat/>
    <w:uiPriority w:val="99"/>
    <w:rPr>
      <w:sz w:val="18"/>
      <w:szCs w:val="18"/>
    </w:rPr>
  </w:style>
  <w:style w:type="character" w:customStyle="1" w:styleId="17">
    <w:name w:val="批注文字 Char"/>
    <w:basedOn w:val="10"/>
    <w:link w:val="2"/>
    <w:qFormat/>
    <w:uiPriority w:val="99"/>
  </w:style>
  <w:style w:type="character" w:customStyle="1" w:styleId="18">
    <w:name w:val="批注主题 Char"/>
    <w:basedOn w:val="17"/>
    <w:link w:val="7"/>
    <w:qFormat/>
    <w:uiPriority w:val="99"/>
    <w:rPr>
      <w:b/>
      <w:bCs/>
    </w:rPr>
  </w:style>
  <w:style w:type="character" w:customStyle="1" w:styleId="19">
    <w:name w:val="正文文本 Char"/>
    <w:basedOn w:val="10"/>
    <w:link w:val="3"/>
    <w:qFormat/>
    <w:uiPriority w:val="99"/>
    <w:rPr>
      <w:rFonts w:ascii="宋体" w:hAnsi="宋体" w:eastAsia="宋体" w:cs="Times New Roman"/>
      <w:kern w:val="0"/>
      <w:sz w:val="2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6BF2EA49-9014-4A8E-8D74-1E2380002A44}">
  <ds:schemaRefs/>
</ds:datastoreItem>
</file>

<file path=customXml/itemProps2.xml><?xml version="1.0" encoding="utf-8"?>
<ds:datastoreItem xmlns:ds="http://schemas.openxmlformats.org/officeDocument/2006/customXml" ds:itemID="{064BEDBF-E672-4B24-881B-37207CAAF0E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4264</Words>
  <Characters>4605</Characters>
  <Lines>33</Lines>
  <Paragraphs>9</Paragraphs>
  <TotalTime>1</TotalTime>
  <ScaleCrop>false</ScaleCrop>
  <LinksUpToDate>false</LinksUpToDate>
  <CharactersWithSpaces>5213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2024-06-14T01:10:00Z</dcterms:created>
  <dc:creator>微软用户</dc:creator>
  <cp:lastModifiedBy>。Chang</cp:lastModifiedBy>
  <cp:lastPrinted>2025-11-03T07:56:00Z</cp:lastPrinted>
  <dcterms:modified xsi:type="dcterms:W3CDTF">2026-10-20T02:59:30Z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25352FF8BE284E6FBCC19B7667AB8FF6_13</vt:lpwstr>
  </property>
  <property fmtid="{D5CDD505-2E9C-101B-9397-08002B2CF9AE}" pid="4" name="KSOTemplateDocerSaveRecord">
    <vt:lpwstr>eyJoZGlkIjoiZjU2YTAyY2IzYjI5MzA3Yjg0NTgxZTQ2ZTIwMDAxMmYiLCJ1c2VySWQiOiIyOTIwMjE2MDIifQ==</vt:lpwstr>
  </property>
</Properties>
</file>