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15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
        <w:gridCol w:w="258"/>
        <w:gridCol w:w="1157"/>
        <w:gridCol w:w="432"/>
        <w:gridCol w:w="6412"/>
        <w:gridCol w:w="540"/>
        <w:gridCol w:w="838"/>
        <w:gridCol w:w="1134"/>
        <w:gridCol w:w="1134"/>
        <w:gridCol w:w="992"/>
        <w:gridCol w:w="992"/>
        <w:gridCol w:w="993"/>
      </w:tblGrid>
      <w:tr w14:paraId="4A02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gridSpan w:val="2"/>
            <w:tcBorders>
              <w:top w:val="nil"/>
              <w:left w:val="nil"/>
              <w:bottom w:val="single" w:color="auto" w:sz="4" w:space="0"/>
              <w:right w:val="nil"/>
            </w:tcBorders>
          </w:tcPr>
          <w:p w14:paraId="543006A9">
            <w:pPr>
              <w:widowControl/>
              <w:spacing w:line="276" w:lineRule="auto"/>
              <w:jc w:val="left"/>
              <w:rPr>
                <w:rFonts w:ascii="宋体" w:hAnsi="宋体"/>
                <w:color w:val="auto"/>
                <w:sz w:val="18"/>
                <w:szCs w:val="18"/>
                <w:highlight w:val="none"/>
                <w:u w:val="none"/>
              </w:rPr>
            </w:pPr>
          </w:p>
        </w:tc>
        <w:tc>
          <w:tcPr>
            <w:tcW w:w="14624" w:type="dxa"/>
            <w:gridSpan w:val="10"/>
            <w:tcBorders>
              <w:top w:val="nil"/>
              <w:left w:val="nil"/>
              <w:bottom w:val="single" w:color="auto" w:sz="4" w:space="0"/>
              <w:right w:val="nil"/>
            </w:tcBorders>
            <w:noWrap/>
          </w:tcPr>
          <w:p w14:paraId="517C70D0">
            <w:pPr>
              <w:widowControl/>
              <w:tabs>
                <w:tab w:val="left" w:pos="13323"/>
              </w:tabs>
              <w:spacing w:line="276" w:lineRule="auto"/>
              <w:jc w:val="left"/>
              <w:rPr>
                <w:rFonts w:ascii="宋体" w:hAnsi="宋体"/>
                <w:b/>
                <w:color w:val="auto"/>
                <w:sz w:val="28"/>
                <w:szCs w:val="28"/>
                <w:highlight w:val="none"/>
                <w:u w:val="none"/>
              </w:rPr>
            </w:pPr>
            <w:r>
              <w:rPr>
                <w:rFonts w:hint="eastAsia" w:ascii="宋体" w:hAnsi="宋体"/>
                <w:b/>
                <w:color w:val="auto"/>
                <w:sz w:val="28"/>
                <w:szCs w:val="28"/>
                <w:highlight w:val="none"/>
                <w:u w:val="none"/>
              </w:rPr>
              <w:t xml:space="preserve">   广西中医药大学教务处202</w:t>
            </w:r>
            <w:r>
              <w:rPr>
                <w:rFonts w:hint="eastAsia" w:ascii="宋体" w:hAnsi="宋体"/>
                <w:b/>
                <w:color w:val="auto"/>
                <w:sz w:val="28"/>
                <w:szCs w:val="28"/>
                <w:highlight w:val="none"/>
                <w:u w:val="none"/>
                <w:lang w:val="en-US" w:eastAsia="zh-CN"/>
              </w:rPr>
              <w:t>6</w:t>
            </w:r>
            <w:r>
              <w:rPr>
                <w:rFonts w:hint="eastAsia" w:ascii="宋体" w:hAnsi="宋体"/>
                <w:b/>
                <w:color w:val="auto"/>
                <w:sz w:val="28"/>
                <w:szCs w:val="28"/>
                <w:highlight w:val="none"/>
                <w:u w:val="none"/>
              </w:rPr>
              <w:t>届毕业、学位证和学位证明书的封皮及内芯采购项目在线询价采购文件</w:t>
            </w:r>
          </w:p>
          <w:p w14:paraId="2E00B939">
            <w:pPr>
              <w:widowControl/>
              <w:spacing w:line="276" w:lineRule="auto"/>
              <w:jc w:val="left"/>
              <w:rPr>
                <w:rFonts w:ascii="宋体" w:hAnsi="宋体"/>
                <w:color w:val="auto"/>
                <w:szCs w:val="21"/>
                <w:highlight w:val="none"/>
                <w:u w:val="none"/>
              </w:rPr>
            </w:pPr>
            <w:r>
              <w:rPr>
                <w:rFonts w:hint="eastAsia" w:ascii="宋体" w:hAnsi="宋体"/>
                <w:color w:val="auto"/>
                <w:szCs w:val="21"/>
                <w:highlight w:val="none"/>
                <w:u w:val="none"/>
              </w:rPr>
              <w:t>说明：</w:t>
            </w:r>
          </w:p>
          <w:p w14:paraId="6CCE9B7E">
            <w:pPr>
              <w:widowControl/>
              <w:spacing w:line="276" w:lineRule="auto"/>
              <w:jc w:val="left"/>
              <w:rPr>
                <w:rFonts w:ascii="宋体" w:hAnsi="宋体"/>
                <w:color w:val="auto"/>
                <w:szCs w:val="21"/>
                <w:highlight w:val="none"/>
                <w:u w:val="none"/>
              </w:rPr>
            </w:pPr>
            <w:r>
              <w:rPr>
                <w:rFonts w:hint="eastAsia" w:ascii="宋体" w:hAnsi="宋体"/>
                <w:color w:val="auto"/>
                <w:szCs w:val="21"/>
                <w:highlight w:val="none"/>
                <w:u w:val="none"/>
              </w:rPr>
              <w:t>1.投标人须根据技术参数及性能配置要求提供一一对应的技术响应偏离表。</w:t>
            </w:r>
          </w:p>
          <w:p w14:paraId="4D301E2B">
            <w:pPr>
              <w:widowControl/>
              <w:spacing w:line="276" w:lineRule="auto"/>
              <w:jc w:val="left"/>
              <w:rPr>
                <w:rFonts w:ascii="宋体" w:hAnsi="宋体"/>
                <w:color w:val="auto"/>
                <w:sz w:val="18"/>
                <w:szCs w:val="18"/>
                <w:highlight w:val="none"/>
                <w:u w:val="none"/>
              </w:rPr>
            </w:pPr>
            <w:r>
              <w:rPr>
                <w:rFonts w:hint="eastAsia" w:ascii="宋体" w:hAnsi="宋体"/>
                <w:color w:val="auto"/>
                <w:szCs w:val="21"/>
                <w:highlight w:val="none"/>
                <w:u w:val="none"/>
              </w:rPr>
              <w:t>2.本章中带★号条款为实质性内容要求，投标时必须全部满足。</w:t>
            </w:r>
          </w:p>
        </w:tc>
      </w:tr>
      <w:tr w14:paraId="385D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4" w:type="dxa"/>
            <w:tcBorders>
              <w:top w:val="single" w:color="auto" w:sz="4" w:space="0"/>
            </w:tcBorders>
            <w:vAlign w:val="center"/>
          </w:tcPr>
          <w:p w14:paraId="524FC09B">
            <w:pPr>
              <w:jc w:val="center"/>
              <w:rPr>
                <w:rFonts w:ascii="宋体" w:hAnsi="宋体"/>
                <w:color w:val="auto"/>
                <w:sz w:val="18"/>
                <w:szCs w:val="18"/>
                <w:highlight w:val="none"/>
                <w:u w:val="none"/>
              </w:rPr>
            </w:pPr>
            <w:r>
              <w:rPr>
                <w:rFonts w:hint="eastAsia" w:ascii="宋体" w:hAnsi="宋体"/>
                <w:color w:val="auto"/>
                <w:sz w:val="18"/>
                <w:szCs w:val="18"/>
                <w:highlight w:val="none"/>
                <w:u w:val="none"/>
              </w:rPr>
              <w:t>序号</w:t>
            </w:r>
          </w:p>
        </w:tc>
        <w:tc>
          <w:tcPr>
            <w:tcW w:w="1415" w:type="dxa"/>
            <w:gridSpan w:val="2"/>
            <w:tcBorders>
              <w:top w:val="single" w:color="auto" w:sz="4" w:space="0"/>
            </w:tcBorders>
            <w:vAlign w:val="center"/>
          </w:tcPr>
          <w:p w14:paraId="589CDD96">
            <w:pPr>
              <w:jc w:val="center"/>
              <w:rPr>
                <w:rFonts w:ascii="宋体" w:hAnsi="宋体"/>
                <w:color w:val="auto"/>
                <w:sz w:val="18"/>
                <w:szCs w:val="18"/>
                <w:highlight w:val="none"/>
                <w:u w:val="none"/>
              </w:rPr>
            </w:pPr>
            <w:r>
              <w:rPr>
                <w:rFonts w:hint="eastAsia" w:ascii="宋体" w:hAnsi="宋体"/>
                <w:color w:val="auto"/>
                <w:sz w:val="18"/>
                <w:szCs w:val="18"/>
                <w:highlight w:val="none"/>
                <w:u w:val="none"/>
              </w:rPr>
              <w:t>采购品目</w:t>
            </w:r>
          </w:p>
        </w:tc>
        <w:tc>
          <w:tcPr>
            <w:tcW w:w="432" w:type="dxa"/>
            <w:tcBorders>
              <w:top w:val="single" w:color="auto" w:sz="4" w:space="0"/>
            </w:tcBorders>
            <w:vAlign w:val="center"/>
          </w:tcPr>
          <w:p w14:paraId="14EDB72F">
            <w:pPr>
              <w:jc w:val="center"/>
              <w:rPr>
                <w:rFonts w:ascii="宋体" w:hAnsi="宋体"/>
                <w:color w:val="auto"/>
                <w:sz w:val="18"/>
                <w:szCs w:val="18"/>
                <w:highlight w:val="none"/>
                <w:u w:val="none"/>
              </w:rPr>
            </w:pPr>
            <w:r>
              <w:rPr>
                <w:rFonts w:hint="eastAsia" w:ascii="宋体" w:hAnsi="宋体"/>
                <w:color w:val="auto"/>
                <w:sz w:val="18"/>
                <w:szCs w:val="18"/>
                <w:highlight w:val="none"/>
                <w:u w:val="none"/>
              </w:rPr>
              <w:t>品牌</w:t>
            </w:r>
          </w:p>
        </w:tc>
        <w:tc>
          <w:tcPr>
            <w:tcW w:w="6412" w:type="dxa"/>
            <w:tcBorders>
              <w:top w:val="single" w:color="auto" w:sz="4" w:space="0"/>
            </w:tcBorders>
            <w:vAlign w:val="center"/>
          </w:tcPr>
          <w:p w14:paraId="7E994AEE">
            <w:pPr>
              <w:jc w:val="left"/>
              <w:rPr>
                <w:rFonts w:ascii="宋体" w:hAnsi="宋体"/>
                <w:color w:val="auto"/>
                <w:sz w:val="18"/>
                <w:szCs w:val="18"/>
                <w:highlight w:val="none"/>
                <w:u w:val="none"/>
              </w:rPr>
            </w:pPr>
            <w:r>
              <w:rPr>
                <w:rFonts w:hint="eastAsia" w:ascii="宋体" w:hAnsi="宋体"/>
                <w:color w:val="auto"/>
                <w:szCs w:val="21"/>
                <w:highlight w:val="none"/>
                <w:u w:val="none"/>
              </w:rPr>
              <w:t>★</w:t>
            </w:r>
            <w:r>
              <w:rPr>
                <w:rFonts w:hint="eastAsia" w:ascii="宋体" w:hAnsi="宋体"/>
                <w:color w:val="auto"/>
                <w:sz w:val="18"/>
                <w:szCs w:val="18"/>
                <w:highlight w:val="none"/>
                <w:u w:val="none"/>
              </w:rPr>
              <w:t>参数配置</w:t>
            </w:r>
          </w:p>
        </w:tc>
        <w:tc>
          <w:tcPr>
            <w:tcW w:w="540" w:type="dxa"/>
            <w:tcBorders>
              <w:top w:val="single" w:color="auto" w:sz="4" w:space="0"/>
            </w:tcBorders>
            <w:vAlign w:val="center"/>
          </w:tcPr>
          <w:p w14:paraId="59DC89E4">
            <w:pPr>
              <w:jc w:val="center"/>
              <w:rPr>
                <w:rFonts w:ascii="宋体" w:hAnsi="宋体"/>
                <w:color w:val="auto"/>
                <w:sz w:val="18"/>
                <w:szCs w:val="18"/>
                <w:highlight w:val="none"/>
                <w:u w:val="none"/>
              </w:rPr>
            </w:pPr>
            <w:r>
              <w:rPr>
                <w:rFonts w:hint="eastAsia" w:ascii="宋体" w:hAnsi="宋体"/>
                <w:color w:val="auto"/>
                <w:sz w:val="18"/>
                <w:szCs w:val="18"/>
                <w:highlight w:val="none"/>
                <w:u w:val="none"/>
              </w:rPr>
              <w:t>单位</w:t>
            </w:r>
          </w:p>
        </w:tc>
        <w:tc>
          <w:tcPr>
            <w:tcW w:w="838" w:type="dxa"/>
            <w:tcBorders>
              <w:top w:val="single" w:color="auto" w:sz="4" w:space="0"/>
            </w:tcBorders>
            <w:vAlign w:val="center"/>
          </w:tcPr>
          <w:p w14:paraId="7CA2CC36">
            <w:pPr>
              <w:jc w:val="center"/>
              <w:rPr>
                <w:rFonts w:ascii="宋体" w:hAnsi="宋体"/>
                <w:color w:val="auto"/>
                <w:sz w:val="18"/>
                <w:szCs w:val="18"/>
                <w:highlight w:val="none"/>
                <w:u w:val="none"/>
              </w:rPr>
            </w:pPr>
            <w:r>
              <w:rPr>
                <w:rFonts w:hint="eastAsia" w:ascii="宋体" w:hAnsi="宋体"/>
                <w:color w:val="auto"/>
                <w:sz w:val="18"/>
                <w:szCs w:val="18"/>
                <w:highlight w:val="none"/>
                <w:u w:val="none"/>
              </w:rPr>
              <w:t>数量</w:t>
            </w:r>
          </w:p>
        </w:tc>
        <w:tc>
          <w:tcPr>
            <w:tcW w:w="1134" w:type="dxa"/>
            <w:tcBorders>
              <w:top w:val="single" w:color="auto" w:sz="4" w:space="0"/>
            </w:tcBorders>
            <w:vAlign w:val="center"/>
          </w:tcPr>
          <w:p w14:paraId="0C813266">
            <w:pPr>
              <w:jc w:val="center"/>
              <w:rPr>
                <w:rFonts w:ascii="宋体" w:hAnsi="宋体"/>
                <w:color w:val="auto"/>
                <w:sz w:val="18"/>
                <w:szCs w:val="18"/>
                <w:highlight w:val="none"/>
                <w:u w:val="none"/>
              </w:rPr>
            </w:pPr>
            <w:r>
              <w:rPr>
                <w:rFonts w:hint="eastAsia" w:ascii="宋体" w:hAnsi="宋体"/>
                <w:color w:val="auto"/>
                <w:sz w:val="18"/>
                <w:szCs w:val="18"/>
                <w:highlight w:val="none"/>
                <w:u w:val="none"/>
              </w:rPr>
              <w:t>参考单价</w:t>
            </w:r>
          </w:p>
          <w:p w14:paraId="5377336B">
            <w:pPr>
              <w:jc w:val="center"/>
              <w:rPr>
                <w:rFonts w:ascii="宋体" w:hAnsi="宋体"/>
                <w:color w:val="auto"/>
                <w:sz w:val="18"/>
                <w:szCs w:val="18"/>
                <w:highlight w:val="none"/>
                <w:u w:val="none"/>
              </w:rPr>
            </w:pPr>
            <w:r>
              <w:rPr>
                <w:rFonts w:hint="eastAsia" w:ascii="宋体" w:hAnsi="宋体"/>
                <w:color w:val="auto"/>
                <w:sz w:val="18"/>
                <w:szCs w:val="18"/>
                <w:highlight w:val="none"/>
                <w:u w:val="none"/>
              </w:rPr>
              <w:t>（元）</w:t>
            </w:r>
          </w:p>
        </w:tc>
        <w:tc>
          <w:tcPr>
            <w:tcW w:w="1134" w:type="dxa"/>
            <w:tcBorders>
              <w:top w:val="single" w:color="auto" w:sz="4" w:space="0"/>
            </w:tcBorders>
            <w:vAlign w:val="center"/>
          </w:tcPr>
          <w:p w14:paraId="1EFC6AD6">
            <w:pPr>
              <w:jc w:val="center"/>
              <w:rPr>
                <w:rFonts w:ascii="宋体" w:hAnsi="宋体"/>
                <w:color w:val="auto"/>
                <w:sz w:val="18"/>
                <w:szCs w:val="18"/>
                <w:highlight w:val="none"/>
                <w:u w:val="none"/>
              </w:rPr>
            </w:pPr>
            <w:r>
              <w:rPr>
                <w:rFonts w:hint="eastAsia" w:ascii="宋体" w:hAnsi="宋体"/>
                <w:color w:val="auto"/>
                <w:sz w:val="18"/>
                <w:szCs w:val="18"/>
                <w:highlight w:val="none"/>
                <w:u w:val="none"/>
              </w:rPr>
              <w:t>合计金额</w:t>
            </w:r>
          </w:p>
          <w:p w14:paraId="549B5AD9">
            <w:pPr>
              <w:jc w:val="center"/>
              <w:rPr>
                <w:rFonts w:ascii="宋体" w:hAnsi="宋体"/>
                <w:color w:val="auto"/>
                <w:sz w:val="18"/>
                <w:szCs w:val="18"/>
                <w:highlight w:val="none"/>
                <w:u w:val="none"/>
              </w:rPr>
            </w:pPr>
            <w:r>
              <w:rPr>
                <w:rFonts w:hint="eastAsia" w:ascii="宋体" w:hAnsi="宋体"/>
                <w:color w:val="auto"/>
                <w:sz w:val="18"/>
                <w:szCs w:val="18"/>
                <w:highlight w:val="none"/>
                <w:u w:val="none"/>
              </w:rPr>
              <w:t>（元）</w:t>
            </w:r>
          </w:p>
        </w:tc>
        <w:tc>
          <w:tcPr>
            <w:tcW w:w="992" w:type="dxa"/>
            <w:tcBorders>
              <w:top w:val="single" w:color="auto" w:sz="4" w:space="0"/>
            </w:tcBorders>
            <w:vAlign w:val="center"/>
          </w:tcPr>
          <w:p w14:paraId="66F91F21">
            <w:pPr>
              <w:jc w:val="center"/>
              <w:rPr>
                <w:rFonts w:ascii="宋体" w:hAnsi="宋体"/>
                <w:color w:val="auto"/>
                <w:sz w:val="18"/>
                <w:szCs w:val="18"/>
                <w:highlight w:val="none"/>
                <w:u w:val="none"/>
              </w:rPr>
            </w:pPr>
            <w:r>
              <w:rPr>
                <w:rFonts w:hint="eastAsia" w:ascii="宋体" w:hAnsi="宋体"/>
                <w:color w:val="auto"/>
                <w:sz w:val="18"/>
                <w:szCs w:val="18"/>
                <w:highlight w:val="none"/>
                <w:u w:val="none"/>
              </w:rPr>
              <w:t>是否进口产品</w:t>
            </w:r>
          </w:p>
        </w:tc>
        <w:tc>
          <w:tcPr>
            <w:tcW w:w="992" w:type="dxa"/>
            <w:tcBorders>
              <w:top w:val="single" w:color="auto" w:sz="4" w:space="0"/>
            </w:tcBorders>
            <w:vAlign w:val="center"/>
          </w:tcPr>
          <w:p w14:paraId="7E2C2F31">
            <w:pPr>
              <w:jc w:val="center"/>
              <w:rPr>
                <w:rFonts w:ascii="宋体" w:hAnsi="宋体"/>
                <w:color w:val="auto"/>
                <w:sz w:val="18"/>
                <w:szCs w:val="18"/>
                <w:highlight w:val="none"/>
                <w:u w:val="none"/>
              </w:rPr>
            </w:pPr>
            <w:r>
              <w:rPr>
                <w:rFonts w:hint="eastAsia" w:ascii="宋体" w:hAnsi="宋体"/>
                <w:color w:val="auto"/>
                <w:sz w:val="18"/>
                <w:szCs w:val="18"/>
                <w:highlight w:val="none"/>
                <w:u w:val="none"/>
              </w:rPr>
              <w:t>参考图片</w:t>
            </w:r>
          </w:p>
        </w:tc>
        <w:tc>
          <w:tcPr>
            <w:tcW w:w="993" w:type="dxa"/>
            <w:tcBorders>
              <w:top w:val="single" w:color="auto" w:sz="4" w:space="0"/>
            </w:tcBorders>
            <w:vAlign w:val="center"/>
          </w:tcPr>
          <w:p w14:paraId="001B74D3">
            <w:pPr>
              <w:jc w:val="center"/>
              <w:rPr>
                <w:rFonts w:ascii="宋体" w:hAnsi="宋体"/>
                <w:color w:val="auto"/>
                <w:sz w:val="18"/>
                <w:szCs w:val="18"/>
                <w:highlight w:val="none"/>
                <w:u w:val="none"/>
              </w:rPr>
            </w:pPr>
            <w:r>
              <w:rPr>
                <w:rFonts w:hint="eastAsia" w:ascii="宋体" w:hAnsi="宋体"/>
                <w:color w:val="auto"/>
                <w:sz w:val="18"/>
                <w:szCs w:val="18"/>
                <w:highlight w:val="none"/>
                <w:u w:val="none"/>
              </w:rPr>
              <w:t>备注</w:t>
            </w:r>
          </w:p>
        </w:tc>
      </w:tr>
      <w:tr w14:paraId="348E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8" w:hRule="atLeast"/>
        </w:trPr>
        <w:tc>
          <w:tcPr>
            <w:tcW w:w="394" w:type="dxa"/>
            <w:tcBorders>
              <w:top w:val="single" w:color="auto" w:sz="4" w:space="0"/>
            </w:tcBorders>
            <w:vAlign w:val="center"/>
          </w:tcPr>
          <w:p w14:paraId="72227D56">
            <w:pPr>
              <w:jc w:val="center"/>
              <w:rPr>
                <w:rFonts w:ascii="宋体" w:hAnsi="宋体"/>
                <w:color w:val="auto"/>
                <w:sz w:val="18"/>
                <w:szCs w:val="18"/>
                <w:highlight w:val="none"/>
                <w:u w:val="none"/>
              </w:rPr>
            </w:pPr>
            <w:r>
              <w:rPr>
                <w:rFonts w:hint="eastAsia" w:ascii="宋体" w:hAnsi="宋体"/>
                <w:color w:val="auto"/>
                <w:sz w:val="18"/>
                <w:szCs w:val="18"/>
                <w:highlight w:val="none"/>
                <w:u w:val="none"/>
              </w:rPr>
              <w:t>1</w:t>
            </w:r>
          </w:p>
        </w:tc>
        <w:tc>
          <w:tcPr>
            <w:tcW w:w="1415" w:type="dxa"/>
            <w:gridSpan w:val="2"/>
            <w:tcBorders>
              <w:top w:val="single" w:color="auto" w:sz="4" w:space="0"/>
            </w:tcBorders>
            <w:vAlign w:val="center"/>
          </w:tcPr>
          <w:p w14:paraId="302F3392">
            <w:pPr>
              <w:jc w:val="center"/>
              <w:rPr>
                <w:rFonts w:ascii="仿宋" w:hAnsi="仿宋" w:eastAsia="仿宋" w:cs="仿宋"/>
                <w:color w:val="auto"/>
                <w:sz w:val="18"/>
                <w:szCs w:val="18"/>
                <w:highlight w:val="none"/>
                <w:u w:val="none"/>
              </w:rPr>
            </w:pPr>
            <w:r>
              <w:rPr>
                <w:rFonts w:hint="eastAsia" w:ascii="仿宋" w:hAnsi="仿宋" w:eastAsia="仿宋" w:cs="仿宋"/>
                <w:color w:val="auto"/>
                <w:sz w:val="24"/>
                <w:highlight w:val="none"/>
                <w:u w:val="none"/>
              </w:rPr>
              <w:t>毕业证封面(双合一)</w:t>
            </w:r>
          </w:p>
        </w:tc>
        <w:tc>
          <w:tcPr>
            <w:tcW w:w="432" w:type="dxa"/>
            <w:tcBorders>
              <w:top w:val="single" w:color="auto" w:sz="4" w:space="0"/>
            </w:tcBorders>
            <w:vAlign w:val="center"/>
          </w:tcPr>
          <w:p w14:paraId="1DDA2E19">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4F8D4C21">
            <w:pPr>
              <w:jc w:val="left"/>
              <w:rPr>
                <w:rStyle w:val="24"/>
                <w:rFonts w:hint="default" w:ascii="仿宋" w:hAnsi="仿宋" w:eastAsia="仿宋" w:cs="仿宋"/>
                <w:color w:val="auto"/>
                <w:sz w:val="24"/>
                <w:szCs w:val="24"/>
                <w:highlight w:val="none"/>
                <w:u w:val="none"/>
                <w:lang w:bidi="ar"/>
              </w:rPr>
            </w:pPr>
            <w:r>
              <w:rPr>
                <w:rStyle w:val="24"/>
                <w:rFonts w:hint="default" w:ascii="仿宋" w:hAnsi="仿宋" w:eastAsia="仿宋" w:cs="仿宋"/>
                <w:color w:val="auto"/>
                <w:sz w:val="24"/>
                <w:szCs w:val="24"/>
                <w:highlight w:val="none"/>
                <w:u w:val="none"/>
                <w:lang w:bidi="ar"/>
              </w:rPr>
              <w:t>1.规格：306*450mm。</w:t>
            </w:r>
          </w:p>
          <w:p w14:paraId="7AAE5E89">
            <w:pPr>
              <w:jc w:val="left"/>
              <w:rPr>
                <w:rStyle w:val="24"/>
                <w:rFonts w:hint="default" w:ascii="仿宋" w:hAnsi="仿宋" w:eastAsia="仿宋" w:cs="仿宋"/>
                <w:color w:val="auto"/>
                <w:sz w:val="24"/>
                <w:szCs w:val="24"/>
                <w:highlight w:val="none"/>
                <w:u w:val="none"/>
                <w:lang w:bidi="ar"/>
              </w:rPr>
            </w:pPr>
            <w:r>
              <w:rPr>
                <w:rStyle w:val="24"/>
                <w:rFonts w:hint="default" w:ascii="仿宋" w:hAnsi="仿宋" w:eastAsia="仿宋" w:cs="仿宋"/>
                <w:color w:val="auto"/>
                <w:sz w:val="24"/>
                <w:szCs w:val="24"/>
                <w:highlight w:val="none"/>
                <w:u w:val="none"/>
                <w:lang w:bidi="ar"/>
              </w:rPr>
              <w:t>2.封面采用</w:t>
            </w:r>
            <w:r>
              <w:rPr>
                <w:rStyle w:val="24"/>
                <w:rFonts w:hint="eastAsia" w:ascii="仿宋" w:hAnsi="仿宋" w:eastAsia="仿宋" w:cs="仿宋"/>
                <w:color w:val="auto"/>
                <w:sz w:val="24"/>
                <w:szCs w:val="24"/>
                <w:highlight w:val="none"/>
                <w:u w:val="none"/>
                <w:lang w:val="en-US" w:eastAsia="zh-CN" w:bidi="ar"/>
              </w:rPr>
              <w:t>蓝</w:t>
            </w:r>
            <w:r>
              <w:rPr>
                <w:rStyle w:val="24"/>
                <w:rFonts w:ascii="仿宋" w:hAnsi="仿宋" w:eastAsia="仿宋" w:cs="仿宋"/>
                <w:color w:val="auto"/>
                <w:sz w:val="24"/>
                <w:szCs w:val="24"/>
                <w:highlight w:val="none"/>
                <w:u w:val="none"/>
                <w:lang w:bidi="ar"/>
              </w:rPr>
              <w:t>色装帧材料</w:t>
            </w:r>
            <w:r>
              <w:rPr>
                <w:rStyle w:val="24"/>
                <w:rFonts w:hint="default" w:ascii="仿宋" w:hAnsi="仿宋" w:eastAsia="仿宋" w:cs="仿宋"/>
                <w:color w:val="auto"/>
                <w:sz w:val="24"/>
                <w:szCs w:val="24"/>
                <w:highlight w:val="none"/>
                <w:u w:val="none"/>
                <w:lang w:bidi="ar"/>
              </w:rPr>
              <w:t>，有极好的耐撕扯性，有内在强度和外在柔软的观感和手感；</w:t>
            </w:r>
          </w:p>
          <w:p w14:paraId="0E6DA8BB">
            <w:pPr>
              <w:jc w:val="left"/>
              <w:rPr>
                <w:rStyle w:val="24"/>
                <w:rFonts w:hint="default" w:ascii="仿宋" w:hAnsi="仿宋" w:eastAsia="仿宋" w:cs="仿宋"/>
                <w:color w:val="auto"/>
                <w:sz w:val="24"/>
                <w:szCs w:val="24"/>
                <w:highlight w:val="none"/>
                <w:u w:val="none"/>
                <w:lang w:bidi="ar"/>
              </w:rPr>
            </w:pPr>
            <w:r>
              <w:rPr>
                <w:rStyle w:val="24"/>
                <w:rFonts w:hint="default" w:ascii="仿宋" w:hAnsi="仿宋" w:eastAsia="仿宋" w:cs="仿宋"/>
                <w:color w:val="auto"/>
                <w:sz w:val="24"/>
                <w:szCs w:val="24"/>
                <w:highlight w:val="none"/>
                <w:u w:val="none"/>
                <w:lang w:bidi="ar"/>
              </w:rPr>
              <w:t>3.内垫纸板：采用国家环保认证纸板，厚度为2.5mm的灰白色工业纸板，木浆含量为70%，弹性好不易变形，纸面匀细、平滑适中、挺度好、平直、厚度足。</w:t>
            </w:r>
          </w:p>
          <w:p w14:paraId="1FEEC442">
            <w:pPr>
              <w:jc w:val="left"/>
              <w:rPr>
                <w:rStyle w:val="24"/>
                <w:rFonts w:hint="default" w:ascii="仿宋" w:hAnsi="仿宋" w:eastAsia="仿宋" w:cs="仿宋"/>
                <w:color w:val="auto"/>
                <w:sz w:val="24"/>
                <w:szCs w:val="24"/>
                <w:highlight w:val="none"/>
                <w:u w:val="none"/>
                <w:lang w:bidi="ar"/>
              </w:rPr>
            </w:pPr>
            <w:r>
              <w:rPr>
                <w:rStyle w:val="24"/>
                <w:rFonts w:hint="default" w:ascii="仿宋" w:hAnsi="仿宋" w:eastAsia="仿宋" w:cs="仿宋"/>
                <w:color w:val="auto"/>
                <w:sz w:val="24"/>
                <w:szCs w:val="24"/>
                <w:highlight w:val="none"/>
                <w:u w:val="none"/>
                <w:lang w:bidi="ar"/>
              </w:rPr>
              <w:t>4.内衬</w:t>
            </w:r>
            <w:r>
              <w:rPr>
                <w:rStyle w:val="24"/>
                <w:rFonts w:ascii="仿宋" w:hAnsi="仿宋" w:eastAsia="仿宋" w:cs="仿宋"/>
                <w:color w:val="auto"/>
                <w:sz w:val="24"/>
                <w:szCs w:val="24"/>
                <w:highlight w:val="none"/>
                <w:u w:val="none"/>
                <w:lang w:bidi="ar"/>
              </w:rPr>
              <w:t>印有学校风景图及校训</w:t>
            </w:r>
            <w:r>
              <w:rPr>
                <w:rStyle w:val="24"/>
                <w:rFonts w:hint="default" w:ascii="仿宋" w:hAnsi="仿宋" w:eastAsia="仿宋" w:cs="仿宋"/>
                <w:color w:val="auto"/>
                <w:sz w:val="24"/>
                <w:szCs w:val="24"/>
                <w:highlight w:val="none"/>
                <w:u w:val="none"/>
                <w:lang w:bidi="ar"/>
              </w:rPr>
              <w:t>、玫瑰花纸并四角贴固定丝绸带，丝绸带宽度为0.8cm，密度为18条；</w:t>
            </w:r>
          </w:p>
          <w:p w14:paraId="25EBE5E7">
            <w:pPr>
              <w:ind w:right="-2"/>
              <w:jc w:val="left"/>
              <w:rPr>
                <w:rStyle w:val="24"/>
                <w:rFonts w:hint="default" w:ascii="仿宋" w:hAnsi="仿宋" w:eastAsia="仿宋" w:cs="仿宋"/>
                <w:color w:val="auto"/>
                <w:sz w:val="24"/>
                <w:szCs w:val="24"/>
                <w:highlight w:val="none"/>
                <w:u w:val="none"/>
                <w:lang w:bidi="ar"/>
              </w:rPr>
            </w:pPr>
            <w:r>
              <w:rPr>
                <w:rStyle w:val="24"/>
                <w:rFonts w:hint="default" w:ascii="仿宋" w:hAnsi="仿宋" w:eastAsia="仿宋" w:cs="仿宋"/>
                <w:color w:val="auto"/>
                <w:sz w:val="24"/>
                <w:szCs w:val="24"/>
                <w:highlight w:val="none"/>
                <w:u w:val="none"/>
                <w:lang w:bidi="ar"/>
              </w:rPr>
              <w:t>5.封面</w:t>
            </w:r>
            <w:r>
              <w:rPr>
                <w:rStyle w:val="24"/>
                <w:rFonts w:hint="eastAsia" w:ascii="仿宋" w:hAnsi="仿宋" w:eastAsia="仿宋" w:cs="仿宋"/>
                <w:color w:val="auto"/>
                <w:sz w:val="24"/>
                <w:szCs w:val="24"/>
                <w:highlight w:val="none"/>
                <w:u w:val="none"/>
                <w:lang w:val="en-US" w:eastAsia="zh-CN" w:bidi="ar"/>
              </w:rPr>
              <w:t>*正面</w:t>
            </w:r>
            <w:r>
              <w:rPr>
                <w:rStyle w:val="24"/>
                <w:rFonts w:hint="default" w:ascii="仿宋" w:hAnsi="仿宋" w:eastAsia="仿宋" w:cs="仿宋"/>
                <w:color w:val="auto"/>
                <w:sz w:val="24"/>
                <w:szCs w:val="24"/>
                <w:highlight w:val="none"/>
                <w:u w:val="none"/>
                <w:lang w:bidi="ar"/>
              </w:rPr>
              <w:t>压印烫（广西中医药大学logo、校名）金字</w:t>
            </w:r>
            <w:r>
              <w:rPr>
                <w:rStyle w:val="24"/>
                <w:rFonts w:hint="eastAsia" w:ascii="仿宋" w:hAnsi="仿宋" w:eastAsia="仿宋" w:cs="仿宋"/>
                <w:color w:val="auto"/>
                <w:sz w:val="24"/>
                <w:szCs w:val="24"/>
                <w:highlight w:val="none"/>
                <w:u w:val="none"/>
                <w:lang w:eastAsia="zh-CN" w:bidi="ar"/>
              </w:rPr>
              <w:t>；</w:t>
            </w:r>
            <w:r>
              <w:rPr>
                <w:rStyle w:val="24"/>
                <w:rFonts w:hint="default" w:ascii="仿宋" w:hAnsi="仿宋" w:eastAsia="仿宋" w:cs="仿宋"/>
                <w:color w:val="auto"/>
                <w:sz w:val="24"/>
                <w:szCs w:val="24"/>
                <w:highlight w:val="none"/>
                <w:u w:val="none"/>
                <w:lang w:bidi="ar"/>
              </w:rPr>
              <w:t>采用进口烫金纸，用烫金模切一体机，温度调试到150度左右，保证烫金及字迹清晰流畅，位置居中，不存在左右偏差，不起金、不褪金。</w:t>
            </w:r>
            <w:r>
              <w:rPr>
                <w:rStyle w:val="24"/>
                <w:rFonts w:hint="eastAsia" w:ascii="仿宋" w:hAnsi="仿宋" w:eastAsia="仿宋" w:cs="仿宋"/>
                <w:color w:val="auto"/>
                <w:sz w:val="24"/>
                <w:szCs w:val="24"/>
                <w:highlight w:val="none"/>
                <w:u w:val="none"/>
                <w:lang w:val="en-US" w:eastAsia="zh-CN" w:bidi="ar"/>
              </w:rPr>
              <w:t>背面印烫（校训）。</w:t>
            </w:r>
          </w:p>
          <w:p w14:paraId="5627488D">
            <w:pPr>
              <w:pStyle w:val="23"/>
              <w:rPr>
                <w:rFonts w:ascii="仿宋" w:hAnsi="仿宋" w:eastAsia="仿宋" w:cs="仿宋"/>
                <w:color w:val="auto"/>
                <w:sz w:val="24"/>
                <w:szCs w:val="22"/>
                <w:highlight w:val="none"/>
                <w:u w:val="none"/>
              </w:rPr>
            </w:pPr>
            <w:r>
              <w:rPr>
                <w:rStyle w:val="24"/>
                <w:rFonts w:hint="default" w:ascii="仿宋" w:hAnsi="仿宋" w:eastAsia="仿宋" w:cs="仿宋"/>
                <w:color w:val="auto"/>
                <w:sz w:val="24"/>
                <w:szCs w:val="24"/>
                <w:highlight w:val="none"/>
                <w:u w:val="none"/>
                <w:lang w:bidi="ar"/>
              </w:rPr>
              <w:t>6.包装：使用正规纸盒包装，外包装上不得注明厂家名称、地址、电话。</w:t>
            </w:r>
          </w:p>
        </w:tc>
        <w:tc>
          <w:tcPr>
            <w:tcW w:w="540" w:type="dxa"/>
            <w:tcBorders>
              <w:top w:val="single" w:color="auto" w:sz="4" w:space="0"/>
            </w:tcBorders>
            <w:vAlign w:val="center"/>
          </w:tcPr>
          <w:p w14:paraId="3C173066">
            <w:pPr>
              <w:jc w:val="center"/>
              <w:rPr>
                <w:rFonts w:ascii="宋体" w:hAnsi="宋体"/>
                <w:color w:val="auto"/>
                <w:sz w:val="18"/>
                <w:szCs w:val="18"/>
                <w:highlight w:val="none"/>
                <w:u w:val="none"/>
              </w:rPr>
            </w:pPr>
            <w:r>
              <w:rPr>
                <w:rFonts w:hint="eastAsia" w:ascii="宋体" w:hAnsi="宋体"/>
                <w:color w:val="auto"/>
                <w:sz w:val="18"/>
                <w:szCs w:val="18"/>
                <w:highlight w:val="none"/>
                <w:u w:val="none"/>
              </w:rPr>
              <w:t>本</w:t>
            </w:r>
          </w:p>
        </w:tc>
        <w:tc>
          <w:tcPr>
            <w:tcW w:w="838" w:type="dxa"/>
            <w:tcBorders>
              <w:top w:val="single" w:color="auto" w:sz="4" w:space="0"/>
            </w:tcBorders>
            <w:vAlign w:val="center"/>
          </w:tcPr>
          <w:p w14:paraId="60A89776">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3685</w:t>
            </w:r>
          </w:p>
        </w:tc>
        <w:tc>
          <w:tcPr>
            <w:tcW w:w="1134" w:type="dxa"/>
            <w:tcBorders>
              <w:top w:val="single" w:color="auto" w:sz="4" w:space="0"/>
            </w:tcBorders>
            <w:vAlign w:val="center"/>
          </w:tcPr>
          <w:p w14:paraId="3EC784FA">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8.5</w:t>
            </w:r>
          </w:p>
        </w:tc>
        <w:tc>
          <w:tcPr>
            <w:tcW w:w="1134" w:type="dxa"/>
            <w:tcBorders>
              <w:top w:val="single" w:color="auto" w:sz="4" w:space="0"/>
            </w:tcBorders>
            <w:vAlign w:val="center"/>
          </w:tcPr>
          <w:p w14:paraId="07452F02">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31322.5</w:t>
            </w:r>
          </w:p>
        </w:tc>
        <w:tc>
          <w:tcPr>
            <w:tcW w:w="992" w:type="dxa"/>
            <w:tcBorders>
              <w:top w:val="single" w:color="auto" w:sz="4" w:space="0"/>
            </w:tcBorders>
            <w:vAlign w:val="center"/>
          </w:tcPr>
          <w:p w14:paraId="04291E72">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38341188">
            <w:pPr>
              <w:jc w:val="center"/>
              <w:rPr>
                <w:rFonts w:ascii="宋体" w:hAnsi="宋体"/>
                <w:color w:val="auto"/>
                <w:sz w:val="18"/>
                <w:szCs w:val="18"/>
                <w:highlight w:val="none"/>
                <w:u w:val="none"/>
              </w:rPr>
            </w:pPr>
            <w:r>
              <w:rPr>
                <w:color w:val="auto"/>
                <w:highlight w:val="none"/>
                <w:u w:val="none"/>
              </w:rPr>
              <w:drawing>
                <wp:anchor distT="0" distB="0" distL="114300" distR="114300" simplePos="0" relativeHeight="251661312" behindDoc="0" locked="0" layoutInCell="1" allowOverlap="1">
                  <wp:simplePos x="0" y="0"/>
                  <wp:positionH relativeFrom="column">
                    <wp:posOffset>-63500</wp:posOffset>
                  </wp:positionH>
                  <wp:positionV relativeFrom="paragraph">
                    <wp:posOffset>8255</wp:posOffset>
                  </wp:positionV>
                  <wp:extent cx="609600" cy="892175"/>
                  <wp:effectExtent l="0" t="0" r="0" b="317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609600" cy="892175"/>
                          </a:xfrm>
                          <a:prstGeom prst="rect">
                            <a:avLst/>
                          </a:prstGeom>
                          <a:noFill/>
                          <a:ln>
                            <a:noFill/>
                          </a:ln>
                        </pic:spPr>
                      </pic:pic>
                    </a:graphicData>
                  </a:graphic>
                </wp:anchor>
              </w:drawing>
            </w:r>
          </w:p>
          <w:p w14:paraId="53E1CE13">
            <w:pPr>
              <w:jc w:val="center"/>
              <w:rPr>
                <w:rFonts w:ascii="宋体" w:hAnsi="宋体"/>
                <w:color w:val="auto"/>
                <w:sz w:val="18"/>
                <w:szCs w:val="18"/>
                <w:highlight w:val="none"/>
                <w:u w:val="none"/>
              </w:rPr>
            </w:pPr>
          </w:p>
          <w:p w14:paraId="068D239D">
            <w:pPr>
              <w:jc w:val="center"/>
              <w:rPr>
                <w:rFonts w:ascii="宋体" w:hAnsi="宋体"/>
                <w:color w:val="auto"/>
                <w:sz w:val="18"/>
                <w:szCs w:val="18"/>
                <w:highlight w:val="none"/>
                <w:u w:val="none"/>
              </w:rPr>
            </w:pPr>
          </w:p>
          <w:p w14:paraId="3881B02A">
            <w:pPr>
              <w:jc w:val="center"/>
              <w:rPr>
                <w:rFonts w:ascii="宋体" w:hAnsi="宋体"/>
                <w:color w:val="auto"/>
                <w:sz w:val="18"/>
                <w:szCs w:val="18"/>
                <w:highlight w:val="none"/>
                <w:u w:val="none"/>
              </w:rPr>
            </w:pPr>
            <w:r>
              <w:rPr>
                <w:color w:val="auto"/>
                <w:highlight w:val="none"/>
                <w:u w:val="none"/>
              </w:rPr>
              <w:drawing>
                <wp:anchor distT="0" distB="0" distL="114300" distR="114300" simplePos="0" relativeHeight="251660288" behindDoc="0" locked="0" layoutInCell="1" allowOverlap="1">
                  <wp:simplePos x="0" y="0"/>
                  <wp:positionH relativeFrom="column">
                    <wp:posOffset>-47625</wp:posOffset>
                  </wp:positionH>
                  <wp:positionV relativeFrom="paragraph">
                    <wp:posOffset>1974850</wp:posOffset>
                  </wp:positionV>
                  <wp:extent cx="554990" cy="729615"/>
                  <wp:effectExtent l="0" t="0" r="16510" b="13335"/>
                  <wp:wrapNone/>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6"/>
                          <a:stretch>
                            <a:fillRect/>
                          </a:stretch>
                        </pic:blipFill>
                        <pic:spPr>
                          <a:xfrm>
                            <a:off x="0" y="0"/>
                            <a:ext cx="554990" cy="729615"/>
                          </a:xfrm>
                          <a:prstGeom prst="rect">
                            <a:avLst/>
                          </a:prstGeom>
                          <a:noFill/>
                          <a:ln>
                            <a:noFill/>
                          </a:ln>
                        </pic:spPr>
                      </pic:pic>
                    </a:graphicData>
                  </a:graphic>
                </wp:anchor>
              </w:drawing>
            </w:r>
            <w:r>
              <w:rPr>
                <w:color w:val="auto"/>
                <w:highlight w:val="none"/>
                <w:u w:val="none"/>
              </w:rPr>
              <w:drawing>
                <wp:anchor distT="0" distB="0" distL="114300" distR="114300" simplePos="0" relativeHeight="251659264" behindDoc="0" locked="0" layoutInCell="1" allowOverlap="1">
                  <wp:simplePos x="0" y="0"/>
                  <wp:positionH relativeFrom="column">
                    <wp:posOffset>-64135</wp:posOffset>
                  </wp:positionH>
                  <wp:positionV relativeFrom="paragraph">
                    <wp:posOffset>1140460</wp:posOffset>
                  </wp:positionV>
                  <wp:extent cx="602615" cy="789305"/>
                  <wp:effectExtent l="0" t="0" r="6985" b="10795"/>
                  <wp:wrapNone/>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a:stretch>
                            <a:fillRect/>
                          </a:stretch>
                        </pic:blipFill>
                        <pic:spPr>
                          <a:xfrm>
                            <a:off x="0" y="0"/>
                            <a:ext cx="602615" cy="789305"/>
                          </a:xfrm>
                          <a:prstGeom prst="rect">
                            <a:avLst/>
                          </a:prstGeom>
                          <a:noFill/>
                          <a:ln>
                            <a:noFill/>
                          </a:ln>
                        </pic:spPr>
                      </pic:pic>
                    </a:graphicData>
                  </a:graphic>
                </wp:anchor>
              </w:drawing>
            </w:r>
            <w:r>
              <w:rPr>
                <w:color w:val="auto"/>
                <w:highlight w:val="none"/>
                <w:u w:val="none"/>
              </w:rPr>
              <w:drawing>
                <wp:anchor distT="0" distB="0" distL="114300" distR="114300" simplePos="0" relativeHeight="251662336" behindDoc="0" locked="0" layoutInCell="1" allowOverlap="1">
                  <wp:simplePos x="0" y="0"/>
                  <wp:positionH relativeFrom="column">
                    <wp:posOffset>-68580</wp:posOffset>
                  </wp:positionH>
                  <wp:positionV relativeFrom="paragraph">
                    <wp:posOffset>325755</wp:posOffset>
                  </wp:positionV>
                  <wp:extent cx="615950" cy="768350"/>
                  <wp:effectExtent l="0" t="0" r="12700" b="1270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615950" cy="768350"/>
                          </a:xfrm>
                          <a:prstGeom prst="rect">
                            <a:avLst/>
                          </a:prstGeom>
                          <a:noFill/>
                          <a:ln>
                            <a:noFill/>
                          </a:ln>
                        </pic:spPr>
                      </pic:pic>
                    </a:graphicData>
                  </a:graphic>
                </wp:anchor>
              </w:drawing>
            </w:r>
          </w:p>
        </w:tc>
        <w:tc>
          <w:tcPr>
            <w:tcW w:w="993" w:type="dxa"/>
            <w:tcBorders>
              <w:top w:val="single" w:color="auto" w:sz="4" w:space="0"/>
            </w:tcBorders>
            <w:vAlign w:val="center"/>
          </w:tcPr>
          <w:p w14:paraId="75209E4D">
            <w:pPr>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参考</w:t>
            </w:r>
          </w:p>
          <w:p w14:paraId="6250104D">
            <w:pPr>
              <w:jc w:val="center"/>
              <w:rPr>
                <w:rFonts w:hint="default" w:ascii="宋体" w:hAnsi="宋体"/>
                <w:color w:val="auto"/>
                <w:sz w:val="18"/>
                <w:szCs w:val="18"/>
                <w:highlight w:val="none"/>
                <w:u w:val="none"/>
                <w:lang w:val="en-US"/>
              </w:rPr>
            </w:pPr>
            <w:r>
              <w:rPr>
                <w:rFonts w:hint="eastAsia" w:ascii="仿宋" w:hAnsi="仿宋" w:eastAsia="仿宋" w:cs="仿宋"/>
                <w:color w:val="auto"/>
                <w:sz w:val="24"/>
                <w:szCs w:val="24"/>
                <w:highlight w:val="none"/>
                <w:u w:val="none"/>
                <w:lang w:val="en-US" w:eastAsia="zh-CN"/>
              </w:rPr>
              <w:t>图片</w:t>
            </w:r>
          </w:p>
        </w:tc>
      </w:tr>
      <w:tr w14:paraId="0C5C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4F551980">
            <w:pPr>
              <w:jc w:val="center"/>
              <w:rPr>
                <w:rFonts w:ascii="宋体" w:hAnsi="宋体"/>
                <w:color w:val="auto"/>
                <w:sz w:val="18"/>
                <w:szCs w:val="18"/>
                <w:highlight w:val="none"/>
                <w:u w:val="none"/>
              </w:rPr>
            </w:pPr>
            <w:r>
              <w:rPr>
                <w:rFonts w:hint="eastAsia" w:ascii="宋体" w:hAnsi="宋体"/>
                <w:color w:val="auto"/>
                <w:sz w:val="18"/>
                <w:szCs w:val="18"/>
                <w:highlight w:val="none"/>
                <w:u w:val="none"/>
              </w:rPr>
              <w:t>2</w:t>
            </w:r>
          </w:p>
        </w:tc>
        <w:tc>
          <w:tcPr>
            <w:tcW w:w="1415" w:type="dxa"/>
            <w:gridSpan w:val="2"/>
            <w:tcBorders>
              <w:top w:val="single" w:color="auto" w:sz="4" w:space="0"/>
            </w:tcBorders>
            <w:vAlign w:val="center"/>
          </w:tcPr>
          <w:p w14:paraId="0EC0201D">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毕业证书(普本</w:t>
            </w:r>
            <w:r>
              <w:rPr>
                <w:rFonts w:hint="eastAsia" w:ascii="仿宋" w:hAnsi="仿宋" w:eastAsia="仿宋" w:cs="仿宋"/>
                <w:color w:val="auto"/>
                <w:sz w:val="24"/>
                <w:highlight w:val="none"/>
                <w:u w:val="none"/>
                <w:lang w:val="en-US" w:eastAsia="zh-CN"/>
              </w:rPr>
              <w:t>和国教</w:t>
            </w:r>
            <w:r>
              <w:rPr>
                <w:rFonts w:hint="eastAsia" w:ascii="仿宋" w:hAnsi="仿宋" w:eastAsia="仿宋" w:cs="仿宋"/>
                <w:color w:val="auto"/>
                <w:sz w:val="24"/>
                <w:highlight w:val="none"/>
                <w:u w:val="none"/>
              </w:rPr>
              <w:t>)内芯（</w:t>
            </w:r>
            <w:r>
              <w:rPr>
                <w:rFonts w:hint="eastAsia" w:ascii="仿宋" w:hAnsi="仿宋" w:eastAsia="仿宋" w:cs="仿宋"/>
                <w:color w:val="auto"/>
                <w:sz w:val="24"/>
                <w:highlight w:val="none"/>
                <w:u w:val="none"/>
                <w:lang w:val="en-US" w:eastAsia="zh-CN"/>
              </w:rPr>
              <w:t>含</w:t>
            </w:r>
            <w:r>
              <w:rPr>
                <w:rFonts w:hint="eastAsia" w:ascii="仿宋" w:hAnsi="仿宋" w:eastAsia="仿宋" w:cs="仿宋"/>
                <w:color w:val="auto"/>
                <w:sz w:val="24"/>
                <w:highlight w:val="none"/>
                <w:u w:val="none"/>
              </w:rPr>
              <w:t>打印）</w:t>
            </w:r>
          </w:p>
        </w:tc>
        <w:tc>
          <w:tcPr>
            <w:tcW w:w="432" w:type="dxa"/>
            <w:tcBorders>
              <w:top w:val="single" w:color="auto" w:sz="4" w:space="0"/>
            </w:tcBorders>
            <w:vAlign w:val="center"/>
          </w:tcPr>
          <w:p w14:paraId="7B9CBF7D">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527662B5">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22B5A534">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2.采用国内印钞造币纸厂生产的150克全木浆学历证书专用水印的证券纸，防伪纸对光可见水印，水印为学历证书书本水印不含其他元素；</w:t>
            </w:r>
          </w:p>
          <w:p w14:paraId="2D8F8180">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7567DB85">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2C5D7D38">
            <w:pPr>
              <w:pStyle w:val="23"/>
              <w:rPr>
                <w:rFonts w:ascii="仿宋" w:hAnsi="仿宋" w:eastAsia="仿宋" w:cs="仿宋"/>
                <w:color w:val="auto"/>
                <w:sz w:val="24"/>
                <w:szCs w:val="22"/>
                <w:highlight w:val="none"/>
                <w:u w:val="none"/>
              </w:rPr>
            </w:pPr>
            <w:r>
              <w:rPr>
                <w:rFonts w:hint="eastAsia" w:ascii="仿宋" w:hAnsi="仿宋" w:eastAsia="仿宋" w:cs="仿宋"/>
                <w:color w:val="auto"/>
                <w:sz w:val="24"/>
                <w:highlight w:val="none"/>
                <w:u w:val="none"/>
              </w:rPr>
              <w:t>5．</w:t>
            </w:r>
            <w:r>
              <w:rPr>
                <w:rFonts w:hint="eastAsia" w:ascii="仿宋" w:hAnsi="仿宋" w:eastAsia="仿宋" w:cs="仿宋"/>
                <w:color w:val="auto"/>
                <w:sz w:val="24"/>
                <w:szCs w:val="22"/>
                <w:highlight w:val="none"/>
                <w:u w:val="none"/>
              </w:rPr>
              <w:t>提供证书内芯学位信息打印服务，打印内容：姓名、性别、出生日期、校名、专业、类别、校长、证书编号、发证日期</w:t>
            </w:r>
            <w:r>
              <w:rPr>
                <w:rFonts w:hint="eastAsia" w:ascii="仿宋" w:hAnsi="仿宋" w:eastAsia="仿宋" w:cs="仿宋"/>
                <w:color w:val="auto"/>
                <w:sz w:val="24"/>
                <w:highlight w:val="none"/>
                <w:u w:val="none"/>
              </w:rPr>
              <w:t>以及</w:t>
            </w:r>
            <w:r>
              <w:rPr>
                <w:rFonts w:hint="eastAsia" w:ascii="仿宋" w:hAnsi="仿宋" w:eastAsia="仿宋" w:cs="仿宋"/>
                <w:color w:val="auto"/>
                <w:sz w:val="24"/>
                <w:szCs w:val="22"/>
                <w:highlight w:val="none"/>
                <w:u w:val="none"/>
              </w:rPr>
              <w:t>1200×2400dpi分辨率彩色照片，印刷字迹清晰，不掉色，不褪色。证书信息内容需签署保密协议。</w:t>
            </w:r>
          </w:p>
          <w:p w14:paraId="1999A995">
            <w:pPr>
              <w:pStyle w:val="23"/>
              <w:rPr>
                <w:rFonts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6.左下角边框上印制水印隐形荧光可变序列码（在紫光灯发红光），一张一码，编码方法：专业名称－学号。</w:t>
            </w:r>
          </w:p>
          <w:p w14:paraId="370B839C">
            <w:pPr>
              <w:pStyle w:val="23"/>
              <w:rPr>
                <w:rFonts w:hint="eastAsia"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7.证书编号采用侧光渐变防伪证书码（在紫光灯发红光）。</w:t>
            </w:r>
          </w:p>
          <w:p w14:paraId="476B1F23">
            <w:pPr>
              <w:pStyle w:val="23"/>
              <w:rPr>
                <w:rFonts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8.照片在紫光灯下发红。</w:t>
            </w:r>
          </w:p>
        </w:tc>
        <w:tc>
          <w:tcPr>
            <w:tcW w:w="540" w:type="dxa"/>
            <w:tcBorders>
              <w:top w:val="single" w:color="auto" w:sz="4" w:space="0"/>
            </w:tcBorders>
            <w:vAlign w:val="center"/>
          </w:tcPr>
          <w:p w14:paraId="73965DCD">
            <w:pPr>
              <w:jc w:val="center"/>
              <w:rPr>
                <w:rFonts w:hint="eastAsia"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6A996460">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2380</w:t>
            </w:r>
            <w:bookmarkStart w:id="0" w:name="_GoBack"/>
            <w:bookmarkEnd w:id="0"/>
          </w:p>
        </w:tc>
        <w:tc>
          <w:tcPr>
            <w:tcW w:w="1134" w:type="dxa"/>
            <w:tcBorders>
              <w:top w:val="single" w:color="auto" w:sz="4" w:space="0"/>
            </w:tcBorders>
            <w:vAlign w:val="center"/>
          </w:tcPr>
          <w:p w14:paraId="19ACAE17">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w:t>
            </w:r>
          </w:p>
        </w:tc>
        <w:tc>
          <w:tcPr>
            <w:tcW w:w="1134" w:type="dxa"/>
            <w:tcBorders>
              <w:top w:val="single" w:color="auto" w:sz="4" w:space="0"/>
            </w:tcBorders>
            <w:vAlign w:val="center"/>
          </w:tcPr>
          <w:p w14:paraId="109F5B76">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4760</w:t>
            </w:r>
          </w:p>
        </w:tc>
        <w:tc>
          <w:tcPr>
            <w:tcW w:w="992" w:type="dxa"/>
            <w:tcBorders>
              <w:top w:val="single" w:color="auto" w:sz="4" w:space="0"/>
            </w:tcBorders>
            <w:vAlign w:val="center"/>
          </w:tcPr>
          <w:p w14:paraId="4C846CB2">
            <w:pPr>
              <w:jc w:val="center"/>
              <w:rPr>
                <w:rFonts w:hint="eastAsia" w:ascii="宋体" w:hAnsi="宋体" w:eastAsia="宋体"/>
                <w:color w:val="auto"/>
                <w:sz w:val="18"/>
                <w:szCs w:val="18"/>
                <w:highlight w:val="none"/>
                <w:u w:val="none"/>
                <w:lang w:val="en-US" w:eastAsia="zh-CN"/>
              </w:rPr>
            </w:pPr>
            <w:r>
              <w:rPr>
                <w:rFonts w:ascii="宋体" w:hAnsi="宋体" w:eastAsia="宋体" w:cs="宋体"/>
                <w:color w:val="auto"/>
                <w:sz w:val="24"/>
                <w:szCs w:val="24"/>
                <w:highlight w:val="none"/>
                <w:u w:val="none"/>
              </w:rPr>
              <w:drawing>
                <wp:anchor distT="0" distB="0" distL="114300" distR="114300" simplePos="0" relativeHeight="251663360" behindDoc="0" locked="0" layoutInCell="1" allowOverlap="1">
                  <wp:simplePos x="0" y="0"/>
                  <wp:positionH relativeFrom="column">
                    <wp:posOffset>560070</wp:posOffset>
                  </wp:positionH>
                  <wp:positionV relativeFrom="paragraph">
                    <wp:posOffset>-33655</wp:posOffset>
                  </wp:positionV>
                  <wp:extent cx="629920" cy="449580"/>
                  <wp:effectExtent l="0" t="0" r="17780" b="7620"/>
                  <wp:wrapNone/>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9"/>
                          <a:stretch>
                            <a:fillRect/>
                          </a:stretch>
                        </pic:blipFill>
                        <pic:spPr>
                          <a:xfrm>
                            <a:off x="0" y="0"/>
                            <a:ext cx="629920" cy="449580"/>
                          </a:xfrm>
                          <a:prstGeom prst="rect">
                            <a:avLst/>
                          </a:prstGeom>
                          <a:noFill/>
                          <a:ln w="9525">
                            <a:noFill/>
                          </a:ln>
                        </pic:spPr>
                      </pic:pic>
                    </a:graphicData>
                  </a:graphic>
                </wp:anchor>
              </w:drawing>
            </w: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0F4AD6A9">
            <w:pPr>
              <w:jc w:val="center"/>
              <w:rPr>
                <w:rFonts w:ascii="宋体" w:hAnsi="宋体"/>
                <w:color w:val="auto"/>
                <w:sz w:val="18"/>
                <w:szCs w:val="18"/>
                <w:highlight w:val="none"/>
                <w:u w:val="none"/>
              </w:rPr>
            </w:pPr>
          </w:p>
        </w:tc>
        <w:tc>
          <w:tcPr>
            <w:tcW w:w="993" w:type="dxa"/>
            <w:tcBorders>
              <w:top w:val="single" w:color="auto" w:sz="4" w:space="0"/>
            </w:tcBorders>
            <w:vAlign w:val="center"/>
          </w:tcPr>
          <w:p w14:paraId="0EE7DA87">
            <w:pPr>
              <w:jc w:val="center"/>
              <w:rPr>
                <w:rFonts w:hint="eastAsia" w:ascii="仿宋" w:hAnsi="仿宋" w:eastAsia="仿宋" w:cs="仿宋"/>
                <w:b w:val="0"/>
                <w:bCs w:val="0"/>
                <w:color w:val="auto"/>
                <w:sz w:val="24"/>
                <w:highlight w:val="none"/>
                <w:u w:val="none"/>
                <w:lang w:val="en-US" w:eastAsia="zh-CN"/>
              </w:rPr>
            </w:pPr>
          </w:p>
          <w:p w14:paraId="666544DA">
            <w:pPr>
              <w:jc w:val="center"/>
              <w:rPr>
                <w:rFonts w:hint="eastAsia" w:ascii="仿宋" w:hAnsi="仿宋" w:eastAsia="仿宋" w:cs="仿宋"/>
                <w:b w:val="0"/>
                <w:bCs w:val="0"/>
                <w:color w:val="auto"/>
                <w:sz w:val="24"/>
                <w:highlight w:val="none"/>
                <w:u w:val="none"/>
                <w:lang w:val="en-US" w:eastAsia="zh-CN"/>
              </w:rPr>
            </w:pPr>
          </w:p>
          <w:p w14:paraId="0A2814E0">
            <w:pPr>
              <w:jc w:val="center"/>
              <w:rPr>
                <w:rFonts w:hint="eastAsia" w:ascii="仿宋" w:hAnsi="仿宋" w:eastAsia="仿宋" w:cs="仿宋"/>
                <w:b w:val="0"/>
                <w:bCs w:val="0"/>
                <w:color w:val="auto"/>
                <w:sz w:val="24"/>
                <w:highlight w:val="none"/>
                <w:u w:val="none"/>
                <w:lang w:val="en-US" w:eastAsia="zh-CN"/>
              </w:rPr>
            </w:pPr>
          </w:p>
          <w:p w14:paraId="3A354D3E">
            <w:pPr>
              <w:jc w:val="center"/>
              <w:rPr>
                <w:rFonts w:hint="eastAsia" w:ascii="仿宋" w:hAnsi="仿宋" w:eastAsia="仿宋" w:cs="仿宋"/>
                <w:b w:val="0"/>
                <w:bCs w:val="0"/>
                <w:color w:val="auto"/>
                <w:sz w:val="24"/>
                <w:highlight w:val="none"/>
                <w:u w:val="none"/>
                <w:lang w:val="en-US" w:eastAsia="zh-CN"/>
              </w:rPr>
            </w:pPr>
          </w:p>
          <w:p w14:paraId="571B02F6">
            <w:pPr>
              <w:jc w:val="center"/>
              <w:rPr>
                <w:rFonts w:hint="eastAsia" w:ascii="仿宋" w:hAnsi="仿宋" w:eastAsia="仿宋" w:cs="仿宋"/>
                <w:b w:val="0"/>
                <w:bCs w:val="0"/>
                <w:color w:val="auto"/>
                <w:sz w:val="24"/>
                <w:highlight w:val="none"/>
                <w:u w:val="none"/>
                <w:lang w:val="en-US" w:eastAsia="zh-CN"/>
              </w:rPr>
            </w:pPr>
          </w:p>
          <w:p w14:paraId="4519DDBF">
            <w:pPr>
              <w:jc w:val="center"/>
              <w:rPr>
                <w:rFonts w:ascii="宋体" w:hAnsi="宋体"/>
                <w:color w:val="auto"/>
                <w:sz w:val="18"/>
                <w:szCs w:val="18"/>
                <w:highlight w:val="none"/>
                <w:u w:val="none"/>
              </w:rPr>
            </w:pPr>
            <w:r>
              <w:rPr>
                <w:rFonts w:hint="eastAsia" w:ascii="仿宋" w:hAnsi="仿宋" w:eastAsia="仿宋" w:cs="仿宋"/>
                <w:b w:val="0"/>
                <w:bCs w:val="0"/>
                <w:color w:val="auto"/>
                <w:sz w:val="24"/>
                <w:highlight w:val="none"/>
                <w:u w:val="none"/>
                <w:lang w:val="en-US" w:eastAsia="zh-CN"/>
              </w:rPr>
              <w:t>国际教育学院33名学生印制英文版</w:t>
            </w:r>
          </w:p>
        </w:tc>
      </w:tr>
      <w:tr w14:paraId="6123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5E1B16AA">
            <w:pPr>
              <w:jc w:val="center"/>
              <w:rPr>
                <w:rFonts w:ascii="宋体" w:hAnsi="宋体"/>
                <w:color w:val="auto"/>
                <w:sz w:val="18"/>
                <w:szCs w:val="18"/>
                <w:highlight w:val="none"/>
                <w:u w:val="none"/>
              </w:rPr>
            </w:pPr>
            <w:r>
              <w:rPr>
                <w:rFonts w:hint="eastAsia" w:ascii="宋体" w:hAnsi="宋体"/>
                <w:color w:val="auto"/>
                <w:sz w:val="18"/>
                <w:szCs w:val="18"/>
                <w:highlight w:val="none"/>
                <w:u w:val="none"/>
              </w:rPr>
              <w:t>3</w:t>
            </w:r>
          </w:p>
        </w:tc>
        <w:tc>
          <w:tcPr>
            <w:tcW w:w="1415" w:type="dxa"/>
            <w:gridSpan w:val="2"/>
            <w:tcBorders>
              <w:top w:val="single" w:color="auto" w:sz="4" w:space="0"/>
            </w:tcBorders>
            <w:vAlign w:val="center"/>
          </w:tcPr>
          <w:p w14:paraId="50414F46">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毕业证书（专升本）内芯（</w:t>
            </w:r>
            <w:r>
              <w:rPr>
                <w:rFonts w:hint="eastAsia" w:ascii="仿宋" w:hAnsi="仿宋" w:eastAsia="仿宋" w:cs="仿宋"/>
                <w:color w:val="auto"/>
                <w:sz w:val="24"/>
                <w:highlight w:val="none"/>
                <w:u w:val="none"/>
                <w:lang w:val="en-US" w:eastAsia="zh-CN"/>
              </w:rPr>
              <w:t>含</w:t>
            </w:r>
            <w:r>
              <w:rPr>
                <w:rFonts w:hint="eastAsia" w:ascii="仿宋" w:hAnsi="仿宋" w:eastAsia="仿宋" w:cs="仿宋"/>
                <w:color w:val="auto"/>
                <w:sz w:val="24"/>
                <w:highlight w:val="none"/>
                <w:u w:val="none"/>
              </w:rPr>
              <w:t>打印）</w:t>
            </w:r>
          </w:p>
        </w:tc>
        <w:tc>
          <w:tcPr>
            <w:tcW w:w="432" w:type="dxa"/>
            <w:tcBorders>
              <w:top w:val="single" w:color="auto" w:sz="4" w:space="0"/>
            </w:tcBorders>
            <w:vAlign w:val="center"/>
          </w:tcPr>
          <w:p w14:paraId="748B1043">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5E9802CD">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08B04A84">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2.采用国内印钞造币纸厂生产的150克全木浆学历证书专用水印的证券纸，防伪纸对光可见水印，水印为学历证书书本水印不含其他元素；</w:t>
            </w:r>
          </w:p>
          <w:p w14:paraId="6E276DD6">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79AD9A4F">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4B7D656A">
            <w:pPr>
              <w:ind w:right="-2"/>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5. 按照自治区教育厅备案版式要求印刷，采用三级防伪边框设计及防伪底纹。</w:t>
            </w:r>
          </w:p>
          <w:p w14:paraId="1405B460">
            <w:pPr>
              <w:pStyle w:val="23"/>
              <w:rPr>
                <w:rFonts w:ascii="仿宋" w:hAnsi="仿宋" w:eastAsia="仿宋" w:cs="仿宋"/>
                <w:color w:val="auto"/>
                <w:sz w:val="24"/>
                <w:szCs w:val="22"/>
                <w:highlight w:val="none"/>
                <w:u w:val="none"/>
              </w:rPr>
            </w:pPr>
            <w:r>
              <w:rPr>
                <w:rFonts w:hint="eastAsia" w:ascii="仿宋" w:hAnsi="仿宋" w:eastAsia="仿宋" w:cs="仿宋"/>
                <w:color w:val="auto"/>
                <w:sz w:val="24"/>
                <w:highlight w:val="none"/>
                <w:u w:val="none"/>
              </w:rPr>
              <w:t>6．</w:t>
            </w:r>
            <w:r>
              <w:rPr>
                <w:rFonts w:hint="eastAsia" w:ascii="仿宋" w:hAnsi="仿宋" w:eastAsia="仿宋" w:cs="仿宋"/>
                <w:color w:val="auto"/>
                <w:sz w:val="24"/>
                <w:szCs w:val="22"/>
                <w:highlight w:val="none"/>
                <w:u w:val="none"/>
              </w:rPr>
              <w:t>提供证书内芯学位信息打印服务，打印内容：姓名、性别、出生日期、校名、专业、类别、校长、证书编号、发证日期</w:t>
            </w:r>
            <w:r>
              <w:rPr>
                <w:rFonts w:hint="eastAsia" w:ascii="仿宋" w:hAnsi="仿宋" w:eastAsia="仿宋" w:cs="仿宋"/>
                <w:color w:val="auto"/>
                <w:sz w:val="24"/>
                <w:highlight w:val="none"/>
                <w:u w:val="none"/>
              </w:rPr>
              <w:t>以及</w:t>
            </w:r>
            <w:r>
              <w:rPr>
                <w:rFonts w:hint="eastAsia" w:ascii="仿宋" w:hAnsi="仿宋" w:eastAsia="仿宋" w:cs="仿宋"/>
                <w:color w:val="auto"/>
                <w:sz w:val="24"/>
                <w:szCs w:val="22"/>
                <w:highlight w:val="none"/>
                <w:u w:val="none"/>
              </w:rPr>
              <w:t>1200×2400dpi分辨率彩色照片，印刷字迹清晰，不掉色，不褪色。证书信息内容需签署保密协议。</w:t>
            </w:r>
          </w:p>
          <w:p w14:paraId="39E57B1A">
            <w:pPr>
              <w:pStyle w:val="23"/>
              <w:rPr>
                <w:rFonts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7.左下角边框上印制水印隐形荧光可变序列码（在紫光灯发红光），一张一码，编码方法：专业名称－学号。</w:t>
            </w:r>
          </w:p>
          <w:p w14:paraId="33B05F13">
            <w:pPr>
              <w:pStyle w:val="23"/>
              <w:rPr>
                <w:rFonts w:hint="eastAsia"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8.证书编号采用侧光渐变防伪证书码（在紫光灯发红光）。</w:t>
            </w:r>
          </w:p>
          <w:p w14:paraId="15FBC065">
            <w:pPr>
              <w:pStyle w:val="23"/>
              <w:rPr>
                <w:rFonts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9.照片在紫光灯下发红。</w:t>
            </w:r>
          </w:p>
        </w:tc>
        <w:tc>
          <w:tcPr>
            <w:tcW w:w="540" w:type="dxa"/>
            <w:tcBorders>
              <w:top w:val="single" w:color="auto" w:sz="4" w:space="0"/>
            </w:tcBorders>
            <w:vAlign w:val="center"/>
          </w:tcPr>
          <w:p w14:paraId="7610A54D">
            <w:pPr>
              <w:jc w:val="center"/>
              <w:rPr>
                <w:rFonts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77A2672B">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275</w:t>
            </w:r>
          </w:p>
        </w:tc>
        <w:tc>
          <w:tcPr>
            <w:tcW w:w="1134" w:type="dxa"/>
            <w:tcBorders>
              <w:top w:val="single" w:color="auto" w:sz="4" w:space="0"/>
            </w:tcBorders>
            <w:vAlign w:val="center"/>
          </w:tcPr>
          <w:p w14:paraId="2C5CC18D">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w:t>
            </w:r>
          </w:p>
        </w:tc>
        <w:tc>
          <w:tcPr>
            <w:tcW w:w="1134" w:type="dxa"/>
            <w:tcBorders>
              <w:top w:val="single" w:color="auto" w:sz="4" w:space="0"/>
            </w:tcBorders>
            <w:vAlign w:val="center"/>
          </w:tcPr>
          <w:p w14:paraId="7D7A0B78">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550</w:t>
            </w:r>
          </w:p>
        </w:tc>
        <w:tc>
          <w:tcPr>
            <w:tcW w:w="992" w:type="dxa"/>
            <w:tcBorders>
              <w:top w:val="single" w:color="auto" w:sz="4" w:space="0"/>
            </w:tcBorders>
            <w:vAlign w:val="center"/>
          </w:tcPr>
          <w:p w14:paraId="4E170536">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642FC3CE">
            <w:pPr>
              <w:jc w:val="center"/>
              <w:rPr>
                <w:rFonts w:ascii="宋体" w:hAnsi="宋体"/>
                <w:color w:val="auto"/>
                <w:sz w:val="18"/>
                <w:szCs w:val="18"/>
                <w:highlight w:val="none"/>
                <w:u w:val="none"/>
              </w:rPr>
            </w:pPr>
            <w:r>
              <w:rPr>
                <w:rFonts w:ascii="宋体" w:hAnsi="宋体" w:eastAsia="宋体" w:cs="宋体"/>
                <w:color w:val="auto"/>
                <w:sz w:val="24"/>
                <w:szCs w:val="24"/>
                <w:highlight w:val="none"/>
                <w:u w:val="none"/>
              </w:rPr>
              <w:drawing>
                <wp:anchor distT="0" distB="0" distL="114300" distR="114300" simplePos="0" relativeHeight="251664384" behindDoc="0" locked="0" layoutInCell="1" allowOverlap="1">
                  <wp:simplePos x="0" y="0"/>
                  <wp:positionH relativeFrom="column">
                    <wp:posOffset>-56515</wp:posOffset>
                  </wp:positionH>
                  <wp:positionV relativeFrom="paragraph">
                    <wp:posOffset>673735</wp:posOffset>
                  </wp:positionV>
                  <wp:extent cx="590550" cy="417830"/>
                  <wp:effectExtent l="0" t="0" r="0" b="1270"/>
                  <wp:wrapNone/>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0"/>
                          <a:stretch>
                            <a:fillRect/>
                          </a:stretch>
                        </pic:blipFill>
                        <pic:spPr>
                          <a:xfrm>
                            <a:off x="0" y="0"/>
                            <a:ext cx="590550" cy="417830"/>
                          </a:xfrm>
                          <a:prstGeom prst="rect">
                            <a:avLst/>
                          </a:prstGeom>
                          <a:noFill/>
                          <a:ln w="9525">
                            <a:noFill/>
                          </a:ln>
                        </pic:spPr>
                      </pic:pic>
                    </a:graphicData>
                  </a:graphic>
                </wp:anchor>
              </w:drawing>
            </w:r>
          </w:p>
        </w:tc>
        <w:tc>
          <w:tcPr>
            <w:tcW w:w="993" w:type="dxa"/>
            <w:tcBorders>
              <w:top w:val="single" w:color="auto" w:sz="4" w:space="0"/>
            </w:tcBorders>
            <w:vAlign w:val="center"/>
          </w:tcPr>
          <w:p w14:paraId="177791DA">
            <w:pPr>
              <w:jc w:val="center"/>
              <w:rPr>
                <w:rFonts w:ascii="宋体" w:hAnsi="宋体"/>
                <w:color w:val="auto"/>
                <w:sz w:val="18"/>
                <w:szCs w:val="18"/>
                <w:highlight w:val="none"/>
                <w:u w:val="none"/>
              </w:rPr>
            </w:pPr>
          </w:p>
        </w:tc>
      </w:tr>
      <w:tr w14:paraId="422D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497FFE30">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4</w:t>
            </w:r>
          </w:p>
        </w:tc>
        <w:tc>
          <w:tcPr>
            <w:tcW w:w="1415" w:type="dxa"/>
            <w:gridSpan w:val="2"/>
            <w:tcBorders>
              <w:top w:val="single" w:color="auto" w:sz="4" w:space="0"/>
            </w:tcBorders>
            <w:vAlign w:val="center"/>
          </w:tcPr>
          <w:p w14:paraId="73F7826B">
            <w:pPr>
              <w:jc w:val="center"/>
              <w:rPr>
                <w:rFonts w:hint="eastAsia" w:ascii="仿宋" w:hAnsi="仿宋" w:eastAsia="仿宋" w:cs="仿宋"/>
                <w:color w:val="auto"/>
                <w:sz w:val="24"/>
                <w:highlight w:val="none"/>
                <w:u w:val="none"/>
              </w:rPr>
            </w:pPr>
          </w:p>
        </w:tc>
        <w:tc>
          <w:tcPr>
            <w:tcW w:w="432" w:type="dxa"/>
            <w:tcBorders>
              <w:top w:val="single" w:color="auto" w:sz="4" w:space="0"/>
            </w:tcBorders>
            <w:vAlign w:val="center"/>
          </w:tcPr>
          <w:p w14:paraId="29C89F63">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683AE9C3">
            <w:pPr>
              <w:pStyle w:val="23"/>
              <w:rPr>
                <w:rFonts w:hint="eastAsia" w:ascii="仿宋" w:hAnsi="仿宋" w:eastAsia="仿宋" w:cs="仿宋"/>
                <w:color w:val="auto"/>
                <w:sz w:val="24"/>
                <w:szCs w:val="22"/>
                <w:highlight w:val="none"/>
                <w:u w:val="none"/>
              </w:rPr>
            </w:pPr>
          </w:p>
        </w:tc>
        <w:tc>
          <w:tcPr>
            <w:tcW w:w="540" w:type="dxa"/>
            <w:tcBorders>
              <w:top w:val="single" w:color="auto" w:sz="4" w:space="0"/>
            </w:tcBorders>
            <w:vAlign w:val="center"/>
          </w:tcPr>
          <w:p w14:paraId="4905610E">
            <w:pPr>
              <w:jc w:val="center"/>
              <w:rPr>
                <w:rFonts w:hint="eastAsia" w:ascii="宋体" w:hAnsi="宋体"/>
                <w:color w:val="auto"/>
                <w:sz w:val="18"/>
                <w:szCs w:val="18"/>
                <w:highlight w:val="none"/>
                <w:u w:val="none"/>
              </w:rPr>
            </w:pPr>
          </w:p>
        </w:tc>
        <w:tc>
          <w:tcPr>
            <w:tcW w:w="838" w:type="dxa"/>
            <w:tcBorders>
              <w:top w:val="single" w:color="auto" w:sz="4" w:space="0"/>
            </w:tcBorders>
            <w:vAlign w:val="center"/>
          </w:tcPr>
          <w:p w14:paraId="18AF1480">
            <w:pPr>
              <w:jc w:val="center"/>
              <w:rPr>
                <w:rFonts w:hint="eastAsia" w:ascii="宋体" w:hAnsi="宋体"/>
                <w:color w:val="auto"/>
                <w:sz w:val="18"/>
                <w:szCs w:val="18"/>
                <w:highlight w:val="none"/>
                <w:u w:val="none"/>
                <w:lang w:val="en-US" w:eastAsia="zh-CN"/>
              </w:rPr>
            </w:pPr>
          </w:p>
        </w:tc>
        <w:tc>
          <w:tcPr>
            <w:tcW w:w="1134" w:type="dxa"/>
            <w:tcBorders>
              <w:top w:val="single" w:color="auto" w:sz="4" w:space="0"/>
            </w:tcBorders>
            <w:vAlign w:val="center"/>
          </w:tcPr>
          <w:p w14:paraId="26DB5AC1">
            <w:pPr>
              <w:jc w:val="center"/>
              <w:rPr>
                <w:rFonts w:hint="eastAsia" w:ascii="宋体" w:hAnsi="宋体"/>
                <w:color w:val="auto"/>
                <w:sz w:val="18"/>
                <w:szCs w:val="18"/>
                <w:highlight w:val="none"/>
                <w:u w:val="none"/>
                <w:lang w:val="en-US" w:eastAsia="zh-CN"/>
              </w:rPr>
            </w:pPr>
          </w:p>
        </w:tc>
        <w:tc>
          <w:tcPr>
            <w:tcW w:w="1134" w:type="dxa"/>
            <w:tcBorders>
              <w:top w:val="single" w:color="auto" w:sz="4" w:space="0"/>
            </w:tcBorders>
            <w:vAlign w:val="center"/>
          </w:tcPr>
          <w:p w14:paraId="27C707F8">
            <w:pPr>
              <w:jc w:val="center"/>
              <w:rPr>
                <w:rFonts w:hint="eastAsia" w:ascii="宋体" w:hAnsi="宋体"/>
                <w:color w:val="auto"/>
                <w:sz w:val="18"/>
                <w:szCs w:val="18"/>
                <w:highlight w:val="none"/>
                <w:u w:val="none"/>
                <w:lang w:val="en-US" w:eastAsia="zh-CN"/>
              </w:rPr>
            </w:pPr>
          </w:p>
        </w:tc>
        <w:tc>
          <w:tcPr>
            <w:tcW w:w="992" w:type="dxa"/>
            <w:tcBorders>
              <w:top w:val="single" w:color="auto" w:sz="4" w:space="0"/>
            </w:tcBorders>
            <w:vAlign w:val="center"/>
          </w:tcPr>
          <w:p w14:paraId="460B58C8">
            <w:pPr>
              <w:jc w:val="center"/>
              <w:rPr>
                <w:rFonts w:hint="eastAsia" w:ascii="宋体" w:hAnsi="宋体"/>
                <w:color w:val="auto"/>
                <w:sz w:val="18"/>
                <w:szCs w:val="18"/>
                <w:highlight w:val="none"/>
                <w:u w:val="none"/>
                <w:lang w:val="en-US" w:eastAsia="zh-CN"/>
              </w:rPr>
            </w:pPr>
          </w:p>
        </w:tc>
        <w:tc>
          <w:tcPr>
            <w:tcW w:w="992" w:type="dxa"/>
            <w:tcBorders>
              <w:top w:val="single" w:color="auto" w:sz="4" w:space="0"/>
            </w:tcBorders>
            <w:vAlign w:val="center"/>
          </w:tcPr>
          <w:p w14:paraId="3905436A">
            <w:pPr>
              <w:jc w:val="center"/>
              <w:rPr>
                <w:rFonts w:ascii="宋体" w:hAnsi="宋体"/>
                <w:color w:val="auto"/>
                <w:sz w:val="18"/>
                <w:szCs w:val="18"/>
                <w:highlight w:val="none"/>
                <w:u w:val="none"/>
              </w:rPr>
            </w:pPr>
          </w:p>
        </w:tc>
        <w:tc>
          <w:tcPr>
            <w:tcW w:w="993" w:type="dxa"/>
            <w:tcBorders>
              <w:top w:val="single" w:color="auto" w:sz="4" w:space="0"/>
            </w:tcBorders>
            <w:vAlign w:val="center"/>
          </w:tcPr>
          <w:p w14:paraId="5A053FE8">
            <w:pPr>
              <w:jc w:val="center"/>
              <w:rPr>
                <w:rFonts w:ascii="宋体" w:hAnsi="宋体"/>
                <w:color w:val="auto"/>
                <w:sz w:val="18"/>
                <w:szCs w:val="18"/>
                <w:highlight w:val="none"/>
                <w:u w:val="none"/>
              </w:rPr>
            </w:pPr>
          </w:p>
        </w:tc>
      </w:tr>
      <w:tr w14:paraId="6679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18D4138A">
            <w:pPr>
              <w:jc w:val="center"/>
              <w:rPr>
                <w:rFonts w:ascii="宋体" w:hAnsi="宋体"/>
                <w:color w:val="auto"/>
                <w:sz w:val="18"/>
                <w:szCs w:val="18"/>
                <w:highlight w:val="none"/>
                <w:u w:val="none"/>
              </w:rPr>
            </w:pPr>
            <w:r>
              <w:rPr>
                <w:rFonts w:hint="eastAsia" w:ascii="宋体" w:hAnsi="宋体"/>
                <w:color w:val="auto"/>
                <w:sz w:val="18"/>
                <w:szCs w:val="18"/>
                <w:highlight w:val="none"/>
                <w:u w:val="none"/>
              </w:rPr>
              <w:t>4</w:t>
            </w:r>
          </w:p>
        </w:tc>
        <w:tc>
          <w:tcPr>
            <w:tcW w:w="1415" w:type="dxa"/>
            <w:gridSpan w:val="2"/>
            <w:tcBorders>
              <w:top w:val="single" w:color="auto" w:sz="4" w:space="0"/>
            </w:tcBorders>
            <w:vAlign w:val="center"/>
          </w:tcPr>
          <w:p w14:paraId="1AFE47DD">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学位证书内芯（</w:t>
            </w:r>
            <w:r>
              <w:rPr>
                <w:rFonts w:hint="eastAsia" w:ascii="仿宋" w:hAnsi="仿宋" w:eastAsia="仿宋" w:cs="仿宋"/>
                <w:color w:val="auto"/>
                <w:sz w:val="24"/>
                <w:highlight w:val="none"/>
                <w:u w:val="none"/>
                <w:lang w:val="en-US" w:eastAsia="zh-CN"/>
              </w:rPr>
              <w:t>含</w:t>
            </w:r>
            <w:r>
              <w:rPr>
                <w:rFonts w:hint="eastAsia" w:ascii="仿宋" w:hAnsi="仿宋" w:eastAsia="仿宋" w:cs="仿宋"/>
                <w:color w:val="auto"/>
                <w:sz w:val="24"/>
                <w:highlight w:val="none"/>
                <w:u w:val="none"/>
              </w:rPr>
              <w:t>打印）</w:t>
            </w:r>
          </w:p>
        </w:tc>
        <w:tc>
          <w:tcPr>
            <w:tcW w:w="432" w:type="dxa"/>
            <w:tcBorders>
              <w:top w:val="single" w:color="auto" w:sz="4" w:space="0"/>
            </w:tcBorders>
            <w:vAlign w:val="center"/>
          </w:tcPr>
          <w:p w14:paraId="28179BA4">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46E86DBB">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5DC688F5">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2.采用国内印钞造币纸厂生产的150克全木浆学位帽水印的证券纸，防伪纸对光可见水印，水印为学位帽水印不含其他元素；</w:t>
            </w:r>
          </w:p>
          <w:p w14:paraId="2480F9AB">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02F6E6B9">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54FDF344">
            <w:pPr>
              <w:pStyle w:val="23"/>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5．按照自治区教育厅学位办备案版式要求印刷，采用三级防伪边框设计及防伪底纹。</w:t>
            </w:r>
          </w:p>
          <w:p w14:paraId="2D6A4A0E">
            <w:pPr>
              <w:pStyle w:val="23"/>
              <w:rPr>
                <w:rFonts w:ascii="仿宋" w:hAnsi="仿宋" w:eastAsia="仿宋" w:cs="仿宋"/>
                <w:color w:val="auto"/>
                <w:sz w:val="24"/>
                <w:szCs w:val="22"/>
                <w:highlight w:val="none"/>
                <w:u w:val="none"/>
              </w:rPr>
            </w:pPr>
            <w:r>
              <w:rPr>
                <w:rFonts w:hint="eastAsia" w:ascii="仿宋" w:hAnsi="仿宋" w:eastAsia="仿宋" w:cs="仿宋"/>
                <w:color w:val="auto"/>
                <w:sz w:val="24"/>
                <w:highlight w:val="none"/>
                <w:u w:val="none"/>
              </w:rPr>
              <w:t>6．</w:t>
            </w:r>
            <w:r>
              <w:rPr>
                <w:rFonts w:hint="eastAsia" w:ascii="仿宋" w:hAnsi="仿宋" w:eastAsia="仿宋" w:cs="仿宋"/>
                <w:color w:val="auto"/>
                <w:sz w:val="24"/>
                <w:szCs w:val="22"/>
                <w:highlight w:val="none"/>
                <w:u w:val="none"/>
              </w:rPr>
              <w:t>提供证书内芯学位信息打印服务，打印内容：姓名、性别、出生日期、校名、专业、学位类别、校长、证书编号、发证日期</w:t>
            </w:r>
            <w:r>
              <w:rPr>
                <w:rFonts w:hint="eastAsia" w:ascii="仿宋" w:hAnsi="仿宋" w:eastAsia="仿宋" w:cs="仿宋"/>
                <w:color w:val="auto"/>
                <w:sz w:val="24"/>
                <w:highlight w:val="none"/>
                <w:u w:val="none"/>
              </w:rPr>
              <w:t>以及</w:t>
            </w:r>
            <w:r>
              <w:rPr>
                <w:rFonts w:hint="eastAsia" w:ascii="仿宋" w:hAnsi="仿宋" w:eastAsia="仿宋" w:cs="仿宋"/>
                <w:color w:val="auto"/>
                <w:sz w:val="24"/>
                <w:szCs w:val="22"/>
                <w:highlight w:val="none"/>
                <w:u w:val="none"/>
              </w:rPr>
              <w:t>1200×2400dpi分辨率彩色照片，印刷字迹清晰，不掉色，不褪色。证书信息内容需签署保密协议。</w:t>
            </w:r>
          </w:p>
          <w:p w14:paraId="61A7B71A">
            <w:pPr>
              <w:pStyle w:val="23"/>
              <w:rPr>
                <w:rFonts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7.左下角边框上印制水印隐形荧光可变序列码（在紫光灯发红光），一张一码，编码方法：专业名称－学号。</w:t>
            </w:r>
          </w:p>
          <w:p w14:paraId="7A284D3D">
            <w:pPr>
              <w:pStyle w:val="23"/>
              <w:rPr>
                <w:rFonts w:hint="eastAsia"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rPr>
              <w:t>8.证书编号采用侧光渐变防伪证书码（在紫光灯发红光）。</w:t>
            </w:r>
          </w:p>
          <w:p w14:paraId="1B171348">
            <w:pPr>
              <w:pStyle w:val="23"/>
              <w:rPr>
                <w:rFonts w:hint="default" w:ascii="仿宋" w:hAnsi="仿宋" w:eastAsia="仿宋" w:cs="仿宋"/>
                <w:color w:val="auto"/>
                <w:sz w:val="24"/>
                <w:highlight w:val="none"/>
                <w:u w:val="none"/>
                <w:lang w:val="en-US" w:eastAsia="zh-CN"/>
              </w:rPr>
            </w:pPr>
            <w:r>
              <w:rPr>
                <w:rFonts w:hint="eastAsia" w:ascii="仿宋" w:hAnsi="仿宋" w:eastAsia="仿宋" w:cs="仿宋"/>
                <w:color w:val="auto"/>
                <w:sz w:val="24"/>
                <w:highlight w:val="none"/>
                <w:u w:val="none"/>
              </w:rPr>
              <w:t>9.照片在紫光灯下发红。</w:t>
            </w:r>
          </w:p>
        </w:tc>
        <w:tc>
          <w:tcPr>
            <w:tcW w:w="540" w:type="dxa"/>
            <w:tcBorders>
              <w:top w:val="single" w:color="auto" w:sz="4" w:space="0"/>
            </w:tcBorders>
            <w:vAlign w:val="center"/>
          </w:tcPr>
          <w:p w14:paraId="0D77649F">
            <w:pPr>
              <w:jc w:val="center"/>
              <w:rPr>
                <w:rFonts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385BF05E">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2655</w:t>
            </w:r>
          </w:p>
        </w:tc>
        <w:tc>
          <w:tcPr>
            <w:tcW w:w="1134" w:type="dxa"/>
            <w:tcBorders>
              <w:top w:val="single" w:color="auto" w:sz="4" w:space="0"/>
            </w:tcBorders>
            <w:vAlign w:val="center"/>
          </w:tcPr>
          <w:p w14:paraId="3A21205D">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w:t>
            </w:r>
          </w:p>
        </w:tc>
        <w:tc>
          <w:tcPr>
            <w:tcW w:w="1134" w:type="dxa"/>
            <w:tcBorders>
              <w:top w:val="single" w:color="auto" w:sz="4" w:space="0"/>
            </w:tcBorders>
            <w:vAlign w:val="center"/>
          </w:tcPr>
          <w:p w14:paraId="23E35DF0">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5310</w:t>
            </w:r>
          </w:p>
        </w:tc>
        <w:tc>
          <w:tcPr>
            <w:tcW w:w="992" w:type="dxa"/>
            <w:tcBorders>
              <w:top w:val="single" w:color="auto" w:sz="4" w:space="0"/>
            </w:tcBorders>
            <w:vAlign w:val="center"/>
          </w:tcPr>
          <w:p w14:paraId="649784F8">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23D5148F">
            <w:pPr>
              <w:jc w:val="center"/>
              <w:rPr>
                <w:rFonts w:ascii="宋体" w:hAnsi="宋体"/>
                <w:color w:val="auto"/>
                <w:sz w:val="18"/>
                <w:szCs w:val="18"/>
                <w:highlight w:val="none"/>
                <w:u w:val="none"/>
              </w:rPr>
            </w:pPr>
            <w:r>
              <w:rPr>
                <w:rFonts w:ascii="宋体" w:hAnsi="宋体" w:eastAsia="宋体" w:cs="宋体"/>
                <w:color w:val="auto"/>
                <w:sz w:val="24"/>
                <w:szCs w:val="24"/>
                <w:highlight w:val="none"/>
                <w:u w:val="none"/>
              </w:rPr>
              <w:drawing>
                <wp:anchor distT="0" distB="0" distL="114300" distR="114300" simplePos="0" relativeHeight="251665408" behindDoc="0" locked="0" layoutInCell="1" allowOverlap="1">
                  <wp:simplePos x="0" y="0"/>
                  <wp:positionH relativeFrom="column">
                    <wp:posOffset>-65405</wp:posOffset>
                  </wp:positionH>
                  <wp:positionV relativeFrom="paragraph">
                    <wp:posOffset>786765</wp:posOffset>
                  </wp:positionV>
                  <wp:extent cx="643890" cy="457200"/>
                  <wp:effectExtent l="0" t="0" r="3810" b="0"/>
                  <wp:wrapNone/>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1"/>
                          <a:stretch>
                            <a:fillRect/>
                          </a:stretch>
                        </pic:blipFill>
                        <pic:spPr>
                          <a:xfrm>
                            <a:off x="0" y="0"/>
                            <a:ext cx="643890" cy="457200"/>
                          </a:xfrm>
                          <a:prstGeom prst="rect">
                            <a:avLst/>
                          </a:prstGeom>
                          <a:noFill/>
                          <a:ln w="9525">
                            <a:noFill/>
                          </a:ln>
                        </pic:spPr>
                      </pic:pic>
                    </a:graphicData>
                  </a:graphic>
                </wp:anchor>
              </w:drawing>
            </w:r>
          </w:p>
        </w:tc>
        <w:tc>
          <w:tcPr>
            <w:tcW w:w="993" w:type="dxa"/>
            <w:tcBorders>
              <w:top w:val="single" w:color="auto" w:sz="4" w:space="0"/>
            </w:tcBorders>
            <w:vAlign w:val="center"/>
          </w:tcPr>
          <w:p w14:paraId="40826C18">
            <w:pPr>
              <w:jc w:val="center"/>
              <w:rPr>
                <w:rFonts w:ascii="宋体" w:hAnsi="宋体"/>
                <w:color w:val="auto"/>
                <w:sz w:val="18"/>
                <w:szCs w:val="18"/>
                <w:highlight w:val="none"/>
                <w:u w:val="none"/>
              </w:rPr>
            </w:pPr>
            <w:r>
              <w:rPr>
                <w:rFonts w:hint="eastAsia" w:ascii="仿宋" w:hAnsi="仿宋" w:eastAsia="仿宋" w:cs="仿宋"/>
                <w:b w:val="0"/>
                <w:bCs w:val="0"/>
                <w:color w:val="auto"/>
                <w:sz w:val="24"/>
                <w:highlight w:val="none"/>
                <w:u w:val="none"/>
                <w:lang w:val="en-US" w:eastAsia="zh-CN"/>
              </w:rPr>
              <w:t>国际教育学院33名学生印制英文版</w:t>
            </w:r>
          </w:p>
        </w:tc>
      </w:tr>
      <w:tr w14:paraId="5542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64E578B9">
            <w:pPr>
              <w:jc w:val="center"/>
              <w:rPr>
                <w:rFonts w:ascii="宋体" w:hAnsi="宋体"/>
                <w:color w:val="auto"/>
                <w:sz w:val="18"/>
                <w:szCs w:val="18"/>
                <w:highlight w:val="none"/>
                <w:u w:val="none"/>
              </w:rPr>
            </w:pPr>
            <w:r>
              <w:rPr>
                <w:rFonts w:hint="eastAsia" w:ascii="宋体" w:hAnsi="宋体"/>
                <w:color w:val="auto"/>
                <w:sz w:val="18"/>
                <w:szCs w:val="18"/>
                <w:highlight w:val="none"/>
                <w:u w:val="none"/>
              </w:rPr>
              <w:t>5</w:t>
            </w:r>
          </w:p>
        </w:tc>
        <w:tc>
          <w:tcPr>
            <w:tcW w:w="1415" w:type="dxa"/>
            <w:gridSpan w:val="2"/>
            <w:tcBorders>
              <w:top w:val="single" w:color="auto" w:sz="4" w:space="0"/>
            </w:tcBorders>
            <w:vAlign w:val="center"/>
          </w:tcPr>
          <w:p w14:paraId="525540C6">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学位证明书内芯（空白）</w:t>
            </w:r>
          </w:p>
        </w:tc>
        <w:tc>
          <w:tcPr>
            <w:tcW w:w="432" w:type="dxa"/>
            <w:tcBorders>
              <w:top w:val="single" w:color="auto" w:sz="4" w:space="0"/>
            </w:tcBorders>
            <w:vAlign w:val="center"/>
          </w:tcPr>
          <w:p w14:paraId="2BA2D787">
            <w:pPr>
              <w:jc w:val="center"/>
              <w:rPr>
                <w:rFonts w:ascii="仿宋" w:hAnsi="仿宋" w:eastAsia="仿宋" w:cs="仿宋"/>
                <w:color w:val="auto"/>
                <w:sz w:val="18"/>
                <w:szCs w:val="18"/>
                <w:highlight w:val="none"/>
                <w:u w:val="none"/>
              </w:rPr>
            </w:pPr>
          </w:p>
        </w:tc>
        <w:tc>
          <w:tcPr>
            <w:tcW w:w="6412" w:type="dxa"/>
            <w:tcBorders>
              <w:top w:val="single" w:color="auto" w:sz="4" w:space="0"/>
            </w:tcBorders>
            <w:shd w:val="clear" w:color="auto" w:fill="auto"/>
            <w:vAlign w:val="center"/>
          </w:tcPr>
          <w:p w14:paraId="2A53C762">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6B14C707">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2.采用国内印钞造币纸厂生产的150克全木浆学位帽水印的证券纸，防伪纸对光可见水印，水印为学位帽水印不含其他元素；</w:t>
            </w:r>
          </w:p>
          <w:p w14:paraId="17243BE0">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6419BC3E">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42CF4DA3">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5．按照自治区教育厅学位办备案版式要求印刷，采用三级防伪边框设计及防伪底纹。</w:t>
            </w:r>
          </w:p>
        </w:tc>
        <w:tc>
          <w:tcPr>
            <w:tcW w:w="540" w:type="dxa"/>
            <w:tcBorders>
              <w:top w:val="single" w:color="auto" w:sz="4" w:space="0"/>
            </w:tcBorders>
            <w:vAlign w:val="center"/>
          </w:tcPr>
          <w:p w14:paraId="25E24081">
            <w:pPr>
              <w:jc w:val="center"/>
              <w:rPr>
                <w:rFonts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73D169FB">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200</w:t>
            </w:r>
          </w:p>
        </w:tc>
        <w:tc>
          <w:tcPr>
            <w:tcW w:w="1134" w:type="dxa"/>
            <w:tcBorders>
              <w:top w:val="single" w:color="auto" w:sz="4" w:space="0"/>
            </w:tcBorders>
            <w:vAlign w:val="center"/>
          </w:tcPr>
          <w:p w14:paraId="43DBA936">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1.5</w:t>
            </w:r>
          </w:p>
        </w:tc>
        <w:tc>
          <w:tcPr>
            <w:tcW w:w="1134" w:type="dxa"/>
            <w:tcBorders>
              <w:top w:val="single" w:color="auto" w:sz="4" w:space="0"/>
            </w:tcBorders>
            <w:vAlign w:val="center"/>
          </w:tcPr>
          <w:p w14:paraId="5CF74D2A">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300</w:t>
            </w:r>
          </w:p>
        </w:tc>
        <w:tc>
          <w:tcPr>
            <w:tcW w:w="992" w:type="dxa"/>
            <w:tcBorders>
              <w:top w:val="single" w:color="auto" w:sz="4" w:space="0"/>
            </w:tcBorders>
            <w:vAlign w:val="center"/>
          </w:tcPr>
          <w:p w14:paraId="16582837">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4F0B854B">
            <w:pPr>
              <w:jc w:val="center"/>
              <w:rPr>
                <w:rFonts w:ascii="宋体" w:hAnsi="宋体"/>
                <w:color w:val="auto"/>
                <w:sz w:val="18"/>
                <w:szCs w:val="18"/>
                <w:highlight w:val="none"/>
                <w:u w:val="none"/>
              </w:rPr>
            </w:pPr>
          </w:p>
        </w:tc>
        <w:tc>
          <w:tcPr>
            <w:tcW w:w="993" w:type="dxa"/>
            <w:tcBorders>
              <w:top w:val="single" w:color="auto" w:sz="4" w:space="0"/>
            </w:tcBorders>
            <w:vAlign w:val="center"/>
          </w:tcPr>
          <w:p w14:paraId="08057ABF">
            <w:pPr>
              <w:jc w:val="center"/>
              <w:rPr>
                <w:rFonts w:ascii="宋体" w:hAnsi="宋体"/>
                <w:color w:val="auto"/>
                <w:sz w:val="18"/>
                <w:szCs w:val="18"/>
                <w:highlight w:val="none"/>
                <w:u w:val="none"/>
              </w:rPr>
            </w:pPr>
          </w:p>
        </w:tc>
      </w:tr>
      <w:tr w14:paraId="4020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78D282EB">
            <w:pPr>
              <w:jc w:val="center"/>
              <w:rPr>
                <w:rFonts w:ascii="宋体" w:hAnsi="宋体"/>
                <w:color w:val="auto"/>
                <w:sz w:val="18"/>
                <w:szCs w:val="18"/>
                <w:highlight w:val="none"/>
                <w:u w:val="none"/>
              </w:rPr>
            </w:pPr>
            <w:r>
              <w:rPr>
                <w:rFonts w:hint="eastAsia" w:ascii="宋体" w:hAnsi="宋体"/>
                <w:color w:val="auto"/>
                <w:sz w:val="18"/>
                <w:szCs w:val="18"/>
                <w:highlight w:val="none"/>
                <w:u w:val="none"/>
              </w:rPr>
              <w:t>6</w:t>
            </w:r>
          </w:p>
        </w:tc>
        <w:tc>
          <w:tcPr>
            <w:tcW w:w="1415" w:type="dxa"/>
            <w:gridSpan w:val="2"/>
            <w:tcBorders>
              <w:top w:val="single" w:color="auto" w:sz="4" w:space="0"/>
            </w:tcBorders>
            <w:vAlign w:val="center"/>
          </w:tcPr>
          <w:p w14:paraId="3EF57685">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毕业证明书内芯（空白）</w:t>
            </w:r>
          </w:p>
        </w:tc>
        <w:tc>
          <w:tcPr>
            <w:tcW w:w="432" w:type="dxa"/>
            <w:tcBorders>
              <w:top w:val="single" w:color="auto" w:sz="4" w:space="0"/>
            </w:tcBorders>
            <w:vAlign w:val="center"/>
          </w:tcPr>
          <w:p w14:paraId="69D09D9D">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6B1F6F15">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2FF5588A">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2.采用国内印钞造币纸厂生产的150克全木浆学历证书专用水印的证券纸，防伪纸对光可见水印，水印为学历证书书本水印不含其他元素；</w:t>
            </w:r>
          </w:p>
          <w:p w14:paraId="72526CCA">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5F24663C">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1272F85F">
            <w:pPr>
              <w:ind w:right="-2"/>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5. 按照自治区教育厅备案版式要求印刷，采用三级防伪边框设计及防伪底纹。</w:t>
            </w:r>
          </w:p>
          <w:p w14:paraId="033B6CF3">
            <w:pPr>
              <w:ind w:right="-2"/>
              <w:jc w:val="left"/>
              <w:rPr>
                <w:rStyle w:val="24"/>
                <w:rFonts w:hint="default" w:ascii="仿宋" w:hAnsi="仿宋" w:eastAsia="仿宋" w:cs="仿宋"/>
                <w:color w:val="auto"/>
                <w:sz w:val="24"/>
                <w:szCs w:val="24"/>
                <w:highlight w:val="none"/>
                <w:u w:val="none"/>
                <w:lang w:bidi="ar"/>
              </w:rPr>
            </w:pPr>
          </w:p>
        </w:tc>
        <w:tc>
          <w:tcPr>
            <w:tcW w:w="540" w:type="dxa"/>
            <w:tcBorders>
              <w:top w:val="single" w:color="auto" w:sz="4" w:space="0"/>
            </w:tcBorders>
            <w:vAlign w:val="center"/>
          </w:tcPr>
          <w:p w14:paraId="19CF62BF">
            <w:pPr>
              <w:jc w:val="center"/>
              <w:rPr>
                <w:rFonts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440C0345">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200</w:t>
            </w:r>
          </w:p>
        </w:tc>
        <w:tc>
          <w:tcPr>
            <w:tcW w:w="1134" w:type="dxa"/>
            <w:tcBorders>
              <w:top w:val="single" w:color="auto" w:sz="4" w:space="0"/>
            </w:tcBorders>
            <w:vAlign w:val="center"/>
          </w:tcPr>
          <w:p w14:paraId="1BE63C4B">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1.5</w:t>
            </w:r>
          </w:p>
        </w:tc>
        <w:tc>
          <w:tcPr>
            <w:tcW w:w="1134" w:type="dxa"/>
            <w:tcBorders>
              <w:top w:val="single" w:color="auto" w:sz="4" w:space="0"/>
            </w:tcBorders>
            <w:vAlign w:val="center"/>
          </w:tcPr>
          <w:p w14:paraId="6AA3D4FF">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300</w:t>
            </w:r>
          </w:p>
        </w:tc>
        <w:tc>
          <w:tcPr>
            <w:tcW w:w="992" w:type="dxa"/>
            <w:tcBorders>
              <w:top w:val="single" w:color="auto" w:sz="4" w:space="0"/>
            </w:tcBorders>
            <w:vAlign w:val="center"/>
          </w:tcPr>
          <w:p w14:paraId="2A2F2CFB">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6EDD53B3">
            <w:pPr>
              <w:jc w:val="center"/>
              <w:rPr>
                <w:rFonts w:ascii="宋体" w:hAnsi="宋体"/>
                <w:color w:val="auto"/>
                <w:sz w:val="18"/>
                <w:szCs w:val="18"/>
                <w:highlight w:val="none"/>
                <w:u w:val="none"/>
              </w:rPr>
            </w:pPr>
          </w:p>
        </w:tc>
        <w:tc>
          <w:tcPr>
            <w:tcW w:w="993" w:type="dxa"/>
            <w:tcBorders>
              <w:top w:val="single" w:color="auto" w:sz="4" w:space="0"/>
            </w:tcBorders>
            <w:vAlign w:val="center"/>
          </w:tcPr>
          <w:p w14:paraId="3BE0F4E9">
            <w:pPr>
              <w:jc w:val="center"/>
              <w:rPr>
                <w:rFonts w:ascii="宋体" w:hAnsi="宋体"/>
                <w:color w:val="auto"/>
                <w:sz w:val="18"/>
                <w:szCs w:val="18"/>
                <w:highlight w:val="none"/>
                <w:u w:val="none"/>
              </w:rPr>
            </w:pPr>
          </w:p>
        </w:tc>
      </w:tr>
      <w:tr w14:paraId="6778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35B435F6">
            <w:pPr>
              <w:jc w:val="center"/>
              <w:rPr>
                <w:rFonts w:ascii="宋体" w:hAnsi="宋体"/>
                <w:color w:val="auto"/>
                <w:sz w:val="18"/>
                <w:szCs w:val="18"/>
                <w:highlight w:val="none"/>
                <w:u w:val="none"/>
              </w:rPr>
            </w:pPr>
            <w:r>
              <w:rPr>
                <w:rFonts w:hint="eastAsia" w:ascii="宋体" w:hAnsi="宋体"/>
                <w:color w:val="auto"/>
                <w:sz w:val="18"/>
                <w:szCs w:val="18"/>
                <w:highlight w:val="none"/>
                <w:u w:val="none"/>
              </w:rPr>
              <w:t>7</w:t>
            </w:r>
          </w:p>
        </w:tc>
        <w:tc>
          <w:tcPr>
            <w:tcW w:w="1415" w:type="dxa"/>
            <w:gridSpan w:val="2"/>
            <w:tcBorders>
              <w:top w:val="single" w:color="auto" w:sz="4" w:space="0"/>
            </w:tcBorders>
            <w:vAlign w:val="center"/>
          </w:tcPr>
          <w:p w14:paraId="0DE99B38">
            <w:pPr>
              <w:jc w:val="center"/>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结业证</w:t>
            </w:r>
          </w:p>
          <w:p w14:paraId="5D86F85B">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内芯</w:t>
            </w:r>
          </w:p>
        </w:tc>
        <w:tc>
          <w:tcPr>
            <w:tcW w:w="432" w:type="dxa"/>
            <w:tcBorders>
              <w:top w:val="single" w:color="auto" w:sz="4" w:space="0"/>
            </w:tcBorders>
            <w:vAlign w:val="center"/>
          </w:tcPr>
          <w:p w14:paraId="1DF29AAB">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5FAF0F8E">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59F49985">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2.采用国内印钞造币纸厂生产的150克全木浆学历证书专用水印的证券纸，防伪纸对光可见水印，水印为学历证书书本水印不含其他元素；</w:t>
            </w:r>
          </w:p>
          <w:p w14:paraId="17B2627A">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3178B006">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7E059784">
            <w:pPr>
              <w:ind w:right="-2"/>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5. 按照自治区教育厅备案版式要求印刷，采用三级防伪边框设计及防伪底纹。</w:t>
            </w:r>
          </w:p>
          <w:p w14:paraId="7F246344">
            <w:pPr>
              <w:ind w:right="-2"/>
              <w:jc w:val="left"/>
              <w:rPr>
                <w:rStyle w:val="24"/>
                <w:rFonts w:hint="default" w:ascii="仿宋" w:hAnsi="仿宋" w:eastAsia="仿宋" w:cs="仿宋"/>
                <w:color w:val="auto"/>
                <w:sz w:val="24"/>
                <w:szCs w:val="24"/>
                <w:highlight w:val="none"/>
                <w:u w:val="none"/>
                <w:lang w:bidi="ar"/>
              </w:rPr>
            </w:pPr>
          </w:p>
        </w:tc>
        <w:tc>
          <w:tcPr>
            <w:tcW w:w="540" w:type="dxa"/>
            <w:tcBorders>
              <w:top w:val="single" w:color="auto" w:sz="4" w:space="0"/>
            </w:tcBorders>
            <w:vAlign w:val="center"/>
          </w:tcPr>
          <w:p w14:paraId="32011D0B">
            <w:pPr>
              <w:jc w:val="center"/>
              <w:rPr>
                <w:rFonts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6FC3F3B4">
            <w:pPr>
              <w:jc w:val="center"/>
              <w:rPr>
                <w:rFonts w:ascii="宋体" w:hAnsi="宋体"/>
                <w:color w:val="auto"/>
                <w:sz w:val="18"/>
                <w:szCs w:val="18"/>
                <w:highlight w:val="none"/>
                <w:u w:val="none"/>
              </w:rPr>
            </w:pPr>
            <w:r>
              <w:rPr>
                <w:rFonts w:hint="eastAsia" w:ascii="宋体" w:hAnsi="宋体"/>
                <w:color w:val="auto"/>
                <w:sz w:val="18"/>
                <w:szCs w:val="18"/>
                <w:highlight w:val="none"/>
                <w:u w:val="none"/>
              </w:rPr>
              <w:t>400</w:t>
            </w:r>
          </w:p>
        </w:tc>
        <w:tc>
          <w:tcPr>
            <w:tcW w:w="1134" w:type="dxa"/>
            <w:tcBorders>
              <w:top w:val="single" w:color="auto" w:sz="4" w:space="0"/>
            </w:tcBorders>
            <w:vAlign w:val="center"/>
          </w:tcPr>
          <w:p w14:paraId="4B692FE2">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1.5</w:t>
            </w:r>
          </w:p>
        </w:tc>
        <w:tc>
          <w:tcPr>
            <w:tcW w:w="1134" w:type="dxa"/>
            <w:tcBorders>
              <w:top w:val="single" w:color="auto" w:sz="4" w:space="0"/>
            </w:tcBorders>
            <w:vAlign w:val="center"/>
          </w:tcPr>
          <w:p w14:paraId="1D5ED5BC">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600</w:t>
            </w:r>
          </w:p>
        </w:tc>
        <w:tc>
          <w:tcPr>
            <w:tcW w:w="992" w:type="dxa"/>
            <w:tcBorders>
              <w:top w:val="single" w:color="auto" w:sz="4" w:space="0"/>
            </w:tcBorders>
            <w:vAlign w:val="center"/>
          </w:tcPr>
          <w:p w14:paraId="5A3A3E99">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0780615B">
            <w:pPr>
              <w:jc w:val="center"/>
              <w:rPr>
                <w:rFonts w:ascii="宋体" w:hAnsi="宋体"/>
                <w:color w:val="auto"/>
                <w:sz w:val="18"/>
                <w:szCs w:val="18"/>
                <w:highlight w:val="none"/>
                <w:u w:val="none"/>
              </w:rPr>
            </w:pPr>
          </w:p>
        </w:tc>
        <w:tc>
          <w:tcPr>
            <w:tcW w:w="993" w:type="dxa"/>
            <w:tcBorders>
              <w:top w:val="single" w:color="auto" w:sz="4" w:space="0"/>
            </w:tcBorders>
            <w:vAlign w:val="center"/>
          </w:tcPr>
          <w:p w14:paraId="63239781">
            <w:pPr>
              <w:jc w:val="center"/>
              <w:rPr>
                <w:rFonts w:ascii="宋体" w:hAnsi="宋体"/>
                <w:color w:val="auto"/>
                <w:sz w:val="18"/>
                <w:szCs w:val="18"/>
                <w:highlight w:val="none"/>
                <w:u w:val="none"/>
              </w:rPr>
            </w:pPr>
          </w:p>
        </w:tc>
      </w:tr>
      <w:tr w14:paraId="1B35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94" w:type="dxa"/>
            <w:tcBorders>
              <w:top w:val="single" w:color="auto" w:sz="4" w:space="0"/>
            </w:tcBorders>
            <w:vAlign w:val="center"/>
          </w:tcPr>
          <w:p w14:paraId="057A74A6">
            <w:pPr>
              <w:jc w:val="center"/>
              <w:rPr>
                <w:rFonts w:ascii="宋体" w:hAnsi="宋体"/>
                <w:color w:val="auto"/>
                <w:sz w:val="18"/>
                <w:szCs w:val="18"/>
                <w:highlight w:val="none"/>
                <w:u w:val="none"/>
              </w:rPr>
            </w:pPr>
            <w:r>
              <w:rPr>
                <w:rFonts w:hint="eastAsia" w:ascii="宋体" w:hAnsi="宋体"/>
                <w:color w:val="auto"/>
                <w:sz w:val="18"/>
                <w:szCs w:val="18"/>
                <w:highlight w:val="none"/>
                <w:u w:val="none"/>
              </w:rPr>
              <w:t>8</w:t>
            </w:r>
          </w:p>
        </w:tc>
        <w:tc>
          <w:tcPr>
            <w:tcW w:w="1415" w:type="dxa"/>
            <w:gridSpan w:val="2"/>
            <w:tcBorders>
              <w:top w:val="single" w:color="auto" w:sz="4" w:space="0"/>
            </w:tcBorders>
            <w:vAlign w:val="center"/>
          </w:tcPr>
          <w:p w14:paraId="45D9C006">
            <w:pPr>
              <w:jc w:val="center"/>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空白证书内芯</w:t>
            </w:r>
          </w:p>
        </w:tc>
        <w:tc>
          <w:tcPr>
            <w:tcW w:w="432" w:type="dxa"/>
            <w:tcBorders>
              <w:top w:val="single" w:color="auto" w:sz="4" w:space="0"/>
            </w:tcBorders>
            <w:vAlign w:val="center"/>
          </w:tcPr>
          <w:p w14:paraId="4DA8771A">
            <w:pPr>
              <w:jc w:val="center"/>
              <w:rPr>
                <w:rFonts w:ascii="仿宋" w:hAnsi="仿宋" w:eastAsia="仿宋" w:cs="仿宋"/>
                <w:color w:val="auto"/>
                <w:sz w:val="18"/>
                <w:szCs w:val="18"/>
                <w:highlight w:val="none"/>
                <w:u w:val="none"/>
              </w:rPr>
            </w:pPr>
          </w:p>
        </w:tc>
        <w:tc>
          <w:tcPr>
            <w:tcW w:w="6412" w:type="dxa"/>
            <w:tcBorders>
              <w:top w:val="single" w:color="auto" w:sz="4" w:space="0"/>
            </w:tcBorders>
            <w:vAlign w:val="center"/>
          </w:tcPr>
          <w:p w14:paraId="37928BC7">
            <w:pPr>
              <w:pStyle w:val="23"/>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1.规格：297mm*210mm。</w:t>
            </w:r>
          </w:p>
          <w:p w14:paraId="0C092FA2">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2.采用国内印钞造币纸厂生产的150克全木浆学历证书专用水印的证券纸，防伪纸对光可见水印，水印为学历证书书本水印不含其他元素；</w:t>
            </w:r>
          </w:p>
          <w:p w14:paraId="57750143">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3.纸张无添加荧光增白剂及其他有害化学品；</w:t>
            </w:r>
          </w:p>
          <w:p w14:paraId="3EBE5602">
            <w:pPr>
              <w:ind w:right="-2"/>
              <w:jc w:val="left"/>
              <w:rPr>
                <w:rFonts w:ascii="仿宋" w:hAnsi="仿宋" w:eastAsia="仿宋" w:cs="仿宋"/>
                <w:color w:val="auto"/>
                <w:sz w:val="24"/>
                <w:highlight w:val="none"/>
                <w:u w:val="none"/>
              </w:rPr>
            </w:pPr>
            <w:r>
              <w:rPr>
                <w:rFonts w:hint="eastAsia" w:ascii="仿宋" w:hAnsi="仿宋" w:eastAsia="仿宋" w:cs="仿宋"/>
                <w:color w:val="auto"/>
                <w:sz w:val="24"/>
                <w:highlight w:val="none"/>
                <w:u w:val="none"/>
              </w:rPr>
              <w:t>4.加湿强剂（在水中浸泡20小时以上干后还原），不影响盖章签字，符合激光打印要求。纸浆中加入无色防伪荧光（蓝+红）纤维丝，1dm2不少于3条，纤维丝用针尖可以挑出；</w:t>
            </w:r>
          </w:p>
          <w:p w14:paraId="26F66F6F">
            <w:pPr>
              <w:ind w:right="-2"/>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5. 按照自治区教育厅备案版式要求印刷，采用三级防伪边框设计及防伪底纹。</w:t>
            </w:r>
          </w:p>
          <w:p w14:paraId="52EE00E1">
            <w:pPr>
              <w:ind w:right="-2"/>
              <w:jc w:val="left"/>
              <w:rPr>
                <w:rStyle w:val="24"/>
                <w:rFonts w:hint="default" w:ascii="仿宋" w:hAnsi="仿宋" w:eastAsia="仿宋" w:cs="仿宋"/>
                <w:color w:val="auto"/>
                <w:sz w:val="24"/>
                <w:szCs w:val="24"/>
                <w:highlight w:val="none"/>
                <w:u w:val="none"/>
                <w:lang w:bidi="ar"/>
              </w:rPr>
            </w:pPr>
          </w:p>
        </w:tc>
        <w:tc>
          <w:tcPr>
            <w:tcW w:w="540" w:type="dxa"/>
            <w:tcBorders>
              <w:top w:val="single" w:color="auto" w:sz="4" w:space="0"/>
            </w:tcBorders>
            <w:vAlign w:val="center"/>
          </w:tcPr>
          <w:p w14:paraId="0FA488D0">
            <w:pPr>
              <w:jc w:val="center"/>
              <w:rPr>
                <w:rFonts w:ascii="宋体" w:hAnsi="宋体"/>
                <w:color w:val="auto"/>
                <w:sz w:val="18"/>
                <w:szCs w:val="18"/>
                <w:highlight w:val="none"/>
                <w:u w:val="none"/>
              </w:rPr>
            </w:pPr>
            <w:r>
              <w:rPr>
                <w:rFonts w:hint="eastAsia" w:ascii="宋体" w:hAnsi="宋体"/>
                <w:color w:val="auto"/>
                <w:sz w:val="18"/>
                <w:szCs w:val="18"/>
                <w:highlight w:val="none"/>
                <w:u w:val="none"/>
              </w:rPr>
              <w:t>张</w:t>
            </w:r>
          </w:p>
        </w:tc>
        <w:tc>
          <w:tcPr>
            <w:tcW w:w="838" w:type="dxa"/>
            <w:tcBorders>
              <w:top w:val="single" w:color="auto" w:sz="4" w:space="0"/>
            </w:tcBorders>
            <w:vAlign w:val="center"/>
          </w:tcPr>
          <w:p w14:paraId="36215B92">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600</w:t>
            </w:r>
          </w:p>
        </w:tc>
        <w:tc>
          <w:tcPr>
            <w:tcW w:w="1134" w:type="dxa"/>
            <w:tcBorders>
              <w:top w:val="single" w:color="auto" w:sz="4" w:space="0"/>
            </w:tcBorders>
            <w:vAlign w:val="center"/>
          </w:tcPr>
          <w:p w14:paraId="38C2B8DF">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1.5</w:t>
            </w:r>
          </w:p>
        </w:tc>
        <w:tc>
          <w:tcPr>
            <w:tcW w:w="1134" w:type="dxa"/>
            <w:tcBorders>
              <w:top w:val="single" w:color="auto" w:sz="4" w:space="0"/>
            </w:tcBorders>
            <w:vAlign w:val="center"/>
          </w:tcPr>
          <w:p w14:paraId="213B0BC5">
            <w:pPr>
              <w:jc w:val="cente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900</w:t>
            </w:r>
          </w:p>
        </w:tc>
        <w:tc>
          <w:tcPr>
            <w:tcW w:w="992" w:type="dxa"/>
            <w:tcBorders>
              <w:top w:val="single" w:color="auto" w:sz="4" w:space="0"/>
            </w:tcBorders>
            <w:vAlign w:val="center"/>
          </w:tcPr>
          <w:p w14:paraId="713F465A">
            <w:pPr>
              <w:jc w:val="center"/>
              <w:rPr>
                <w:rFonts w:hint="eastAsia"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否</w:t>
            </w:r>
          </w:p>
        </w:tc>
        <w:tc>
          <w:tcPr>
            <w:tcW w:w="992" w:type="dxa"/>
            <w:tcBorders>
              <w:top w:val="single" w:color="auto" w:sz="4" w:space="0"/>
            </w:tcBorders>
            <w:vAlign w:val="center"/>
          </w:tcPr>
          <w:p w14:paraId="237AD6F8">
            <w:pPr>
              <w:jc w:val="center"/>
              <w:rPr>
                <w:rFonts w:ascii="宋体" w:hAnsi="宋体"/>
                <w:color w:val="auto"/>
                <w:sz w:val="18"/>
                <w:szCs w:val="18"/>
                <w:highlight w:val="none"/>
                <w:u w:val="none"/>
              </w:rPr>
            </w:pPr>
          </w:p>
        </w:tc>
        <w:tc>
          <w:tcPr>
            <w:tcW w:w="993" w:type="dxa"/>
            <w:tcBorders>
              <w:top w:val="single" w:color="auto" w:sz="4" w:space="0"/>
            </w:tcBorders>
            <w:vAlign w:val="center"/>
          </w:tcPr>
          <w:p w14:paraId="3A95ADB4">
            <w:pPr>
              <w:jc w:val="center"/>
              <w:rPr>
                <w:rFonts w:ascii="宋体" w:hAnsi="宋体"/>
                <w:color w:val="auto"/>
                <w:sz w:val="18"/>
                <w:szCs w:val="18"/>
                <w:highlight w:val="none"/>
                <w:u w:val="none"/>
              </w:rPr>
            </w:pPr>
          </w:p>
        </w:tc>
      </w:tr>
      <w:tr w14:paraId="7309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5" w:type="dxa"/>
            <w:gridSpan w:val="8"/>
            <w:noWrap/>
          </w:tcPr>
          <w:p w14:paraId="73A4960B">
            <w:pPr>
              <w:rPr>
                <w:rFonts w:ascii="宋体" w:hAnsi="宋体"/>
                <w:color w:val="auto"/>
                <w:sz w:val="18"/>
                <w:szCs w:val="18"/>
                <w:highlight w:val="none"/>
                <w:u w:val="none"/>
              </w:rPr>
            </w:pPr>
            <w:r>
              <w:rPr>
                <w:rFonts w:hint="eastAsia" w:ascii="宋体" w:hAnsi="宋体"/>
                <w:color w:val="auto"/>
                <w:sz w:val="18"/>
                <w:szCs w:val="18"/>
                <w:highlight w:val="none"/>
                <w:u w:val="none"/>
              </w:rPr>
              <w:t>合计金额</w:t>
            </w:r>
          </w:p>
        </w:tc>
        <w:tc>
          <w:tcPr>
            <w:tcW w:w="1134" w:type="dxa"/>
            <w:noWrap/>
          </w:tcPr>
          <w:p w14:paraId="0C1D2686">
            <w:pPr>
              <w:rPr>
                <w:rFonts w:hint="default" w:ascii="宋体" w:hAnsi="宋体" w:eastAsia="宋体"/>
                <w:color w:val="auto"/>
                <w:sz w:val="18"/>
                <w:szCs w:val="18"/>
                <w:highlight w:val="none"/>
                <w:u w:val="none"/>
                <w:lang w:val="en-US" w:eastAsia="zh-CN"/>
              </w:rPr>
            </w:pPr>
            <w:r>
              <w:rPr>
                <w:rFonts w:hint="eastAsia" w:ascii="宋体" w:hAnsi="宋体"/>
                <w:color w:val="auto"/>
                <w:sz w:val="18"/>
                <w:szCs w:val="18"/>
                <w:highlight w:val="none"/>
                <w:u w:val="none"/>
                <w:lang w:val="en-US" w:eastAsia="zh-CN"/>
              </w:rPr>
              <w:t>44042.5</w:t>
            </w:r>
          </w:p>
        </w:tc>
        <w:tc>
          <w:tcPr>
            <w:tcW w:w="992" w:type="dxa"/>
            <w:noWrap/>
          </w:tcPr>
          <w:p w14:paraId="555BA630">
            <w:pPr>
              <w:rPr>
                <w:rFonts w:ascii="宋体" w:hAnsi="宋体"/>
                <w:color w:val="auto"/>
                <w:sz w:val="18"/>
                <w:szCs w:val="18"/>
                <w:highlight w:val="none"/>
                <w:u w:val="none"/>
              </w:rPr>
            </w:pPr>
            <w:r>
              <w:rPr>
                <w:rFonts w:hint="eastAsia" w:ascii="宋体" w:hAnsi="宋体"/>
                <w:color w:val="auto"/>
                <w:sz w:val="18"/>
                <w:szCs w:val="18"/>
                <w:highlight w:val="none"/>
                <w:u w:val="none"/>
              </w:rPr>
              <w:t>　</w:t>
            </w:r>
          </w:p>
        </w:tc>
        <w:tc>
          <w:tcPr>
            <w:tcW w:w="992" w:type="dxa"/>
          </w:tcPr>
          <w:p w14:paraId="38037287">
            <w:pPr>
              <w:rPr>
                <w:rFonts w:ascii="宋体" w:hAnsi="宋体"/>
                <w:color w:val="auto"/>
                <w:sz w:val="18"/>
                <w:szCs w:val="18"/>
                <w:highlight w:val="none"/>
                <w:u w:val="none"/>
              </w:rPr>
            </w:pPr>
          </w:p>
        </w:tc>
        <w:tc>
          <w:tcPr>
            <w:tcW w:w="993" w:type="dxa"/>
            <w:noWrap/>
          </w:tcPr>
          <w:p w14:paraId="774D7EE1">
            <w:pPr>
              <w:rPr>
                <w:rFonts w:ascii="宋体" w:hAnsi="宋体"/>
                <w:color w:val="auto"/>
                <w:sz w:val="18"/>
                <w:szCs w:val="18"/>
                <w:highlight w:val="none"/>
                <w:u w:val="none"/>
              </w:rPr>
            </w:pPr>
          </w:p>
        </w:tc>
      </w:tr>
    </w:tbl>
    <w:p w14:paraId="4CF80652">
      <w:pPr>
        <w:rPr>
          <w:rFonts w:ascii="宋体" w:hAnsi="宋体"/>
          <w:szCs w:val="21"/>
        </w:rPr>
      </w:pPr>
    </w:p>
    <w:tbl>
      <w:tblPr>
        <w:tblStyle w:val="9"/>
        <w:tblpPr w:leftFromText="180" w:rightFromText="180" w:vertAnchor="text" w:horzAnchor="margin" w:tblpXSpec="center" w:tblpY="4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370"/>
        <w:gridCol w:w="11656"/>
      </w:tblGrid>
      <w:tr w14:paraId="77F4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7" w:type="dxa"/>
            <w:gridSpan w:val="3"/>
            <w:shd w:val="clear" w:color="auto" w:fill="auto"/>
            <w:vAlign w:val="center"/>
          </w:tcPr>
          <w:p w14:paraId="0B7739E3">
            <w:pPr>
              <w:jc w:val="center"/>
              <w:rPr>
                <w:rFonts w:ascii="仿宋" w:hAnsi="仿宋" w:eastAsia="仿宋" w:cs="仿宋"/>
                <w:b/>
                <w:sz w:val="24"/>
                <w:szCs w:val="24"/>
              </w:rPr>
            </w:pPr>
            <w:r>
              <w:rPr>
                <w:rFonts w:hint="eastAsia" w:ascii="仿宋" w:hAnsi="仿宋" w:eastAsia="仿宋" w:cs="仿宋"/>
                <w:sz w:val="24"/>
                <w:szCs w:val="24"/>
              </w:rPr>
              <w:t>★</w:t>
            </w:r>
            <w:r>
              <w:rPr>
                <w:rFonts w:hint="eastAsia" w:ascii="仿宋" w:hAnsi="仿宋" w:eastAsia="仿宋" w:cs="仿宋"/>
                <w:b/>
                <w:sz w:val="24"/>
                <w:szCs w:val="24"/>
              </w:rPr>
              <w:t>商务条款</w:t>
            </w:r>
          </w:p>
        </w:tc>
      </w:tr>
      <w:tr w14:paraId="11A9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78181ECE">
            <w:pPr>
              <w:jc w:val="center"/>
              <w:rPr>
                <w:rFonts w:ascii="仿宋" w:hAnsi="仿宋" w:eastAsia="仿宋" w:cs="仿宋"/>
                <w:sz w:val="24"/>
                <w:szCs w:val="24"/>
              </w:rPr>
            </w:pPr>
            <w:r>
              <w:rPr>
                <w:rFonts w:hint="eastAsia" w:ascii="仿宋" w:hAnsi="仿宋" w:eastAsia="仿宋" w:cs="仿宋"/>
                <w:sz w:val="24"/>
                <w:szCs w:val="24"/>
              </w:rPr>
              <w:t>1</w:t>
            </w:r>
          </w:p>
        </w:tc>
        <w:tc>
          <w:tcPr>
            <w:tcW w:w="2370" w:type="dxa"/>
            <w:shd w:val="clear" w:color="auto" w:fill="auto"/>
            <w:vAlign w:val="center"/>
          </w:tcPr>
          <w:p w14:paraId="5062B899">
            <w:pPr>
              <w:jc w:val="center"/>
              <w:rPr>
                <w:rFonts w:ascii="仿宋" w:hAnsi="仿宋" w:eastAsia="仿宋" w:cs="仿宋"/>
                <w:sz w:val="24"/>
                <w:szCs w:val="24"/>
              </w:rPr>
            </w:pPr>
            <w:r>
              <w:rPr>
                <w:rFonts w:hint="eastAsia" w:ascii="仿宋" w:hAnsi="仿宋" w:eastAsia="仿宋" w:cs="仿宋"/>
                <w:sz w:val="24"/>
                <w:szCs w:val="24"/>
              </w:rPr>
              <w:t>报价要求</w:t>
            </w:r>
          </w:p>
        </w:tc>
        <w:tc>
          <w:tcPr>
            <w:tcW w:w="11656" w:type="dxa"/>
            <w:shd w:val="clear" w:color="auto" w:fill="auto"/>
          </w:tcPr>
          <w:p w14:paraId="7650B7D8">
            <w:pPr>
              <w:rPr>
                <w:rFonts w:ascii="仿宋" w:hAnsi="仿宋" w:eastAsia="仿宋" w:cs="仿宋"/>
                <w:sz w:val="24"/>
                <w:szCs w:val="24"/>
              </w:rPr>
            </w:pPr>
            <w:r>
              <w:rPr>
                <w:rFonts w:hint="eastAsia" w:ascii="仿宋" w:hAnsi="仿宋" w:eastAsia="仿宋" w:cs="仿宋"/>
                <w:sz w:val="24"/>
                <w:szCs w:val="24"/>
              </w:rPr>
              <w:t>本次在线询价报价须为人民币报价，包含：产品价格、运输费（含装卸费）、税费、产品质保期内维护等费用。对于本文件中明确列明必须报价的货物或服务，供应商应分别报价。文件未列明的货物或服务，不在供应商报价之内。注：</w:t>
            </w:r>
            <w:r>
              <w:rPr>
                <w:rFonts w:hint="eastAsia" w:ascii="仿宋" w:hAnsi="仿宋" w:eastAsia="仿宋" w:cs="仿宋"/>
                <w:w w:val="104"/>
                <w:sz w:val="24"/>
                <w:szCs w:val="24"/>
              </w:rPr>
              <w:t>竞标供应商的投标总报价≤采购预算。</w:t>
            </w:r>
          </w:p>
        </w:tc>
      </w:tr>
      <w:tr w14:paraId="5AC3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101" w:type="dxa"/>
            <w:shd w:val="clear" w:color="auto" w:fill="auto"/>
            <w:vAlign w:val="center"/>
          </w:tcPr>
          <w:p w14:paraId="3C134D07">
            <w:pPr>
              <w:jc w:val="center"/>
              <w:rPr>
                <w:rFonts w:ascii="仿宋" w:hAnsi="仿宋" w:eastAsia="仿宋" w:cs="仿宋"/>
                <w:sz w:val="24"/>
                <w:szCs w:val="24"/>
              </w:rPr>
            </w:pPr>
            <w:r>
              <w:rPr>
                <w:rFonts w:hint="eastAsia" w:ascii="仿宋" w:hAnsi="仿宋" w:eastAsia="仿宋" w:cs="仿宋"/>
                <w:sz w:val="24"/>
                <w:szCs w:val="24"/>
              </w:rPr>
              <w:t>2</w:t>
            </w:r>
          </w:p>
        </w:tc>
        <w:tc>
          <w:tcPr>
            <w:tcW w:w="2370" w:type="dxa"/>
            <w:shd w:val="clear" w:color="auto" w:fill="auto"/>
            <w:vAlign w:val="center"/>
          </w:tcPr>
          <w:p w14:paraId="4B7EDAD0">
            <w:pPr>
              <w:jc w:val="center"/>
              <w:rPr>
                <w:rFonts w:ascii="仿宋" w:hAnsi="仿宋" w:eastAsia="仿宋" w:cs="仿宋"/>
                <w:sz w:val="24"/>
                <w:szCs w:val="24"/>
              </w:rPr>
            </w:pPr>
            <w:r>
              <w:rPr>
                <w:rFonts w:hint="eastAsia" w:ascii="仿宋" w:hAnsi="仿宋" w:eastAsia="仿宋" w:cs="仿宋"/>
                <w:sz w:val="24"/>
                <w:szCs w:val="24"/>
              </w:rPr>
              <w:t>货物性能要求</w:t>
            </w:r>
          </w:p>
        </w:tc>
        <w:tc>
          <w:tcPr>
            <w:tcW w:w="11656" w:type="dxa"/>
            <w:shd w:val="clear" w:color="auto" w:fill="auto"/>
          </w:tcPr>
          <w:p w14:paraId="5C9D2C29">
            <w:pPr>
              <w:pStyle w:val="13"/>
              <w:ind w:firstLine="0" w:firstLineChars="0"/>
              <w:rPr>
                <w:rFonts w:ascii="仿宋" w:hAnsi="仿宋" w:eastAsia="仿宋" w:cs="仿宋"/>
                <w:sz w:val="24"/>
              </w:rPr>
            </w:pPr>
            <w:r>
              <w:rPr>
                <w:rFonts w:hint="eastAsia" w:ascii="仿宋" w:hAnsi="仿宋" w:eastAsia="仿宋" w:cs="仿宋"/>
                <w:sz w:val="24"/>
              </w:rPr>
              <w:t>1.本项目所有货物规格、技术参数已确定，不得做任何变更，否则视为不响应本采购要求；</w:t>
            </w:r>
          </w:p>
          <w:p w14:paraId="14B40F7E">
            <w:pPr>
              <w:pStyle w:val="13"/>
              <w:ind w:firstLine="0" w:firstLineChars="0"/>
              <w:rPr>
                <w:rFonts w:hint="eastAsia" w:ascii="仿宋" w:hAnsi="仿宋" w:eastAsia="仿宋" w:cs="仿宋"/>
                <w:sz w:val="24"/>
              </w:rPr>
            </w:pPr>
            <w:r>
              <w:rPr>
                <w:rFonts w:hint="eastAsia" w:ascii="仿宋" w:hAnsi="仿宋" w:eastAsia="仿宋" w:cs="仿宋"/>
                <w:sz w:val="24"/>
              </w:rPr>
              <w:t>2.对不能满足参数要求、虚假应标的，采购人将上报监督管理部门，由此所产生的后果由成交供应商自行承担。</w:t>
            </w:r>
          </w:p>
        </w:tc>
      </w:tr>
      <w:tr w14:paraId="490C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07B5CA33">
            <w:pPr>
              <w:jc w:val="center"/>
              <w:rPr>
                <w:rFonts w:ascii="仿宋" w:hAnsi="仿宋" w:eastAsia="仿宋" w:cs="仿宋"/>
                <w:sz w:val="24"/>
                <w:szCs w:val="24"/>
              </w:rPr>
            </w:pPr>
            <w:r>
              <w:rPr>
                <w:rFonts w:hint="eastAsia" w:ascii="仿宋" w:hAnsi="仿宋" w:eastAsia="仿宋" w:cs="仿宋"/>
                <w:sz w:val="24"/>
                <w:szCs w:val="24"/>
              </w:rPr>
              <w:t>3</w:t>
            </w:r>
          </w:p>
        </w:tc>
        <w:tc>
          <w:tcPr>
            <w:tcW w:w="2370" w:type="dxa"/>
            <w:shd w:val="clear" w:color="auto" w:fill="auto"/>
            <w:vAlign w:val="center"/>
          </w:tcPr>
          <w:p w14:paraId="641AC970">
            <w:pPr>
              <w:jc w:val="center"/>
              <w:rPr>
                <w:rFonts w:ascii="仿宋" w:hAnsi="仿宋" w:eastAsia="仿宋" w:cs="仿宋"/>
                <w:sz w:val="24"/>
                <w:szCs w:val="24"/>
              </w:rPr>
            </w:pPr>
            <w:r>
              <w:rPr>
                <w:rFonts w:hint="eastAsia" w:ascii="仿宋" w:hAnsi="仿宋" w:eastAsia="仿宋" w:cs="仿宋"/>
                <w:sz w:val="24"/>
                <w:szCs w:val="24"/>
              </w:rPr>
              <w:t>交货要求</w:t>
            </w:r>
          </w:p>
        </w:tc>
        <w:tc>
          <w:tcPr>
            <w:tcW w:w="11656" w:type="dxa"/>
            <w:shd w:val="clear" w:color="auto" w:fill="auto"/>
          </w:tcPr>
          <w:p w14:paraId="72AEAF64">
            <w:pPr>
              <w:pStyle w:val="13"/>
              <w:ind w:firstLine="0" w:firstLineChars="0"/>
              <w:rPr>
                <w:rFonts w:ascii="仿宋" w:hAnsi="仿宋" w:eastAsia="仿宋" w:cs="仿宋"/>
                <w:sz w:val="24"/>
              </w:rPr>
            </w:pPr>
            <w:r>
              <w:rPr>
                <w:rFonts w:hint="eastAsia" w:ascii="仿宋" w:hAnsi="仿宋" w:eastAsia="仿宋" w:cs="仿宋"/>
                <w:color w:val="000000"/>
                <w:sz w:val="24"/>
              </w:rPr>
              <w:t>1.成交供应商接到采购人制作需求通知后，证书内芯信息印制需在3日内完成并送货至使用部门，证书外壳印制需在</w:t>
            </w:r>
            <w:r>
              <w:rPr>
                <w:rFonts w:hint="eastAsia" w:ascii="仿宋" w:hAnsi="仿宋" w:eastAsia="仿宋" w:cs="仿宋"/>
                <w:sz w:val="24"/>
              </w:rPr>
              <w:t>7天</w:t>
            </w:r>
            <w:r>
              <w:rPr>
                <w:rFonts w:hint="eastAsia" w:ascii="仿宋" w:hAnsi="仿宋" w:eastAsia="仿宋" w:cs="仿宋"/>
                <w:color w:val="000000"/>
                <w:sz w:val="24"/>
              </w:rPr>
              <w:t>内完毕并通送货至使用部门。</w:t>
            </w:r>
          </w:p>
          <w:p w14:paraId="328B8A23">
            <w:pPr>
              <w:pStyle w:val="13"/>
              <w:ind w:firstLine="0" w:firstLineChars="0"/>
              <w:rPr>
                <w:rFonts w:ascii="仿宋" w:hAnsi="仿宋" w:eastAsia="仿宋" w:cs="仿宋"/>
                <w:sz w:val="24"/>
              </w:rPr>
            </w:pPr>
            <w:r>
              <w:rPr>
                <w:rFonts w:hint="eastAsia" w:ascii="仿宋" w:hAnsi="仿宋" w:eastAsia="仿宋" w:cs="仿宋"/>
                <w:spacing w:val="-2"/>
                <w:w w:val="104"/>
                <w:sz w:val="24"/>
              </w:rPr>
              <w:t>2.成交供应商提供的货物必须是原</w:t>
            </w:r>
            <w:r>
              <w:rPr>
                <w:rFonts w:hint="eastAsia" w:ascii="仿宋" w:hAnsi="仿宋" w:eastAsia="仿宋" w:cs="仿宋"/>
                <w:spacing w:val="15"/>
                <w:w w:val="104"/>
                <w:sz w:val="24"/>
              </w:rPr>
              <w:t>厂</w:t>
            </w:r>
            <w:r>
              <w:rPr>
                <w:rFonts w:hint="eastAsia" w:ascii="仿宋" w:hAnsi="仿宋" w:eastAsia="仿宋" w:cs="仿宋"/>
                <w:spacing w:val="-3"/>
                <w:w w:val="104"/>
                <w:sz w:val="24"/>
              </w:rPr>
              <w:t>生产全新的</w:t>
            </w:r>
            <w:r>
              <w:rPr>
                <w:rFonts w:hint="eastAsia" w:ascii="仿宋" w:hAnsi="仿宋" w:eastAsia="仿宋" w:cs="仿宋"/>
                <w:spacing w:val="-25"/>
                <w:w w:val="104"/>
                <w:sz w:val="24"/>
              </w:rPr>
              <w:t>、</w:t>
            </w:r>
            <w:r>
              <w:rPr>
                <w:rFonts w:hint="eastAsia" w:ascii="仿宋" w:hAnsi="仿宋" w:eastAsia="仿宋" w:cs="仿宋"/>
                <w:w w:val="104"/>
                <w:sz w:val="24"/>
              </w:rPr>
              <w:t>完整的</w:t>
            </w:r>
            <w:r>
              <w:rPr>
                <w:rFonts w:hint="eastAsia" w:ascii="仿宋" w:hAnsi="仿宋" w:eastAsia="仿宋" w:cs="仿宋"/>
                <w:spacing w:val="-14"/>
                <w:w w:val="104"/>
                <w:sz w:val="24"/>
              </w:rPr>
              <w:t>、</w:t>
            </w:r>
            <w:r>
              <w:rPr>
                <w:rFonts w:hint="eastAsia" w:ascii="仿宋" w:hAnsi="仿宋" w:eastAsia="仿宋" w:cs="仿宋"/>
                <w:spacing w:val="-3"/>
                <w:w w:val="104"/>
                <w:sz w:val="24"/>
              </w:rPr>
              <w:t>未使用过的合格产品</w:t>
            </w:r>
            <w:r>
              <w:rPr>
                <w:rFonts w:hint="eastAsia" w:ascii="仿宋" w:hAnsi="仿宋" w:eastAsia="仿宋" w:cs="仿宋"/>
                <w:spacing w:val="-49"/>
                <w:w w:val="104"/>
                <w:sz w:val="24"/>
              </w:rPr>
              <w:t>，</w:t>
            </w:r>
            <w:r>
              <w:rPr>
                <w:rFonts w:hint="eastAsia" w:ascii="仿宋" w:hAnsi="仿宋" w:eastAsia="仿宋" w:cs="仿宋"/>
                <w:spacing w:val="-42"/>
                <w:w w:val="104"/>
                <w:sz w:val="24"/>
              </w:rPr>
              <w:t xml:space="preserve"> </w:t>
            </w:r>
            <w:r>
              <w:rPr>
                <w:rFonts w:hint="eastAsia" w:ascii="仿宋" w:hAnsi="仿宋" w:eastAsia="仿宋" w:cs="仿宋"/>
                <w:spacing w:val="-12"/>
                <w:w w:val="104"/>
                <w:sz w:val="24"/>
              </w:rPr>
              <w:t>具备正规合法经销渠道。</w:t>
            </w:r>
            <w:r>
              <w:rPr>
                <w:rFonts w:hint="eastAsia" w:ascii="仿宋" w:hAnsi="仿宋" w:eastAsia="仿宋" w:cs="仿宋"/>
                <w:spacing w:val="-49"/>
                <w:w w:val="104"/>
                <w:sz w:val="24"/>
              </w:rPr>
              <w:t xml:space="preserve"> </w:t>
            </w:r>
            <w:r>
              <w:rPr>
                <w:rFonts w:hint="eastAsia" w:ascii="仿宋" w:hAnsi="仿宋" w:eastAsia="仿宋" w:cs="仿宋"/>
                <w:spacing w:val="-12"/>
                <w:w w:val="104"/>
                <w:sz w:val="24"/>
              </w:rPr>
              <w:t>所有产品除满足</w:t>
            </w:r>
            <w:r>
              <w:rPr>
                <w:rFonts w:hint="eastAsia" w:ascii="仿宋" w:hAnsi="仿宋" w:eastAsia="仿宋" w:cs="仿宋"/>
                <w:spacing w:val="-14"/>
                <w:w w:val="104"/>
                <w:sz w:val="24"/>
              </w:rPr>
              <w:t>上</w:t>
            </w:r>
            <w:r>
              <w:rPr>
                <w:rFonts w:hint="eastAsia" w:ascii="仿宋" w:hAnsi="仿宋" w:eastAsia="仿宋" w:cs="仿宋"/>
                <w:spacing w:val="-5"/>
                <w:w w:val="104"/>
                <w:sz w:val="24"/>
              </w:rPr>
              <w:t>表要求的技术</w:t>
            </w:r>
            <w:r>
              <w:rPr>
                <w:rFonts w:hint="eastAsia" w:ascii="仿宋" w:hAnsi="仿宋" w:eastAsia="仿宋" w:cs="仿宋"/>
                <w:spacing w:val="-1"/>
                <w:w w:val="104"/>
                <w:sz w:val="24"/>
              </w:rPr>
              <w:t>参数外</w:t>
            </w:r>
            <w:r>
              <w:rPr>
                <w:rFonts w:hint="eastAsia" w:ascii="仿宋" w:hAnsi="仿宋" w:eastAsia="仿宋" w:cs="仿宋"/>
                <w:spacing w:val="5"/>
                <w:w w:val="104"/>
                <w:sz w:val="24"/>
              </w:rPr>
              <w:t>，质量</w:t>
            </w:r>
            <w:r>
              <w:rPr>
                <w:rFonts w:hint="eastAsia" w:ascii="仿宋" w:hAnsi="仿宋" w:eastAsia="仿宋" w:cs="仿宋"/>
                <w:spacing w:val="-1"/>
                <w:w w:val="104"/>
                <w:sz w:val="24"/>
              </w:rPr>
              <w:t>符合国家标准和规范</w:t>
            </w:r>
            <w:r>
              <w:rPr>
                <w:rFonts w:hint="eastAsia" w:ascii="仿宋" w:hAnsi="仿宋" w:eastAsia="仿宋" w:cs="仿宋"/>
                <w:spacing w:val="-12"/>
                <w:w w:val="104"/>
                <w:sz w:val="24"/>
              </w:rPr>
              <w:t>及</w:t>
            </w:r>
            <w:r>
              <w:rPr>
                <w:rFonts w:hint="eastAsia" w:ascii="仿宋" w:hAnsi="仿宋" w:eastAsia="仿宋" w:cs="仿宋"/>
                <w:spacing w:val="-9"/>
                <w:w w:val="104"/>
                <w:sz w:val="24"/>
              </w:rPr>
              <w:t>生产</w:t>
            </w:r>
            <w:r>
              <w:rPr>
                <w:rFonts w:hint="eastAsia" w:ascii="仿宋" w:hAnsi="仿宋" w:eastAsia="仿宋" w:cs="仿宋"/>
                <w:spacing w:val="2"/>
                <w:w w:val="104"/>
                <w:sz w:val="24"/>
              </w:rPr>
              <w:t>厂</w:t>
            </w:r>
            <w:r>
              <w:rPr>
                <w:rFonts w:hint="eastAsia" w:ascii="仿宋" w:hAnsi="仿宋" w:eastAsia="仿宋" w:cs="仿宋"/>
                <w:spacing w:val="5"/>
                <w:w w:val="104"/>
                <w:sz w:val="24"/>
              </w:rPr>
              <w:t>家出厂</w:t>
            </w:r>
            <w:r>
              <w:rPr>
                <w:rFonts w:hint="eastAsia" w:ascii="仿宋" w:hAnsi="仿宋" w:eastAsia="仿宋" w:cs="仿宋"/>
                <w:spacing w:val="-2"/>
                <w:w w:val="104"/>
                <w:sz w:val="24"/>
              </w:rPr>
              <w:t>标准配置。成交供应商提供的货物</w:t>
            </w:r>
            <w:r>
              <w:rPr>
                <w:rFonts w:hint="eastAsia" w:ascii="仿宋" w:hAnsi="仿宋" w:eastAsia="仿宋" w:cs="仿宋"/>
                <w:spacing w:val="10"/>
                <w:w w:val="104"/>
                <w:sz w:val="24"/>
              </w:rPr>
              <w:t>规格</w:t>
            </w:r>
            <w:r>
              <w:rPr>
                <w:rFonts w:hint="eastAsia" w:ascii="仿宋" w:hAnsi="仿宋" w:eastAsia="仿宋" w:cs="仿宋"/>
                <w:spacing w:val="16"/>
                <w:w w:val="104"/>
                <w:sz w:val="24"/>
              </w:rPr>
              <w:t>、</w:t>
            </w:r>
            <w:r>
              <w:rPr>
                <w:rFonts w:hint="eastAsia" w:ascii="仿宋" w:hAnsi="仿宋" w:eastAsia="仿宋" w:cs="仿宋"/>
                <w:spacing w:val="-2"/>
                <w:w w:val="104"/>
                <w:sz w:val="24"/>
              </w:rPr>
              <w:t>技术参数</w:t>
            </w:r>
            <w:r>
              <w:rPr>
                <w:rFonts w:hint="eastAsia" w:ascii="仿宋" w:hAnsi="仿宋" w:eastAsia="仿宋" w:cs="仿宋"/>
                <w:w w:val="104"/>
                <w:sz w:val="24"/>
              </w:rPr>
              <w:t>、质量不符合合同规定及采购需求</w:t>
            </w:r>
            <w:r>
              <w:rPr>
                <w:rFonts w:hint="eastAsia" w:ascii="仿宋" w:hAnsi="仿宋" w:eastAsia="仿宋" w:cs="仿宋"/>
                <w:spacing w:val="-30"/>
                <w:w w:val="104"/>
                <w:sz w:val="24"/>
              </w:rPr>
              <w:t>规定标准的，</w:t>
            </w:r>
            <w:r>
              <w:rPr>
                <w:rFonts w:hint="eastAsia" w:ascii="仿宋" w:hAnsi="仿宋" w:eastAsia="仿宋" w:cs="仿宋"/>
                <w:w w:val="104"/>
                <w:sz w:val="24"/>
              </w:rPr>
              <w:t>采购人有权拒收该货物。</w:t>
            </w:r>
            <w:r>
              <w:rPr>
                <w:rFonts w:hint="eastAsia" w:ascii="仿宋" w:hAnsi="仿宋" w:eastAsia="仿宋" w:cs="仿宋"/>
                <w:spacing w:val="1"/>
                <w:sz w:val="24"/>
              </w:rPr>
              <w:t>成交供应商拒绝更换为合格货物的，</w:t>
            </w:r>
            <w:r>
              <w:rPr>
                <w:rFonts w:hint="eastAsia" w:ascii="仿宋" w:hAnsi="仿宋" w:eastAsia="仿宋" w:cs="仿宋"/>
                <w:spacing w:val="-2"/>
                <w:sz w:val="24"/>
              </w:rPr>
              <w:t>采购人可单方面解除合同，</w:t>
            </w:r>
            <w:r>
              <w:rPr>
                <w:rFonts w:hint="eastAsia" w:ascii="仿宋" w:hAnsi="仿宋" w:eastAsia="仿宋" w:cs="仿宋"/>
                <w:sz w:val="24"/>
              </w:rPr>
              <w:t>并有权要求成交供应商赔偿经济损失。</w:t>
            </w:r>
          </w:p>
          <w:p w14:paraId="2E3F2F77">
            <w:pPr>
              <w:pStyle w:val="13"/>
              <w:ind w:firstLine="0" w:firstLineChars="0"/>
              <w:rPr>
                <w:rFonts w:ascii="仿宋" w:hAnsi="仿宋" w:eastAsia="仿宋" w:cs="仿宋"/>
                <w:sz w:val="24"/>
              </w:rPr>
            </w:pPr>
            <w:r>
              <w:rPr>
                <w:rFonts w:hint="eastAsia" w:ascii="仿宋" w:hAnsi="仿宋" w:eastAsia="仿宋" w:cs="仿宋"/>
                <w:sz w:val="24"/>
              </w:rPr>
              <w:t>3.如成交供应商不能按期交货和印刷完毕，则视为违约，造成的一切损失由成交供应商承担。成交供应商提供的货物及服务不满足在线询价文件要求而导致最终验收不合格的</w:t>
            </w:r>
            <w:r>
              <w:rPr>
                <w:rFonts w:hint="eastAsia" w:ascii="仿宋" w:hAnsi="仿宋" w:eastAsia="仿宋" w:cs="仿宋"/>
                <w:spacing w:val="7"/>
                <w:sz w:val="24"/>
              </w:rPr>
              <w:t>，</w:t>
            </w:r>
            <w:r>
              <w:rPr>
                <w:rFonts w:hint="eastAsia" w:ascii="仿宋" w:hAnsi="仿宋" w:eastAsia="仿宋" w:cs="仿宋"/>
                <w:spacing w:val="3"/>
                <w:sz w:val="24"/>
              </w:rPr>
              <w:t>采购人有权解除合同并追究成交供应商的法律责任。</w:t>
            </w:r>
          </w:p>
        </w:tc>
      </w:tr>
      <w:tr w14:paraId="1C4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08F1248D">
            <w:pPr>
              <w:jc w:val="center"/>
              <w:rPr>
                <w:rFonts w:ascii="仿宋" w:hAnsi="仿宋" w:eastAsia="仿宋" w:cs="仿宋"/>
                <w:sz w:val="24"/>
                <w:szCs w:val="24"/>
              </w:rPr>
            </w:pPr>
            <w:r>
              <w:rPr>
                <w:rFonts w:hint="eastAsia" w:ascii="仿宋" w:hAnsi="仿宋" w:eastAsia="仿宋" w:cs="仿宋"/>
                <w:sz w:val="24"/>
                <w:szCs w:val="24"/>
              </w:rPr>
              <w:t>4</w:t>
            </w:r>
          </w:p>
        </w:tc>
        <w:tc>
          <w:tcPr>
            <w:tcW w:w="2370" w:type="dxa"/>
            <w:shd w:val="clear" w:color="auto" w:fill="auto"/>
            <w:vAlign w:val="center"/>
          </w:tcPr>
          <w:p w14:paraId="2613F25E">
            <w:pPr>
              <w:jc w:val="center"/>
              <w:rPr>
                <w:rFonts w:ascii="仿宋" w:hAnsi="仿宋" w:eastAsia="仿宋" w:cs="仿宋"/>
                <w:sz w:val="24"/>
                <w:szCs w:val="24"/>
              </w:rPr>
            </w:pPr>
            <w:r>
              <w:rPr>
                <w:rFonts w:hint="eastAsia" w:ascii="仿宋" w:hAnsi="仿宋" w:eastAsia="仿宋" w:cs="仿宋"/>
                <w:sz w:val="24"/>
                <w:szCs w:val="24"/>
              </w:rPr>
              <w:t>交货地点</w:t>
            </w:r>
          </w:p>
        </w:tc>
        <w:tc>
          <w:tcPr>
            <w:tcW w:w="11656" w:type="dxa"/>
            <w:shd w:val="clear" w:color="auto" w:fill="auto"/>
          </w:tcPr>
          <w:p w14:paraId="6645BC04">
            <w:pPr>
              <w:rPr>
                <w:rFonts w:ascii="仿宋" w:hAnsi="仿宋" w:eastAsia="仿宋" w:cs="仿宋"/>
                <w:sz w:val="24"/>
                <w:szCs w:val="24"/>
              </w:rPr>
            </w:pPr>
            <w:r>
              <w:rPr>
                <w:rFonts w:hint="eastAsia" w:ascii="仿宋" w:hAnsi="仿宋" w:eastAsia="仿宋" w:cs="仿宋"/>
                <w:sz w:val="24"/>
                <w:szCs w:val="24"/>
              </w:rPr>
              <w:t>采购人指定地点。</w:t>
            </w:r>
          </w:p>
        </w:tc>
      </w:tr>
      <w:tr w14:paraId="75C7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7B5A0940">
            <w:pPr>
              <w:jc w:val="center"/>
              <w:rPr>
                <w:rFonts w:ascii="仿宋" w:hAnsi="仿宋" w:eastAsia="仿宋" w:cs="仿宋"/>
                <w:sz w:val="24"/>
                <w:szCs w:val="24"/>
              </w:rPr>
            </w:pPr>
            <w:r>
              <w:rPr>
                <w:rFonts w:hint="eastAsia" w:ascii="仿宋" w:hAnsi="仿宋" w:eastAsia="仿宋" w:cs="仿宋"/>
                <w:sz w:val="24"/>
                <w:szCs w:val="24"/>
              </w:rPr>
              <w:t>5</w:t>
            </w:r>
          </w:p>
        </w:tc>
        <w:tc>
          <w:tcPr>
            <w:tcW w:w="2370" w:type="dxa"/>
            <w:shd w:val="clear" w:color="auto" w:fill="auto"/>
            <w:vAlign w:val="center"/>
          </w:tcPr>
          <w:p w14:paraId="4821D46F">
            <w:pPr>
              <w:jc w:val="center"/>
              <w:rPr>
                <w:rFonts w:ascii="仿宋" w:hAnsi="仿宋" w:eastAsia="仿宋" w:cs="仿宋"/>
                <w:sz w:val="24"/>
                <w:szCs w:val="24"/>
              </w:rPr>
            </w:pPr>
            <w:r>
              <w:rPr>
                <w:rFonts w:hint="eastAsia" w:ascii="仿宋" w:hAnsi="仿宋" w:eastAsia="仿宋" w:cs="仿宋"/>
                <w:sz w:val="24"/>
                <w:szCs w:val="24"/>
              </w:rPr>
              <w:t>验收</w:t>
            </w:r>
          </w:p>
        </w:tc>
        <w:tc>
          <w:tcPr>
            <w:tcW w:w="11656" w:type="dxa"/>
            <w:shd w:val="clear" w:color="auto" w:fill="auto"/>
          </w:tcPr>
          <w:p w14:paraId="54DF8DA6">
            <w:pPr>
              <w:pStyle w:val="13"/>
              <w:ind w:firstLine="0" w:firstLineChars="0"/>
              <w:rPr>
                <w:rFonts w:ascii="仿宋" w:hAnsi="仿宋" w:eastAsia="仿宋" w:cs="仿宋"/>
                <w:sz w:val="24"/>
              </w:rPr>
            </w:pPr>
            <w:r>
              <w:rPr>
                <w:rFonts w:hint="eastAsia" w:ascii="仿宋" w:hAnsi="仿宋" w:eastAsia="仿宋" w:cs="仿宋"/>
                <w:sz w:val="24"/>
              </w:rPr>
              <w:t>1.初步验收：货物运抵采购人指定地点后，采购人对成交供应商提交的货物依据本合同及在线询价文件上的技术规格要求及采购人需求进行现场初步验收，初步验收合格的给予签收，不合格的不予签收。如不符，采购人有权退货或要求成交供应商进行更换、补齐，因此造成逾期交货的，成交供应商应承担逾期交货的违约责任。成交供应商应在接到采购人整改要求后5日内予以重新提交符合要求的货物，所产生的费用及法律后果由成交供应商承担。</w:t>
            </w:r>
          </w:p>
          <w:p w14:paraId="1F4A05A7">
            <w:pPr>
              <w:pStyle w:val="13"/>
              <w:ind w:firstLine="0" w:firstLineChars="0"/>
              <w:rPr>
                <w:rFonts w:ascii="仿宋" w:hAnsi="仿宋" w:eastAsia="仿宋" w:cs="仿宋"/>
                <w:sz w:val="24"/>
              </w:rPr>
            </w:pPr>
            <w:r>
              <w:rPr>
                <w:rFonts w:hint="eastAsia" w:ascii="仿宋" w:hAnsi="仿宋" w:eastAsia="仿宋" w:cs="仿宋"/>
                <w:sz w:val="24"/>
              </w:rPr>
              <w:t>2.最终验收：货物经印刷完成且符合技术要求后，采购人进行最终验收。验收时成交供应商必须在交货现场。货物符合合同约定的技术规范要求和验收标准的，双方签署验收合格证明。</w:t>
            </w:r>
          </w:p>
        </w:tc>
      </w:tr>
      <w:tr w14:paraId="2631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06F1F0EC">
            <w:pPr>
              <w:jc w:val="center"/>
              <w:rPr>
                <w:rFonts w:ascii="仿宋" w:hAnsi="仿宋" w:eastAsia="仿宋" w:cs="仿宋"/>
                <w:sz w:val="24"/>
                <w:szCs w:val="24"/>
              </w:rPr>
            </w:pPr>
            <w:r>
              <w:rPr>
                <w:rFonts w:hint="eastAsia" w:ascii="仿宋" w:hAnsi="仿宋" w:eastAsia="仿宋" w:cs="仿宋"/>
                <w:sz w:val="24"/>
                <w:szCs w:val="24"/>
              </w:rPr>
              <w:t>6</w:t>
            </w:r>
          </w:p>
        </w:tc>
        <w:tc>
          <w:tcPr>
            <w:tcW w:w="2370" w:type="dxa"/>
            <w:shd w:val="clear" w:color="auto" w:fill="auto"/>
            <w:vAlign w:val="center"/>
          </w:tcPr>
          <w:p w14:paraId="0AB44569">
            <w:pPr>
              <w:jc w:val="center"/>
              <w:rPr>
                <w:rFonts w:ascii="仿宋" w:hAnsi="仿宋" w:eastAsia="仿宋" w:cs="仿宋"/>
                <w:sz w:val="24"/>
                <w:szCs w:val="24"/>
              </w:rPr>
            </w:pPr>
            <w:r>
              <w:rPr>
                <w:rFonts w:hint="eastAsia" w:ascii="仿宋" w:hAnsi="仿宋" w:eastAsia="仿宋" w:cs="仿宋"/>
                <w:sz w:val="24"/>
                <w:szCs w:val="24"/>
              </w:rPr>
              <w:t>货款结算</w:t>
            </w:r>
          </w:p>
        </w:tc>
        <w:tc>
          <w:tcPr>
            <w:tcW w:w="11656" w:type="dxa"/>
            <w:shd w:val="clear" w:color="auto" w:fill="auto"/>
          </w:tcPr>
          <w:p w14:paraId="40D77F0C">
            <w:pPr>
              <w:rPr>
                <w:rFonts w:ascii="仿宋" w:hAnsi="仿宋" w:eastAsia="仿宋" w:cs="仿宋"/>
                <w:sz w:val="24"/>
                <w:szCs w:val="24"/>
              </w:rPr>
            </w:pPr>
            <w:r>
              <w:rPr>
                <w:rFonts w:hint="eastAsia" w:ascii="仿宋" w:hAnsi="仿宋" w:eastAsia="仿宋" w:cs="仿宋"/>
                <w:sz w:val="24"/>
                <w:szCs w:val="24"/>
              </w:rPr>
              <w:t>一次性支付：本合同项下的全部货物经最终验收合格，采购人凭成交供应商开具的全额发票后 15 个工作日内向成交供应商支付全部合同价款。</w:t>
            </w:r>
          </w:p>
        </w:tc>
      </w:tr>
      <w:tr w14:paraId="0201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5ED83D02">
            <w:pPr>
              <w:jc w:val="center"/>
              <w:rPr>
                <w:rFonts w:ascii="仿宋" w:hAnsi="仿宋" w:eastAsia="仿宋" w:cs="仿宋"/>
                <w:sz w:val="24"/>
                <w:szCs w:val="24"/>
              </w:rPr>
            </w:pPr>
            <w:r>
              <w:rPr>
                <w:rFonts w:hint="eastAsia" w:ascii="仿宋" w:hAnsi="仿宋" w:eastAsia="仿宋" w:cs="仿宋"/>
                <w:sz w:val="24"/>
                <w:szCs w:val="24"/>
              </w:rPr>
              <w:t>7</w:t>
            </w:r>
          </w:p>
        </w:tc>
        <w:tc>
          <w:tcPr>
            <w:tcW w:w="2370" w:type="dxa"/>
            <w:shd w:val="clear" w:color="auto" w:fill="auto"/>
            <w:vAlign w:val="center"/>
          </w:tcPr>
          <w:p w14:paraId="28A96273">
            <w:pPr>
              <w:jc w:val="center"/>
              <w:rPr>
                <w:rFonts w:ascii="仿宋" w:hAnsi="仿宋" w:eastAsia="仿宋" w:cs="仿宋"/>
                <w:sz w:val="24"/>
                <w:szCs w:val="24"/>
              </w:rPr>
            </w:pPr>
            <w:r>
              <w:rPr>
                <w:rFonts w:hint="eastAsia" w:ascii="仿宋" w:hAnsi="仿宋" w:eastAsia="仿宋" w:cs="仿宋"/>
                <w:sz w:val="24"/>
                <w:szCs w:val="24"/>
              </w:rPr>
              <w:t>质保期</w:t>
            </w:r>
          </w:p>
        </w:tc>
        <w:tc>
          <w:tcPr>
            <w:tcW w:w="11656" w:type="dxa"/>
            <w:shd w:val="clear" w:color="auto" w:fill="auto"/>
          </w:tcPr>
          <w:p w14:paraId="05329EC3">
            <w:pPr>
              <w:tabs>
                <w:tab w:val="center" w:pos="4153"/>
                <w:tab w:val="right" w:pos="8306"/>
              </w:tabs>
              <w:snapToGrid w:val="0"/>
              <w:rPr>
                <w:rFonts w:ascii="仿宋" w:hAnsi="仿宋" w:eastAsia="仿宋" w:cs="仿宋"/>
                <w:color w:val="000000"/>
                <w:sz w:val="24"/>
                <w:szCs w:val="24"/>
              </w:rPr>
            </w:pPr>
            <w:r>
              <w:rPr>
                <w:rFonts w:hint="eastAsia" w:ascii="仿宋" w:hAnsi="仿宋" w:eastAsia="仿宋" w:cs="仿宋"/>
                <w:color w:val="000000"/>
                <w:sz w:val="24"/>
                <w:szCs w:val="24"/>
              </w:rPr>
              <w:t>除“参数配置”要求外，还应按国家有关产品“三包”规定执行“三包”，质保期自货物最终验收合格之日起计算，不少于</w:t>
            </w:r>
            <w:r>
              <w:rPr>
                <w:rFonts w:hint="eastAsia" w:ascii="仿宋" w:hAnsi="仿宋" w:eastAsia="仿宋" w:cs="仿宋"/>
                <w:sz w:val="24"/>
                <w:szCs w:val="24"/>
              </w:rPr>
              <w:t>5</w:t>
            </w:r>
            <w:r>
              <w:rPr>
                <w:rFonts w:hint="eastAsia" w:ascii="仿宋" w:hAnsi="仿宋" w:eastAsia="仿宋" w:cs="仿宋"/>
                <w:color w:val="000000"/>
                <w:sz w:val="24"/>
                <w:szCs w:val="24"/>
              </w:rPr>
              <w:t>年，质保期内免费更换。</w:t>
            </w:r>
          </w:p>
        </w:tc>
      </w:tr>
      <w:tr w14:paraId="04F6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07470488">
            <w:pPr>
              <w:jc w:val="center"/>
              <w:rPr>
                <w:rFonts w:ascii="仿宋" w:hAnsi="仿宋" w:eastAsia="仿宋" w:cs="仿宋"/>
                <w:sz w:val="24"/>
                <w:szCs w:val="24"/>
              </w:rPr>
            </w:pPr>
            <w:r>
              <w:rPr>
                <w:rFonts w:hint="eastAsia" w:ascii="仿宋" w:hAnsi="仿宋" w:eastAsia="仿宋" w:cs="仿宋"/>
                <w:sz w:val="24"/>
                <w:szCs w:val="24"/>
              </w:rPr>
              <w:t>8</w:t>
            </w:r>
          </w:p>
        </w:tc>
        <w:tc>
          <w:tcPr>
            <w:tcW w:w="2370" w:type="dxa"/>
            <w:shd w:val="clear" w:color="auto" w:fill="auto"/>
            <w:vAlign w:val="center"/>
          </w:tcPr>
          <w:p w14:paraId="4A859C11">
            <w:pPr>
              <w:jc w:val="center"/>
              <w:rPr>
                <w:rFonts w:ascii="仿宋" w:hAnsi="仿宋" w:eastAsia="仿宋" w:cs="仿宋"/>
                <w:sz w:val="24"/>
                <w:szCs w:val="24"/>
              </w:rPr>
            </w:pPr>
            <w:r>
              <w:rPr>
                <w:rFonts w:hint="eastAsia" w:ascii="仿宋" w:hAnsi="仿宋" w:eastAsia="仿宋" w:cs="仿宋"/>
                <w:sz w:val="24"/>
                <w:szCs w:val="24"/>
              </w:rPr>
              <w:t>售后服务要求</w:t>
            </w:r>
          </w:p>
        </w:tc>
        <w:tc>
          <w:tcPr>
            <w:tcW w:w="11656" w:type="dxa"/>
            <w:shd w:val="clear" w:color="auto" w:fill="auto"/>
          </w:tcPr>
          <w:p w14:paraId="02C10DAA">
            <w:pPr>
              <w:pStyle w:val="13"/>
              <w:tabs>
                <w:tab w:val="center" w:pos="4153"/>
                <w:tab w:val="right" w:pos="8306"/>
              </w:tabs>
              <w:snapToGrid w:val="0"/>
              <w:ind w:firstLine="0" w:firstLineChars="0"/>
              <w:rPr>
                <w:rFonts w:ascii="仿宋" w:hAnsi="仿宋" w:eastAsia="仿宋" w:cs="仿宋"/>
                <w:color w:val="000000"/>
                <w:sz w:val="24"/>
              </w:rPr>
            </w:pPr>
            <w:r>
              <w:rPr>
                <w:rFonts w:hint="eastAsia" w:ascii="仿宋" w:hAnsi="仿宋" w:eastAsia="仿宋" w:cs="仿宋"/>
                <w:color w:val="000000"/>
                <w:sz w:val="24"/>
              </w:rPr>
              <w:t>1.为确保货物质量，</w:t>
            </w:r>
            <w:r>
              <w:rPr>
                <w:rFonts w:hint="eastAsia" w:ascii="仿宋" w:hAnsi="仿宋" w:eastAsia="仿宋" w:cs="仿宋"/>
                <w:sz w:val="24"/>
              </w:rPr>
              <w:t>成交供应商</w:t>
            </w:r>
            <w:r>
              <w:rPr>
                <w:rFonts w:hint="eastAsia" w:ascii="仿宋" w:hAnsi="仿宋" w:eastAsia="仿宋" w:cs="仿宋"/>
                <w:color w:val="000000"/>
                <w:sz w:val="24"/>
              </w:rPr>
              <w:t>签订合同时必须提供售后服务承诺书原件（加盖公章），如无法提供的，视为虚假应标，取消成交资格。</w:t>
            </w:r>
          </w:p>
          <w:p w14:paraId="4335E09D">
            <w:pPr>
              <w:pStyle w:val="13"/>
              <w:tabs>
                <w:tab w:val="center" w:pos="4153"/>
                <w:tab w:val="right" w:pos="8306"/>
              </w:tabs>
              <w:snapToGrid w:val="0"/>
              <w:ind w:firstLine="0" w:firstLineChars="0"/>
              <w:rPr>
                <w:rFonts w:ascii="仿宋" w:hAnsi="仿宋" w:eastAsia="仿宋" w:cs="仿宋"/>
                <w:color w:val="000000"/>
                <w:sz w:val="24"/>
              </w:rPr>
            </w:pPr>
            <w:r>
              <w:rPr>
                <w:rFonts w:hint="eastAsia" w:ascii="仿宋" w:hAnsi="仿宋" w:eastAsia="仿宋" w:cs="仿宋"/>
                <w:color w:val="000000"/>
                <w:sz w:val="24"/>
              </w:rPr>
              <w:t>2.在质保期内货物非因人为及不可抗拒因素的原因而引起损坏或质量问题，成交供应商应免费予以更换符合要求货物，并承担相应费用。</w:t>
            </w:r>
          </w:p>
        </w:tc>
      </w:tr>
      <w:tr w14:paraId="3357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vAlign w:val="center"/>
          </w:tcPr>
          <w:p w14:paraId="0A43AF31">
            <w:pPr>
              <w:jc w:val="center"/>
              <w:rPr>
                <w:rFonts w:ascii="仿宋" w:hAnsi="仿宋" w:eastAsia="仿宋" w:cs="仿宋"/>
                <w:sz w:val="24"/>
                <w:szCs w:val="24"/>
              </w:rPr>
            </w:pPr>
            <w:r>
              <w:rPr>
                <w:rFonts w:hint="eastAsia" w:ascii="仿宋" w:hAnsi="仿宋" w:eastAsia="仿宋" w:cs="仿宋"/>
                <w:sz w:val="24"/>
                <w:szCs w:val="24"/>
              </w:rPr>
              <w:t>9</w:t>
            </w:r>
          </w:p>
        </w:tc>
        <w:tc>
          <w:tcPr>
            <w:tcW w:w="2370" w:type="dxa"/>
            <w:shd w:val="clear" w:color="auto" w:fill="auto"/>
            <w:vAlign w:val="center"/>
          </w:tcPr>
          <w:p w14:paraId="61A493DC">
            <w:pPr>
              <w:jc w:val="center"/>
              <w:rPr>
                <w:rFonts w:ascii="仿宋" w:hAnsi="仿宋" w:eastAsia="仿宋" w:cs="仿宋"/>
                <w:sz w:val="24"/>
                <w:szCs w:val="24"/>
              </w:rPr>
            </w:pPr>
            <w:r>
              <w:rPr>
                <w:rFonts w:hint="eastAsia" w:ascii="仿宋" w:hAnsi="仿宋" w:eastAsia="仿宋" w:cs="仿宋"/>
                <w:sz w:val="24"/>
                <w:szCs w:val="24"/>
              </w:rPr>
              <w:t>违约责任</w:t>
            </w:r>
          </w:p>
        </w:tc>
        <w:tc>
          <w:tcPr>
            <w:tcW w:w="11656" w:type="dxa"/>
            <w:shd w:val="clear" w:color="auto" w:fill="auto"/>
          </w:tcPr>
          <w:p w14:paraId="01C94D72">
            <w:pPr>
              <w:rPr>
                <w:rFonts w:ascii="仿宋" w:hAnsi="仿宋" w:eastAsia="仿宋" w:cs="仿宋"/>
                <w:sz w:val="24"/>
                <w:szCs w:val="24"/>
              </w:rPr>
            </w:pPr>
            <w:r>
              <w:rPr>
                <w:rFonts w:hint="eastAsia" w:ascii="仿宋" w:hAnsi="仿宋" w:eastAsia="仿宋" w:cs="仿宋"/>
                <w:sz w:val="24"/>
                <w:szCs w:val="24"/>
              </w:rPr>
              <w:t>1.本在线询价文件项下的货物在交货、验收及质保期等任何阶段内不符合合同约定的技术规范要求和验收标准的，采购人有权向成交供应商索赔并选择下列一项或多项补救措施：</w:t>
            </w:r>
          </w:p>
          <w:p w14:paraId="22ACBED2">
            <w:pPr>
              <w:rPr>
                <w:rFonts w:ascii="仿宋" w:hAnsi="仿宋" w:eastAsia="仿宋" w:cs="仿宋"/>
                <w:sz w:val="24"/>
                <w:szCs w:val="24"/>
              </w:rPr>
            </w:pPr>
            <w:r>
              <w:rPr>
                <w:rFonts w:hint="eastAsia" w:ascii="仿宋" w:hAnsi="仿宋" w:eastAsia="仿宋" w:cs="仿宋"/>
                <w:sz w:val="24"/>
                <w:szCs w:val="24"/>
              </w:rPr>
              <w:t>（1）由成交供应商采取措施消除货物缺陷或不符合合同之处，如果成交供应商不能及时消除缺陷，采购人有权自行消除缺陷或不符合合同之处，由此产生的一切费用均由成交供应商承担。</w:t>
            </w:r>
          </w:p>
          <w:p w14:paraId="58213ECE">
            <w:pPr>
              <w:rPr>
                <w:rFonts w:hint="eastAsia" w:ascii="仿宋" w:hAnsi="仿宋" w:eastAsia="仿宋" w:cs="仿宋"/>
                <w:sz w:val="24"/>
                <w:szCs w:val="24"/>
              </w:rPr>
            </w:pPr>
            <w:r>
              <w:rPr>
                <w:rFonts w:hint="eastAsia" w:ascii="仿宋" w:hAnsi="仿宋" w:eastAsia="仿宋" w:cs="仿宋"/>
                <w:sz w:val="24"/>
                <w:szCs w:val="24"/>
              </w:rPr>
              <w:t>（2）由成交供应商在接到采购人通知后5日内用符合合同规定的规格、质量和参数要求的货物更换有缺陷的或者错误的货物，成交供应商应承担一切费用和风险并负担给采购人造成的全部损失。</w:t>
            </w:r>
          </w:p>
          <w:p w14:paraId="0E733E61">
            <w:pPr>
              <w:rPr>
                <w:rFonts w:ascii="仿宋" w:hAnsi="仿宋" w:eastAsia="仿宋" w:cs="仿宋"/>
                <w:sz w:val="24"/>
                <w:szCs w:val="24"/>
              </w:rPr>
            </w:pPr>
            <w:r>
              <w:rPr>
                <w:rFonts w:hint="eastAsia" w:ascii="仿宋" w:hAnsi="仿宋" w:eastAsia="仿宋" w:cs="仿宋"/>
                <w:sz w:val="24"/>
                <w:szCs w:val="24"/>
              </w:rPr>
              <w:t>（3）退货，成交供应商应退还采购人支付的全部合同款，同时应承担该货物的直接费用（运输、保险、检验、贷款利息及银行手续费等）。</w:t>
            </w:r>
          </w:p>
          <w:p w14:paraId="762CC509">
            <w:pPr>
              <w:rPr>
                <w:rFonts w:ascii="仿宋" w:hAnsi="仿宋" w:eastAsia="仿宋" w:cs="仿宋"/>
                <w:sz w:val="24"/>
                <w:szCs w:val="24"/>
              </w:rPr>
            </w:pPr>
            <w:r>
              <w:rPr>
                <w:rFonts w:hint="eastAsia" w:ascii="仿宋" w:hAnsi="仿宋" w:eastAsia="仿宋" w:cs="仿宋"/>
                <w:sz w:val="24"/>
                <w:szCs w:val="24"/>
              </w:rPr>
              <w:t>2.成交供应商逾期交付货物的，每逾期一日，应按逾期交货总额3‰向采购人支付违约金。逾期超过约定日期7日不能交货的，采购人有权解除本合同，并要求成交供应商支付合同总额 20 %的违约金。</w:t>
            </w:r>
          </w:p>
          <w:p w14:paraId="2E8FD425">
            <w:pPr>
              <w:rPr>
                <w:rFonts w:ascii="仿宋" w:hAnsi="仿宋" w:eastAsia="仿宋" w:cs="仿宋"/>
                <w:sz w:val="24"/>
                <w:szCs w:val="24"/>
              </w:rPr>
            </w:pPr>
            <w:r>
              <w:rPr>
                <w:rFonts w:hint="eastAsia" w:ascii="仿宋" w:hAnsi="仿宋" w:eastAsia="仿宋" w:cs="仿宋"/>
                <w:sz w:val="24"/>
                <w:szCs w:val="24"/>
              </w:rPr>
              <w:t>3.成交供应商所交付的货物规格、技术参数、质量不符合合同规定及在线询价文件规定标准的，采购人有权拒收该货物，成交供应商愿意更换货物但逾期交货的，按成交供应商逾期交货处理。成交供应商拒绝更换货物的，采购人可单方面解除合同，并要求成交供应商支付合同总值 20 %的违约金，违约金不足以弥补采购人损失的，成交供应商还应负责赔偿采购人的所有损失。</w:t>
            </w:r>
          </w:p>
          <w:p w14:paraId="5ECA5C3E">
            <w:pPr>
              <w:rPr>
                <w:rFonts w:hint="eastAsia" w:ascii="仿宋" w:hAnsi="仿宋" w:eastAsia="仿宋" w:cs="仿宋"/>
                <w:sz w:val="24"/>
                <w:szCs w:val="24"/>
              </w:rPr>
            </w:pPr>
            <w:r>
              <w:rPr>
                <w:rFonts w:hint="eastAsia" w:ascii="仿宋" w:hAnsi="仿宋" w:eastAsia="仿宋" w:cs="仿宋"/>
                <w:sz w:val="24"/>
                <w:szCs w:val="24"/>
              </w:rPr>
              <w:t>4.成交供应商未能按约定要求履行保修义务的，每发生一次应向采购人支付合同金额的5%违约金，同时，采购人有权委托第三方进行保修，所产生的费用由成交供应商承担。若因货物缺陷或成交供应商服务质量等问题造成采购人或任何人员人身、财产损害的，成交供应商应承担有关责任并做出相应赔偿。</w:t>
            </w:r>
          </w:p>
          <w:p w14:paraId="14419755">
            <w:pPr>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color w:val="000000"/>
                <w:sz w:val="24"/>
              </w:rPr>
              <w:t>潜在供应商应充分考虑供货成本及参数要求再进行报价，如潜在供应商恶意竞价且成交后无法按要求提供货物或者所供货物及资质要求无法满足参数要求的，采购人将按虚假竞标处理，并保留因耽误采购人使用时间造成的损失进行赔偿的权利，通过报备政府采购云平台及财政厅监管部门，并按规定对投标人公司予以处罚和进行网上通报处理，追究投标人的法律责任，由此引发的一切后果由潜在供应商承担。</w:t>
            </w:r>
          </w:p>
        </w:tc>
      </w:tr>
      <w:tr w14:paraId="5CCD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101" w:type="dxa"/>
            <w:shd w:val="clear" w:color="auto" w:fill="auto"/>
            <w:vAlign w:val="center"/>
          </w:tcPr>
          <w:p w14:paraId="3ADB06BA">
            <w:pPr>
              <w:jc w:val="center"/>
              <w:rPr>
                <w:rFonts w:ascii="仿宋" w:hAnsi="仿宋" w:eastAsia="仿宋" w:cs="仿宋"/>
                <w:sz w:val="24"/>
                <w:szCs w:val="24"/>
              </w:rPr>
            </w:pPr>
            <w:r>
              <w:rPr>
                <w:rFonts w:hint="eastAsia" w:ascii="仿宋" w:hAnsi="仿宋" w:eastAsia="仿宋" w:cs="仿宋"/>
                <w:sz w:val="24"/>
                <w:szCs w:val="24"/>
              </w:rPr>
              <w:t>10</w:t>
            </w:r>
          </w:p>
        </w:tc>
        <w:tc>
          <w:tcPr>
            <w:tcW w:w="2370" w:type="dxa"/>
            <w:shd w:val="clear" w:color="auto" w:fill="auto"/>
            <w:vAlign w:val="center"/>
          </w:tcPr>
          <w:p w14:paraId="7F9DD845">
            <w:pPr>
              <w:jc w:val="center"/>
              <w:rPr>
                <w:rFonts w:ascii="仿宋" w:hAnsi="仿宋" w:eastAsia="仿宋" w:cs="仿宋"/>
                <w:sz w:val="24"/>
                <w:szCs w:val="24"/>
                <w:highlight w:val="none"/>
              </w:rPr>
            </w:pPr>
            <w:r>
              <w:rPr>
                <w:rFonts w:hint="eastAsia" w:ascii="仿宋" w:hAnsi="仿宋" w:eastAsia="仿宋" w:cs="仿宋"/>
                <w:sz w:val="24"/>
                <w:szCs w:val="24"/>
                <w:highlight w:val="none"/>
              </w:rPr>
              <w:t>其他要求</w:t>
            </w:r>
          </w:p>
        </w:tc>
        <w:tc>
          <w:tcPr>
            <w:tcW w:w="11656" w:type="dxa"/>
            <w:shd w:val="clear" w:color="auto" w:fill="auto"/>
          </w:tcPr>
          <w:p w14:paraId="657ED2F0">
            <w:pPr>
              <w:pStyle w:val="4"/>
              <w:tabs>
                <w:tab w:val="center" w:pos="4153"/>
                <w:tab w:val="right" w:pos="8306"/>
              </w:tabs>
              <w:kinsoku w:val="0"/>
              <w:overflowPunct w:val="0"/>
              <w:snapToGrid w:val="0"/>
              <w:spacing w:before="49"/>
              <w:ind w:left="20"/>
              <w:rPr>
                <w:rFonts w:ascii="仿宋" w:hAnsi="仿宋" w:eastAsia="仿宋" w:cs="仿宋"/>
                <w:color w:val="000000"/>
                <w:spacing w:val="-11"/>
                <w:sz w:val="24"/>
                <w:highlight w:val="none"/>
              </w:rPr>
            </w:pPr>
            <w:r>
              <w:rPr>
                <w:rFonts w:hint="eastAsia" w:ascii="仿宋" w:hAnsi="仿宋" w:eastAsia="仿宋" w:cs="仿宋"/>
                <w:color w:val="000000"/>
                <w:spacing w:val="-11"/>
                <w:sz w:val="24"/>
                <w:highlight w:val="none"/>
              </w:rPr>
              <w:t>1.对在“信用中国”网站、中国政府采购网被列入失信被执行人、重大税收违法案件当事人名单、政府采购严重违法失信行为记录名单及其他不符合《中华人民共和国政府采购法》第二十二条规定的供应商，不得参与投标报价。</w:t>
            </w:r>
          </w:p>
          <w:p w14:paraId="4D6F3567">
            <w:pPr>
              <w:pStyle w:val="4"/>
              <w:kinsoku w:val="0"/>
              <w:overflowPunct w:val="0"/>
              <w:spacing w:before="49"/>
              <w:ind w:left="20"/>
              <w:rPr>
                <w:rFonts w:hint="eastAsia" w:ascii="仿宋" w:hAnsi="仿宋" w:eastAsia="仿宋" w:cs="仿宋"/>
                <w:spacing w:val="-11"/>
                <w:kern w:val="2"/>
                <w:sz w:val="24"/>
                <w:highlight w:val="none"/>
              </w:rPr>
            </w:pPr>
            <w:r>
              <w:rPr>
                <w:rFonts w:hint="eastAsia" w:ascii="仿宋" w:hAnsi="仿宋" w:eastAsia="仿宋" w:cs="仿宋"/>
                <w:spacing w:val="-11"/>
                <w:kern w:val="2"/>
                <w:sz w:val="24"/>
                <w:highlight w:val="none"/>
              </w:rPr>
              <w:t>2.本项目采购任务急，现特向潜在供应商作出相关要求，在自治区政府采购云平台在线询价竞价截止前：</w:t>
            </w:r>
          </w:p>
          <w:p w14:paraId="3E607FB1">
            <w:pPr>
              <w:pStyle w:val="4"/>
              <w:kinsoku w:val="0"/>
              <w:overflowPunct w:val="0"/>
              <w:spacing w:before="49"/>
              <w:ind w:left="20"/>
              <w:rPr>
                <w:rFonts w:hint="eastAsia" w:ascii="仿宋" w:hAnsi="仿宋" w:eastAsia="仿宋" w:cs="仿宋"/>
                <w:spacing w:val="-11"/>
                <w:kern w:val="2"/>
                <w:sz w:val="24"/>
                <w:highlight w:val="none"/>
              </w:rPr>
            </w:pPr>
            <w:r>
              <w:rPr>
                <w:rFonts w:hint="eastAsia" w:ascii="仿宋" w:hAnsi="仿宋" w:eastAsia="仿宋" w:cs="仿宋"/>
                <w:spacing w:val="-11"/>
                <w:kern w:val="2"/>
                <w:sz w:val="24"/>
                <w:highlight w:val="none"/>
              </w:rPr>
              <w:t>（1）在自治区政府采购云平台线上提交：</w:t>
            </w:r>
            <w:r>
              <w:rPr>
                <w:rFonts w:hint="eastAsia" w:ascii="仿宋" w:hAnsi="仿宋" w:eastAsia="仿宋" w:cs="仿宋"/>
                <w:spacing w:val="-11"/>
                <w:kern w:val="2"/>
                <w:sz w:val="24"/>
                <w:highlight w:val="none"/>
                <w:lang w:val="en-US" w:eastAsia="zh-CN"/>
              </w:rPr>
              <w:t>投标</w:t>
            </w:r>
            <w:r>
              <w:rPr>
                <w:rFonts w:hint="eastAsia" w:ascii="仿宋" w:hAnsi="仿宋" w:eastAsia="仿宋" w:cs="仿宋"/>
                <w:spacing w:val="-11"/>
                <w:kern w:val="2"/>
                <w:sz w:val="24"/>
                <w:highlight w:val="none"/>
              </w:rPr>
              <w:t>供应商需具备广西壮族自治区</w:t>
            </w:r>
            <w:r>
              <w:rPr>
                <w:rFonts w:hint="eastAsia" w:ascii="仿宋" w:hAnsi="仿宋" w:eastAsia="仿宋" w:cs="仿宋"/>
                <w:spacing w:val="-11"/>
                <w:kern w:val="2"/>
                <w:sz w:val="24"/>
                <w:highlight w:val="none"/>
                <w:lang w:val="en-US" w:eastAsia="zh-CN"/>
              </w:rPr>
              <w:t>政府采购中心关于2025-2026年自治区本级及南宁市</w:t>
            </w:r>
            <w:r>
              <w:rPr>
                <w:rFonts w:hint="eastAsia" w:ascii="仿宋" w:hAnsi="仿宋" w:eastAsia="仿宋" w:cs="仿宋"/>
                <w:spacing w:val="-11"/>
                <w:kern w:val="2"/>
                <w:sz w:val="24"/>
                <w:highlight w:val="none"/>
              </w:rPr>
              <w:t>本级预算单位印刷服务</w:t>
            </w:r>
            <w:r>
              <w:rPr>
                <w:rFonts w:hint="eastAsia" w:ascii="仿宋" w:hAnsi="仿宋" w:eastAsia="仿宋" w:cs="仿宋"/>
                <w:spacing w:val="-11"/>
                <w:kern w:val="2"/>
                <w:sz w:val="24"/>
                <w:highlight w:val="none"/>
                <w:lang w:val="en-US" w:eastAsia="zh-CN"/>
              </w:rPr>
              <w:t>框架协议采购供应商，提供整份并做标注</w:t>
            </w:r>
            <w:r>
              <w:rPr>
                <w:rFonts w:hint="eastAsia" w:ascii="仿宋" w:hAnsi="仿宋" w:eastAsia="仿宋" w:cs="仿宋"/>
                <w:spacing w:val="-11"/>
                <w:kern w:val="2"/>
                <w:sz w:val="24"/>
                <w:highlight w:val="none"/>
              </w:rPr>
              <w:t>。</w:t>
            </w:r>
          </w:p>
          <w:p w14:paraId="170F89E3">
            <w:pPr>
              <w:pStyle w:val="4"/>
              <w:kinsoku w:val="0"/>
              <w:overflowPunct w:val="0"/>
              <w:spacing w:before="49"/>
              <w:rPr>
                <w:rFonts w:ascii="仿宋" w:hAnsi="仿宋" w:eastAsia="仿宋" w:cs="仿宋"/>
                <w:spacing w:val="-11"/>
                <w:kern w:val="2"/>
                <w:sz w:val="24"/>
                <w:highlight w:val="none"/>
              </w:rPr>
            </w:pPr>
            <w:r>
              <w:rPr>
                <w:rFonts w:hint="eastAsia" w:ascii="仿宋" w:hAnsi="仿宋" w:eastAsia="仿宋" w:cs="仿宋"/>
                <w:spacing w:val="-11"/>
                <w:kern w:val="2"/>
                <w:sz w:val="24"/>
                <w:highlight w:val="none"/>
              </w:rPr>
              <w:t>（2）线下提交以下实物样品：符合参数要求的广西中医药大学以上内容所有样品。</w:t>
            </w:r>
          </w:p>
          <w:p w14:paraId="4A29821C">
            <w:pPr>
              <w:pStyle w:val="4"/>
              <w:kinsoku w:val="0"/>
              <w:overflowPunct w:val="0"/>
              <w:spacing w:before="49"/>
              <w:rPr>
                <w:rFonts w:ascii="仿宋" w:hAnsi="仿宋" w:eastAsia="仿宋" w:cs="仿宋"/>
                <w:spacing w:val="-11"/>
                <w:kern w:val="2"/>
                <w:sz w:val="24"/>
                <w:highlight w:val="none"/>
              </w:rPr>
            </w:pPr>
            <w:r>
              <w:rPr>
                <w:rFonts w:hint="eastAsia" w:ascii="仿宋" w:hAnsi="仿宋" w:eastAsia="仿宋" w:cs="仿宋"/>
                <w:sz w:val="24"/>
                <w:highlight w:val="none"/>
              </w:rPr>
              <w:t>地址：</w:t>
            </w:r>
            <w:r>
              <w:rPr>
                <w:rFonts w:hint="eastAsia" w:ascii="仿宋" w:hAnsi="仿宋" w:eastAsia="仿宋" w:cs="仿宋"/>
                <w:spacing w:val="-11"/>
                <w:kern w:val="2"/>
                <w:sz w:val="24"/>
                <w:highlight w:val="none"/>
              </w:rPr>
              <w:t>广西壮族自治区南宁市 广西中医药大学（仙葫校区）</w:t>
            </w:r>
            <w:r>
              <w:rPr>
                <w:rFonts w:hint="eastAsia" w:ascii="仿宋" w:hAnsi="仿宋" w:eastAsia="仿宋" w:cs="仿宋"/>
                <w:spacing w:val="-11"/>
                <w:kern w:val="2"/>
                <w:sz w:val="24"/>
                <w:highlight w:val="none"/>
                <w:lang w:val="en-US" w:eastAsia="zh-CN"/>
              </w:rPr>
              <w:t>229</w:t>
            </w:r>
            <w:r>
              <w:rPr>
                <w:rFonts w:hint="eastAsia" w:ascii="仿宋" w:hAnsi="仿宋" w:eastAsia="仿宋" w:cs="仿宋"/>
                <w:spacing w:val="-11"/>
                <w:kern w:val="2"/>
                <w:sz w:val="24"/>
                <w:highlight w:val="none"/>
              </w:rPr>
              <w:t>室；联系人：</w:t>
            </w:r>
            <w:r>
              <w:rPr>
                <w:rFonts w:hint="eastAsia" w:ascii="仿宋" w:hAnsi="仿宋" w:eastAsia="仿宋" w:cs="仿宋"/>
                <w:spacing w:val="-11"/>
                <w:kern w:val="2"/>
                <w:sz w:val="24"/>
                <w:highlight w:val="none"/>
                <w:lang w:val="en-US" w:eastAsia="zh-CN"/>
              </w:rPr>
              <w:t>程</w:t>
            </w:r>
            <w:r>
              <w:rPr>
                <w:rFonts w:hint="eastAsia" w:ascii="仿宋" w:hAnsi="仿宋" w:eastAsia="仿宋" w:cs="仿宋"/>
                <w:spacing w:val="-11"/>
                <w:kern w:val="2"/>
                <w:sz w:val="24"/>
                <w:highlight w:val="none"/>
              </w:rPr>
              <w:t>老师；联系电话：0771-</w:t>
            </w:r>
            <w:r>
              <w:rPr>
                <w:rFonts w:hint="eastAsia" w:ascii="仿宋" w:hAnsi="仿宋" w:eastAsia="仿宋" w:cs="仿宋"/>
                <w:spacing w:val="-11"/>
                <w:kern w:val="2"/>
                <w:sz w:val="24"/>
                <w:highlight w:val="none"/>
                <w:lang w:val="en-US" w:eastAsia="zh-CN"/>
              </w:rPr>
              <w:t>3104251</w:t>
            </w:r>
            <w:r>
              <w:rPr>
                <w:rFonts w:hint="eastAsia" w:ascii="仿宋" w:hAnsi="仿宋" w:eastAsia="仿宋" w:cs="仿宋"/>
                <w:spacing w:val="-11"/>
                <w:kern w:val="2"/>
                <w:sz w:val="24"/>
                <w:highlight w:val="none"/>
              </w:rPr>
              <w:t>。</w:t>
            </w:r>
          </w:p>
          <w:p w14:paraId="3571524D">
            <w:pPr>
              <w:pStyle w:val="4"/>
              <w:kinsoku w:val="0"/>
              <w:overflowPunct w:val="0"/>
              <w:spacing w:before="49"/>
              <w:ind w:left="20"/>
              <w:rPr>
                <w:rFonts w:hint="eastAsia" w:ascii="仿宋" w:hAnsi="仿宋" w:eastAsia="仿宋" w:cs="仿宋"/>
                <w:spacing w:val="-11"/>
                <w:kern w:val="2"/>
                <w:sz w:val="24"/>
                <w:highlight w:val="none"/>
              </w:rPr>
            </w:pPr>
            <w:r>
              <w:rPr>
                <w:rFonts w:hint="eastAsia" w:ascii="仿宋" w:hAnsi="仿宋" w:eastAsia="仿宋" w:cs="仿宋"/>
                <w:spacing w:val="-11"/>
                <w:kern w:val="2"/>
                <w:sz w:val="24"/>
                <w:highlight w:val="none"/>
              </w:rPr>
              <w:t>潜在供应商不按要求提供审查资料、货物样品不全、样品审查不合格，采购人有权对潜在供应商作废除竞价资格处理。</w:t>
            </w:r>
          </w:p>
          <w:p w14:paraId="576F1D8D">
            <w:pPr>
              <w:pStyle w:val="4"/>
              <w:kinsoku w:val="0"/>
              <w:overflowPunct w:val="0"/>
              <w:spacing w:before="49"/>
              <w:ind w:left="20"/>
              <w:rPr>
                <w:rFonts w:ascii="仿宋" w:hAnsi="仿宋" w:eastAsia="仿宋" w:cs="仿宋"/>
                <w:spacing w:val="-11"/>
                <w:kern w:val="2"/>
                <w:sz w:val="24"/>
                <w:highlight w:val="none"/>
              </w:rPr>
            </w:pPr>
            <w:r>
              <w:rPr>
                <w:rFonts w:hint="eastAsia" w:ascii="仿宋" w:hAnsi="仿宋" w:eastAsia="仿宋" w:cs="仿宋"/>
                <w:spacing w:val="-11"/>
                <w:kern w:val="2"/>
                <w:sz w:val="24"/>
                <w:highlight w:val="none"/>
              </w:rPr>
              <w:t>3.此项目供应商所报价格即为合同价格。供应商一经作出报价，不可撤回。否则，该供应商在今后三年内不得参与我校所有采购活动。</w:t>
            </w:r>
          </w:p>
        </w:tc>
      </w:tr>
    </w:tbl>
    <w:p w14:paraId="66CA0224">
      <w:pPr>
        <w:rPr>
          <w:rFonts w:ascii="仿宋" w:hAnsi="仿宋" w:eastAsia="仿宋" w:cs="仿宋"/>
          <w:sz w:val="20"/>
          <w:szCs w:val="20"/>
        </w:rPr>
      </w:pPr>
    </w:p>
    <w:p w14:paraId="7395EB48">
      <w:pPr>
        <w:bidi w:val="0"/>
        <w:rPr>
          <w:rFonts w:ascii="Calibri" w:hAnsi="Calibri" w:eastAsia="宋体" w:cs="宋体"/>
          <w:kern w:val="2"/>
          <w:sz w:val="21"/>
          <w:szCs w:val="22"/>
          <w:lang w:val="en-US" w:eastAsia="zh-CN" w:bidi="ar-SA"/>
        </w:rPr>
      </w:pPr>
    </w:p>
    <w:p w14:paraId="4659B8D2">
      <w:pPr>
        <w:bidi w:val="0"/>
        <w:rPr>
          <w:lang w:val="en-US" w:eastAsia="zh-CN"/>
        </w:rPr>
      </w:pPr>
    </w:p>
    <w:p w14:paraId="699C1539">
      <w:pPr>
        <w:tabs>
          <w:tab w:val="left" w:pos="14184"/>
        </w:tabs>
        <w:bidi w:val="0"/>
        <w:jc w:val="left"/>
        <w:rPr>
          <w:lang w:val="en-US" w:eastAsia="zh-CN"/>
        </w:rPr>
      </w:pPr>
      <w:r>
        <w:rPr>
          <w:rFonts w:hint="eastAsia"/>
          <w:lang w:val="en-US" w:eastAsia="zh-CN"/>
        </w:rPr>
        <w:tab/>
      </w:r>
    </w:p>
    <w:sectPr>
      <w:footerReference r:id="rId3" w:type="default"/>
      <w:pgSz w:w="16838" w:h="11906" w:orient="landscape"/>
      <w:pgMar w:top="850" w:right="680" w:bottom="680"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10732">
    <w:pPr>
      <w:pStyle w:val="6"/>
      <w:jc w:val="center"/>
    </w:pPr>
    <w:r>
      <w:fldChar w:fldCharType="begin"/>
    </w:r>
    <w:r>
      <w:instrText xml:space="preserve">PAGE   \* MERGEFORMAT</w:instrText>
    </w:r>
    <w:r>
      <w:fldChar w:fldCharType="separate"/>
    </w:r>
    <w:r>
      <w:rPr>
        <w:lang w:val="zh-CN"/>
      </w:rPr>
      <w:t>3</w:t>
    </w:r>
    <w:r>
      <w:fldChar w:fldCharType="end"/>
    </w:r>
  </w:p>
  <w:p w14:paraId="4B0DAA95">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0NWRkNzVjODU2NDYwMzY5Zjg3YjU1N2MwOGRjMjYifQ=="/>
  </w:docVars>
  <w:rsids>
    <w:rsidRoot w:val="006F415C"/>
    <w:rsid w:val="0000657E"/>
    <w:rsid w:val="000071AB"/>
    <w:rsid w:val="0001089A"/>
    <w:rsid w:val="00010997"/>
    <w:rsid w:val="00042573"/>
    <w:rsid w:val="000D0B53"/>
    <w:rsid w:val="000D2719"/>
    <w:rsid w:val="000D7C18"/>
    <w:rsid w:val="000F4813"/>
    <w:rsid w:val="00111AC8"/>
    <w:rsid w:val="001168C8"/>
    <w:rsid w:val="001968BC"/>
    <w:rsid w:val="001B0309"/>
    <w:rsid w:val="001B727E"/>
    <w:rsid w:val="001C690C"/>
    <w:rsid w:val="001D3408"/>
    <w:rsid w:val="001F560E"/>
    <w:rsid w:val="00203A16"/>
    <w:rsid w:val="00220101"/>
    <w:rsid w:val="00235CEB"/>
    <w:rsid w:val="00251CC2"/>
    <w:rsid w:val="00261BA9"/>
    <w:rsid w:val="002755A0"/>
    <w:rsid w:val="00292DA7"/>
    <w:rsid w:val="002F18BC"/>
    <w:rsid w:val="00303DE9"/>
    <w:rsid w:val="0033343E"/>
    <w:rsid w:val="0034170A"/>
    <w:rsid w:val="003463C8"/>
    <w:rsid w:val="00355850"/>
    <w:rsid w:val="00383CDB"/>
    <w:rsid w:val="00393959"/>
    <w:rsid w:val="003B60E2"/>
    <w:rsid w:val="003C2021"/>
    <w:rsid w:val="003C24F2"/>
    <w:rsid w:val="003D7909"/>
    <w:rsid w:val="003E628E"/>
    <w:rsid w:val="00415802"/>
    <w:rsid w:val="00451615"/>
    <w:rsid w:val="004522EA"/>
    <w:rsid w:val="00455658"/>
    <w:rsid w:val="00455AEF"/>
    <w:rsid w:val="00461108"/>
    <w:rsid w:val="00485C05"/>
    <w:rsid w:val="004C3426"/>
    <w:rsid w:val="004D28E9"/>
    <w:rsid w:val="004F27D6"/>
    <w:rsid w:val="004F5987"/>
    <w:rsid w:val="00584CB4"/>
    <w:rsid w:val="00586C1C"/>
    <w:rsid w:val="00615753"/>
    <w:rsid w:val="006200C1"/>
    <w:rsid w:val="00622441"/>
    <w:rsid w:val="00630573"/>
    <w:rsid w:val="006373B6"/>
    <w:rsid w:val="0064758D"/>
    <w:rsid w:val="006518BD"/>
    <w:rsid w:val="006B1C3C"/>
    <w:rsid w:val="006B3EB3"/>
    <w:rsid w:val="006D3071"/>
    <w:rsid w:val="006E3E8D"/>
    <w:rsid w:val="006F415C"/>
    <w:rsid w:val="00701105"/>
    <w:rsid w:val="00733ABB"/>
    <w:rsid w:val="007345F0"/>
    <w:rsid w:val="007B6A44"/>
    <w:rsid w:val="007C3C95"/>
    <w:rsid w:val="007D7B5D"/>
    <w:rsid w:val="00830265"/>
    <w:rsid w:val="00863F45"/>
    <w:rsid w:val="00887A07"/>
    <w:rsid w:val="008F0A7B"/>
    <w:rsid w:val="009471EA"/>
    <w:rsid w:val="00953C4F"/>
    <w:rsid w:val="009727AB"/>
    <w:rsid w:val="009B1B2A"/>
    <w:rsid w:val="009C348A"/>
    <w:rsid w:val="009C5965"/>
    <w:rsid w:val="009E6FAD"/>
    <w:rsid w:val="00A56305"/>
    <w:rsid w:val="00A60E4F"/>
    <w:rsid w:val="00A80D5C"/>
    <w:rsid w:val="00AA1028"/>
    <w:rsid w:val="00AE11DF"/>
    <w:rsid w:val="00AF0A40"/>
    <w:rsid w:val="00B35585"/>
    <w:rsid w:val="00B372D9"/>
    <w:rsid w:val="00B66E4C"/>
    <w:rsid w:val="00B74CC8"/>
    <w:rsid w:val="00B80D9E"/>
    <w:rsid w:val="00BC2688"/>
    <w:rsid w:val="00C0724B"/>
    <w:rsid w:val="00C22C39"/>
    <w:rsid w:val="00C3499A"/>
    <w:rsid w:val="00C53B39"/>
    <w:rsid w:val="00C82F90"/>
    <w:rsid w:val="00C910D1"/>
    <w:rsid w:val="00CD0A50"/>
    <w:rsid w:val="00CD5AB3"/>
    <w:rsid w:val="00D1496C"/>
    <w:rsid w:val="00D43618"/>
    <w:rsid w:val="00D443C9"/>
    <w:rsid w:val="00D7371F"/>
    <w:rsid w:val="00D74B9A"/>
    <w:rsid w:val="00D937EB"/>
    <w:rsid w:val="00D95DE6"/>
    <w:rsid w:val="00DA039F"/>
    <w:rsid w:val="00DA2875"/>
    <w:rsid w:val="00DB7B6D"/>
    <w:rsid w:val="00DB7F80"/>
    <w:rsid w:val="00DC3147"/>
    <w:rsid w:val="00DD0C00"/>
    <w:rsid w:val="00DD7EB7"/>
    <w:rsid w:val="00DE4AFA"/>
    <w:rsid w:val="00E076F1"/>
    <w:rsid w:val="00E14384"/>
    <w:rsid w:val="00E45352"/>
    <w:rsid w:val="00E87E91"/>
    <w:rsid w:val="00E9191C"/>
    <w:rsid w:val="00EA2F79"/>
    <w:rsid w:val="00EA556F"/>
    <w:rsid w:val="00EB217A"/>
    <w:rsid w:val="00EE398D"/>
    <w:rsid w:val="00F06B1E"/>
    <w:rsid w:val="00F40023"/>
    <w:rsid w:val="00FC6CF0"/>
    <w:rsid w:val="00FD37E1"/>
    <w:rsid w:val="00FD43C1"/>
    <w:rsid w:val="00FD77F3"/>
    <w:rsid w:val="016070DE"/>
    <w:rsid w:val="02A15550"/>
    <w:rsid w:val="032077ED"/>
    <w:rsid w:val="0410290D"/>
    <w:rsid w:val="046A5064"/>
    <w:rsid w:val="04F52FC7"/>
    <w:rsid w:val="058C1AF7"/>
    <w:rsid w:val="05A52CD4"/>
    <w:rsid w:val="05C23886"/>
    <w:rsid w:val="06471FDD"/>
    <w:rsid w:val="08D061E1"/>
    <w:rsid w:val="0A9B4EF3"/>
    <w:rsid w:val="0B776EC0"/>
    <w:rsid w:val="0B834804"/>
    <w:rsid w:val="0C361799"/>
    <w:rsid w:val="0CEC2795"/>
    <w:rsid w:val="0D1D1C1B"/>
    <w:rsid w:val="0E787171"/>
    <w:rsid w:val="0E910478"/>
    <w:rsid w:val="0F5A4B2F"/>
    <w:rsid w:val="0F806D97"/>
    <w:rsid w:val="0F985657"/>
    <w:rsid w:val="0FCD35A2"/>
    <w:rsid w:val="0FED53BE"/>
    <w:rsid w:val="0FFF1232"/>
    <w:rsid w:val="110A0A00"/>
    <w:rsid w:val="113B273E"/>
    <w:rsid w:val="12386C7D"/>
    <w:rsid w:val="13566C69"/>
    <w:rsid w:val="154E77B1"/>
    <w:rsid w:val="159E259C"/>
    <w:rsid w:val="16547688"/>
    <w:rsid w:val="1695469E"/>
    <w:rsid w:val="16D505EE"/>
    <w:rsid w:val="174776B0"/>
    <w:rsid w:val="176958B1"/>
    <w:rsid w:val="176E09B7"/>
    <w:rsid w:val="1887084A"/>
    <w:rsid w:val="19EF04BE"/>
    <w:rsid w:val="1A4C776A"/>
    <w:rsid w:val="1AC47BD4"/>
    <w:rsid w:val="1AD81C11"/>
    <w:rsid w:val="1B9C0170"/>
    <w:rsid w:val="1C145343"/>
    <w:rsid w:val="1CD344FB"/>
    <w:rsid w:val="1DD329AA"/>
    <w:rsid w:val="1E184A72"/>
    <w:rsid w:val="1EE92A08"/>
    <w:rsid w:val="1F923E71"/>
    <w:rsid w:val="1FBD37D4"/>
    <w:rsid w:val="1FE87F35"/>
    <w:rsid w:val="2024414A"/>
    <w:rsid w:val="221F3677"/>
    <w:rsid w:val="2309444A"/>
    <w:rsid w:val="231F66DA"/>
    <w:rsid w:val="237E0B9E"/>
    <w:rsid w:val="24160466"/>
    <w:rsid w:val="24216007"/>
    <w:rsid w:val="25D02FFD"/>
    <w:rsid w:val="25EB0CF2"/>
    <w:rsid w:val="26077B0F"/>
    <w:rsid w:val="26244028"/>
    <w:rsid w:val="26EA27E4"/>
    <w:rsid w:val="27C54DAA"/>
    <w:rsid w:val="28490878"/>
    <w:rsid w:val="28A239FF"/>
    <w:rsid w:val="28ED135F"/>
    <w:rsid w:val="28EE53FD"/>
    <w:rsid w:val="291E03F4"/>
    <w:rsid w:val="2A88034A"/>
    <w:rsid w:val="2B522706"/>
    <w:rsid w:val="2C874978"/>
    <w:rsid w:val="2C8755CA"/>
    <w:rsid w:val="2C901368"/>
    <w:rsid w:val="2E9E743D"/>
    <w:rsid w:val="2FE37DD1"/>
    <w:rsid w:val="31411253"/>
    <w:rsid w:val="31BE0AF5"/>
    <w:rsid w:val="32A11EDB"/>
    <w:rsid w:val="335214F5"/>
    <w:rsid w:val="33F17251"/>
    <w:rsid w:val="34C325DF"/>
    <w:rsid w:val="350C7DCA"/>
    <w:rsid w:val="354567EF"/>
    <w:rsid w:val="35BF7D63"/>
    <w:rsid w:val="35D22DC1"/>
    <w:rsid w:val="36A36628"/>
    <w:rsid w:val="36AA5455"/>
    <w:rsid w:val="36C26992"/>
    <w:rsid w:val="3715605D"/>
    <w:rsid w:val="371D7BA3"/>
    <w:rsid w:val="378A304D"/>
    <w:rsid w:val="37B3196D"/>
    <w:rsid w:val="385827C4"/>
    <w:rsid w:val="38D3112B"/>
    <w:rsid w:val="390B1E80"/>
    <w:rsid w:val="39DC2F97"/>
    <w:rsid w:val="3B386FE3"/>
    <w:rsid w:val="3CE31410"/>
    <w:rsid w:val="3CE95E6B"/>
    <w:rsid w:val="3CF03605"/>
    <w:rsid w:val="3CF855EC"/>
    <w:rsid w:val="3D0C4E0B"/>
    <w:rsid w:val="3EB4618B"/>
    <w:rsid w:val="3F3D47EF"/>
    <w:rsid w:val="3FA35CC0"/>
    <w:rsid w:val="3FE1257F"/>
    <w:rsid w:val="3FFA3DA2"/>
    <w:rsid w:val="41032081"/>
    <w:rsid w:val="413F1A24"/>
    <w:rsid w:val="41A73354"/>
    <w:rsid w:val="41C9151C"/>
    <w:rsid w:val="42A72EE0"/>
    <w:rsid w:val="44A7510F"/>
    <w:rsid w:val="44FE14DD"/>
    <w:rsid w:val="461315B8"/>
    <w:rsid w:val="47070700"/>
    <w:rsid w:val="476D4D2D"/>
    <w:rsid w:val="478B1022"/>
    <w:rsid w:val="47E60EC0"/>
    <w:rsid w:val="485E6F60"/>
    <w:rsid w:val="48603F0C"/>
    <w:rsid w:val="48693111"/>
    <w:rsid w:val="49067778"/>
    <w:rsid w:val="49093E15"/>
    <w:rsid w:val="4B51066F"/>
    <w:rsid w:val="4C2A663C"/>
    <w:rsid w:val="4C370AC4"/>
    <w:rsid w:val="4D2524E2"/>
    <w:rsid w:val="4E612ADD"/>
    <w:rsid w:val="4F3A40CE"/>
    <w:rsid w:val="4FD46920"/>
    <w:rsid w:val="50267E33"/>
    <w:rsid w:val="503D5163"/>
    <w:rsid w:val="50A92D5F"/>
    <w:rsid w:val="51140F04"/>
    <w:rsid w:val="51932EE3"/>
    <w:rsid w:val="52CA50F4"/>
    <w:rsid w:val="52FD0D60"/>
    <w:rsid w:val="534D6591"/>
    <w:rsid w:val="56AB2B47"/>
    <w:rsid w:val="56EA1E3F"/>
    <w:rsid w:val="576770D1"/>
    <w:rsid w:val="57D357F8"/>
    <w:rsid w:val="57E26168"/>
    <w:rsid w:val="58DF11CE"/>
    <w:rsid w:val="58E61264"/>
    <w:rsid w:val="590E560F"/>
    <w:rsid w:val="596202AC"/>
    <w:rsid w:val="59B3593D"/>
    <w:rsid w:val="59FA79C2"/>
    <w:rsid w:val="5A2815BE"/>
    <w:rsid w:val="5B9531D8"/>
    <w:rsid w:val="5C294C3A"/>
    <w:rsid w:val="5C6C7AE4"/>
    <w:rsid w:val="5CCB3F43"/>
    <w:rsid w:val="5CD56B17"/>
    <w:rsid w:val="5E393CD6"/>
    <w:rsid w:val="5E4B74CC"/>
    <w:rsid w:val="5F7A1C50"/>
    <w:rsid w:val="5FF05A6E"/>
    <w:rsid w:val="607B17DC"/>
    <w:rsid w:val="61843A34"/>
    <w:rsid w:val="62157A0E"/>
    <w:rsid w:val="62183714"/>
    <w:rsid w:val="629464CE"/>
    <w:rsid w:val="632A3C75"/>
    <w:rsid w:val="63FD1B9B"/>
    <w:rsid w:val="64970BAF"/>
    <w:rsid w:val="64F54908"/>
    <w:rsid w:val="653819FE"/>
    <w:rsid w:val="65562818"/>
    <w:rsid w:val="656E2CAF"/>
    <w:rsid w:val="660E6C4E"/>
    <w:rsid w:val="66B14555"/>
    <w:rsid w:val="66DC0AFB"/>
    <w:rsid w:val="674C3ED2"/>
    <w:rsid w:val="68544CC3"/>
    <w:rsid w:val="68E343C2"/>
    <w:rsid w:val="69975CFE"/>
    <w:rsid w:val="6AAD2EDA"/>
    <w:rsid w:val="6B217424"/>
    <w:rsid w:val="6BBD42C7"/>
    <w:rsid w:val="6BC32289"/>
    <w:rsid w:val="6BEF5F6E"/>
    <w:rsid w:val="6C2C69FE"/>
    <w:rsid w:val="6C7D1B5B"/>
    <w:rsid w:val="6E9133AC"/>
    <w:rsid w:val="6F1A1697"/>
    <w:rsid w:val="6F540AA2"/>
    <w:rsid w:val="6F6E5DAA"/>
    <w:rsid w:val="70913B1C"/>
    <w:rsid w:val="717074B8"/>
    <w:rsid w:val="71FE7AC3"/>
    <w:rsid w:val="72132DB8"/>
    <w:rsid w:val="72273C06"/>
    <w:rsid w:val="733028FA"/>
    <w:rsid w:val="73517EB0"/>
    <w:rsid w:val="736A5E0C"/>
    <w:rsid w:val="73B4219F"/>
    <w:rsid w:val="73CB43D1"/>
    <w:rsid w:val="7430612A"/>
    <w:rsid w:val="755C2BC7"/>
    <w:rsid w:val="75725C8A"/>
    <w:rsid w:val="7614205F"/>
    <w:rsid w:val="762B0234"/>
    <w:rsid w:val="7821576C"/>
    <w:rsid w:val="78D477C5"/>
    <w:rsid w:val="795C1D84"/>
    <w:rsid w:val="7A69004B"/>
    <w:rsid w:val="7BC450EF"/>
    <w:rsid w:val="7BDC20BB"/>
    <w:rsid w:val="7BDD2EF3"/>
    <w:rsid w:val="7C0C40B8"/>
    <w:rsid w:val="7D080444"/>
    <w:rsid w:val="7D7545DE"/>
    <w:rsid w:val="7DE71E07"/>
    <w:rsid w:val="7E2369FE"/>
    <w:rsid w:val="7FE52241"/>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annotation text"/>
    <w:basedOn w:val="1"/>
    <w:link w:val="18"/>
    <w:qFormat/>
    <w:uiPriority w:val="99"/>
    <w:pPr>
      <w:jc w:val="left"/>
    </w:pPr>
  </w:style>
  <w:style w:type="paragraph" w:styleId="4">
    <w:name w:val="Body Text"/>
    <w:basedOn w:val="1"/>
    <w:link w:val="20"/>
    <w:qFormat/>
    <w:uiPriority w:val="1"/>
    <w:pPr>
      <w:autoSpaceDE w:val="0"/>
      <w:autoSpaceDN w:val="0"/>
      <w:adjustRightInd w:val="0"/>
      <w:jc w:val="left"/>
    </w:pPr>
    <w:rPr>
      <w:rFonts w:ascii="宋体" w:hAnsi="宋体" w:cs="Times New Roman"/>
      <w:kern w:val="0"/>
      <w:sz w:val="20"/>
      <w:szCs w:val="24"/>
    </w:rPr>
  </w:style>
  <w:style w:type="paragraph" w:styleId="5">
    <w:name w:val="Balloon Text"/>
    <w:basedOn w:val="1"/>
    <w:link w:val="17"/>
    <w:qFormat/>
    <w:uiPriority w:val="99"/>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9"/>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99"/>
    <w:rPr>
      <w:sz w:val="21"/>
      <w:szCs w:val="21"/>
    </w:rPr>
  </w:style>
  <w:style w:type="paragraph" w:styleId="13">
    <w:name w:val="List Paragraph"/>
    <w:basedOn w:val="1"/>
    <w:qFormat/>
    <w:uiPriority w:val="34"/>
    <w:pPr>
      <w:ind w:firstLine="420" w:firstLineChars="200"/>
    </w:pPr>
    <w:rPr>
      <w:rFonts w:ascii="Times New Roman" w:hAnsi="Times New Roman" w:cs="Times New Roman"/>
      <w:szCs w:val="24"/>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font21"/>
    <w:qFormat/>
    <w:uiPriority w:val="0"/>
    <w:rPr>
      <w:rFonts w:hint="eastAsia" w:ascii="宋体" w:hAnsi="宋体" w:eastAsia="宋体" w:cs="宋体"/>
      <w:color w:val="FF0000"/>
      <w:sz w:val="22"/>
      <w:szCs w:val="22"/>
      <w:u w:val="none"/>
    </w:rPr>
  </w:style>
  <w:style w:type="character" w:customStyle="1" w:styleId="17">
    <w:name w:val="批注框文本 字符"/>
    <w:basedOn w:val="11"/>
    <w:link w:val="5"/>
    <w:qFormat/>
    <w:uiPriority w:val="99"/>
    <w:rPr>
      <w:sz w:val="18"/>
      <w:szCs w:val="18"/>
    </w:rPr>
  </w:style>
  <w:style w:type="character" w:customStyle="1" w:styleId="18">
    <w:name w:val="批注文字 字符"/>
    <w:basedOn w:val="11"/>
    <w:link w:val="3"/>
    <w:qFormat/>
    <w:uiPriority w:val="99"/>
  </w:style>
  <w:style w:type="character" w:customStyle="1" w:styleId="19">
    <w:name w:val="批注主题 字符"/>
    <w:basedOn w:val="18"/>
    <w:link w:val="8"/>
    <w:qFormat/>
    <w:uiPriority w:val="99"/>
    <w:rPr>
      <w:b/>
      <w:bCs/>
    </w:rPr>
  </w:style>
  <w:style w:type="character" w:customStyle="1" w:styleId="20">
    <w:name w:val="正文文本 字符"/>
    <w:basedOn w:val="11"/>
    <w:link w:val="4"/>
    <w:qFormat/>
    <w:uiPriority w:val="99"/>
    <w:rPr>
      <w:rFonts w:ascii="宋体" w:hAnsi="宋体" w:eastAsia="宋体" w:cs="Times New Roman"/>
      <w:kern w:val="0"/>
      <w:sz w:val="20"/>
      <w:szCs w:val="24"/>
    </w:rPr>
  </w:style>
  <w:style w:type="paragraph" w:customStyle="1" w:styleId="21">
    <w:name w:val="Table Text"/>
    <w:basedOn w:val="1"/>
    <w:semiHidden/>
    <w:qFormat/>
    <w:uiPriority w:val="0"/>
    <w:rPr>
      <w:rFonts w:ascii="宋体" w:hAnsi="宋体"/>
      <w:sz w:val="20"/>
      <w:szCs w:val="20"/>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列出段落1"/>
    <w:basedOn w:val="1"/>
    <w:qFormat/>
    <w:uiPriority w:val="34"/>
    <w:pPr>
      <w:jc w:val="left"/>
    </w:pPr>
    <w:rPr>
      <w:rFonts w:ascii="Times New Roman" w:hAnsi="Times New Roman" w:cs="Times New Roman"/>
      <w:szCs w:val="24"/>
    </w:rPr>
  </w:style>
  <w:style w:type="character" w:customStyle="1" w:styleId="24">
    <w:name w:val="font1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3430</Words>
  <Characters>3712</Characters>
  <Lines>38</Lines>
  <Paragraphs>10</Paragraphs>
  <TotalTime>10</TotalTime>
  <ScaleCrop>false</ScaleCrop>
  <LinksUpToDate>false</LinksUpToDate>
  <CharactersWithSpaces>3724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2025-03-02T02:27:00Z</dcterms:created>
  <dc:creator>微软用户</dc:creator>
  <cp:lastModifiedBy>浠琰</cp:lastModifiedBy>
  <cp:lastPrinted>2026-04-10T02:54:00Z</cp:lastPrinted>
  <dcterms:modified xsi:type="dcterms:W3CDTF">2026-04-15T07:57:09Z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01FF36255F774773AB0CA8638336BEE4_13</vt:lpwstr>
  </property>
  <property fmtid="{D5CDD505-2E9C-101B-9397-08002B2CF9AE}" pid="4" name="KSOTemplateDocerSaveRecord">
    <vt:lpwstr>eyJoZGlkIjoiZDlkOGVjZDUzOTljNzQzYjcwYmY3MDk2ZjAwZDQ2NzkiLCJ1c2VySWQiOiI0NTM3MzI4OTAifQ==</vt:lpwstr>
  </property>
</Properties>
</file>