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ind w:firstLine="1265" w:firstLineChars="450"/>
      </w:pPr>
      <w:r>
        <w:rPr>
          <w:rFonts w:hint="eastAsia" w:asciiTheme="minorEastAsia" w:hAnsiTheme="minorEastAsia"/>
          <w:b/>
          <w:color w:val="000000" w:themeColor="text1"/>
          <w:sz w:val="28"/>
          <w:szCs w:val="28"/>
          <w14:textFill>
            <w14:solidFill>
              <w14:schemeClr w14:val="tx1"/>
            </w14:solidFill>
          </w14:textFill>
        </w:rPr>
        <w:t xml:space="preserve">            </w:t>
      </w:r>
      <w:bookmarkStart w:id="0" w:name="_GoBack"/>
      <w:bookmarkEnd w:id="0"/>
      <w:r>
        <w:rPr>
          <w:rFonts w:hint="eastAsia" w:asciiTheme="minorEastAsia" w:hAnsiTheme="minorEastAsia"/>
          <w:b/>
          <w:color w:val="000000" w:themeColor="text1"/>
          <w:sz w:val="28"/>
          <w:szCs w:val="28"/>
          <w14:textFill>
            <w14:solidFill>
              <w14:schemeClr w14:val="tx1"/>
            </w14:solidFill>
          </w14:textFill>
        </w:rPr>
        <w:t>UPS电池采购需求明细表</w:t>
      </w:r>
    </w:p>
    <w:tbl>
      <w:tblPr>
        <w:tblStyle w:val="7"/>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5"/>
        <w:gridCol w:w="1559"/>
        <w:gridCol w:w="5386"/>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567" w:type="dxa"/>
            <w:tcBorders>
              <w:top w:val="single" w:color="auto" w:sz="4" w:space="0"/>
            </w:tcBorders>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序号</w:t>
            </w:r>
          </w:p>
        </w:tc>
        <w:tc>
          <w:tcPr>
            <w:tcW w:w="1135" w:type="dxa"/>
            <w:tcBorders>
              <w:top w:val="single" w:color="auto" w:sz="4" w:space="0"/>
            </w:tcBorders>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采购品目</w:t>
            </w:r>
          </w:p>
        </w:tc>
        <w:tc>
          <w:tcPr>
            <w:tcW w:w="1559" w:type="dxa"/>
            <w:tcBorders>
              <w:top w:val="single" w:color="auto" w:sz="4" w:space="0"/>
            </w:tcBorders>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参考厂家/品牌型号</w:t>
            </w:r>
          </w:p>
        </w:tc>
        <w:tc>
          <w:tcPr>
            <w:tcW w:w="5386" w:type="dxa"/>
            <w:tcBorders>
              <w:top w:val="single" w:color="auto" w:sz="4" w:space="0"/>
            </w:tcBorders>
            <w:vAlign w:val="center"/>
          </w:tcPr>
          <w:p>
            <w:pPr>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★参数配置</w:t>
            </w:r>
          </w:p>
        </w:tc>
        <w:tc>
          <w:tcPr>
            <w:tcW w:w="709" w:type="dxa"/>
            <w:tcBorders>
              <w:top w:val="single" w:color="auto" w:sz="4" w:space="0"/>
            </w:tcBorders>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单位</w:t>
            </w:r>
          </w:p>
        </w:tc>
        <w:tc>
          <w:tcPr>
            <w:tcW w:w="851" w:type="dxa"/>
            <w:tcBorders>
              <w:top w:val="single" w:color="auto" w:sz="4" w:space="0"/>
            </w:tcBorders>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6" w:hRule="atLeast"/>
        </w:trPr>
        <w:tc>
          <w:tcPr>
            <w:tcW w:w="567"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c>
          <w:tcPr>
            <w:tcW w:w="1135"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蓄电池</w:t>
            </w:r>
          </w:p>
        </w:tc>
        <w:tc>
          <w:tcPr>
            <w:tcW w:w="1559"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科士达</w:t>
            </w:r>
            <w:r>
              <w:rPr>
                <w:rFonts w:asciiTheme="minorEastAsia" w:hAnsiTheme="minorEastAsia"/>
                <w:color w:val="000000" w:themeColor="text1"/>
                <w:sz w:val="24"/>
                <w:szCs w:val="24"/>
                <w14:textFill>
                  <w14:solidFill>
                    <w14:schemeClr w14:val="tx1"/>
                  </w14:solidFill>
                </w14:textFill>
              </w:rPr>
              <w:t>6-FM-100</w:t>
            </w:r>
          </w:p>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(深圳科士达科技股份有限公司)</w:t>
            </w:r>
          </w:p>
        </w:tc>
        <w:tc>
          <w:tcPr>
            <w:tcW w:w="5386" w:type="dxa"/>
            <w:vAlign w:val="center"/>
          </w:tcPr>
          <w:p>
            <w:r>
              <w:rPr>
                <w:rFonts w:hint="eastAsia"/>
              </w:rPr>
              <w:t>1.额定电压：12V；</w:t>
            </w:r>
          </w:p>
          <w:p>
            <w:r>
              <w:rPr>
                <w:rFonts w:hint="eastAsia"/>
              </w:rPr>
              <w:t>2.容量：100AH；带防泄漏托盘装置。</w:t>
            </w:r>
          </w:p>
          <w:p>
            <w:r>
              <w:rPr>
                <w:rFonts w:hint="eastAsia"/>
              </w:rPr>
              <w:t>3.浮充充电电压：13.5V--13.8V，均充充电电压：13.8V--14.1V；</w:t>
            </w:r>
          </w:p>
          <w:p>
            <w:r>
              <w:rPr>
                <w:rFonts w:hint="eastAsia"/>
              </w:rPr>
              <w:t>4.容量保存率：≥97%/月；</w:t>
            </w:r>
          </w:p>
          <w:p>
            <w:r>
              <w:rPr>
                <w:rFonts w:hint="eastAsia"/>
              </w:rPr>
              <w:t>5.浮充设计寿命 8-10年（20℃环境下）；</w:t>
            </w:r>
          </w:p>
          <w:p>
            <w:r>
              <w:rPr>
                <w:rFonts w:hint="eastAsia"/>
              </w:rPr>
              <w:t>6.工作温度 ：-20--+50℃；</w:t>
            </w:r>
          </w:p>
          <w:p>
            <w:r>
              <w:rPr>
                <w:rFonts w:hint="eastAsia"/>
              </w:rPr>
              <w:t>7.相对湿度：0-95%，无冷凝；</w:t>
            </w:r>
          </w:p>
          <w:p>
            <w:pPr>
              <w:ind w:left="210" w:hanging="210" w:hangingChars="100"/>
            </w:pPr>
            <w:r>
              <w:rPr>
                <w:rFonts w:hint="eastAsia"/>
              </w:rPr>
              <w:t>8.采用热封技术封装，内阻＜4mΩ,电池容量测试标准：终止电压1.60V下，放电时间30分钟﹥223A；60分钟﹥128A；90分钟﹥90A；1200分钟﹥10A；若检测单节电池容量不合格的蓄电池给予免费更换；</w:t>
            </w:r>
          </w:p>
          <w:p>
            <w:pPr>
              <w:ind w:left="210" w:hanging="210" w:hangingChars="100"/>
            </w:pPr>
            <w:r>
              <w:rPr>
                <w:rFonts w:hint="eastAsia"/>
              </w:rPr>
              <w:t>9.为保证电池用电环境安全，供货时必须提供中国泰尔认证中心的蓄电池认证和蓄电池生产厂家的排污许证，复印件并加盖原厂公章。</w:t>
            </w:r>
          </w:p>
          <w:p>
            <w:pPr>
              <w:ind w:left="210" w:hanging="210" w:hangingChars="100"/>
            </w:pPr>
            <w:r>
              <w:rPr>
                <w:rFonts w:hint="eastAsia"/>
              </w:rPr>
              <w:t>10.防火性能：蓄电池外壳应采用防火材料。蓄电池具备防漏液能力，应能从根本上完全阻断,漏液给电池本身及整个机房设备带来火灾风险</w:t>
            </w:r>
          </w:p>
          <w:p>
            <w:pPr>
              <w:ind w:left="210" w:hanging="210" w:hangingChars="100"/>
            </w:pPr>
            <w:r>
              <w:rPr>
                <w:rFonts w:hint="eastAsia"/>
              </w:rPr>
              <w:t>11.为保证设备的兼容性与后期的维护统一性，蓄电池须与原有现使用的UPS主机为同一品牌。</w:t>
            </w:r>
          </w:p>
          <w:p>
            <w:pPr>
              <w:ind w:left="210" w:hanging="210" w:hangingChars="100"/>
              <w:rPr>
                <w:b/>
              </w:rPr>
            </w:pPr>
            <w:r>
              <w:rPr>
                <w:rFonts w:hint="eastAsia"/>
              </w:rPr>
              <w:t>12.竞标时提供上传原厂生产厂家的供货证明原件，并加盖原厂公章。</w:t>
            </w:r>
          </w:p>
          <w:p>
            <w:pPr>
              <w:ind w:left="210" w:hanging="210" w:hangingChars="100"/>
            </w:pPr>
            <w:r>
              <w:rPr>
                <w:rFonts w:hint="eastAsia"/>
              </w:rPr>
              <w:t>13.验收时，采购单位根据技术参数应答表和原厂售后服务承诺书原件拨打设备制造厂商售后电话，可使用主机序列号查明相关产品配置，验证服务响应时效，确保技术参数真实，服务满足需求。如验证不符，视为虚假应标，采购合同无效</w:t>
            </w:r>
            <w:r>
              <w:t xml:space="preserve"> </w:t>
            </w:r>
          </w:p>
        </w:tc>
        <w:tc>
          <w:tcPr>
            <w:tcW w:w="709"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节</w:t>
            </w:r>
          </w:p>
        </w:tc>
        <w:tc>
          <w:tcPr>
            <w:tcW w:w="851"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0207" w:type="dxa"/>
            <w:gridSpan w:val="6"/>
          </w:tcPr>
          <w:p>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color w:val="000000" w:themeColor="text1"/>
                <w:szCs w:val="21"/>
                <w14:textFill>
                  <w14:solidFill>
                    <w14:schemeClr w14:val="tx1"/>
                  </w14:solidFill>
                </w14:textFill>
              </w:rPr>
              <w:t>商务条款</w:t>
            </w:r>
          </w:p>
          <w:p>
            <w:pPr>
              <w:pStyle w:val="2"/>
              <w:ind w:left="240" w:hanging="240" w:hangingChars="100"/>
            </w:pPr>
            <w:r>
              <w:rPr>
                <w:rFonts w:hint="eastAsia"/>
              </w:rPr>
              <w:t>1.自公布中标结果起2个工作日内完成所有货物交付安装调试，并达到交付采购人使用标准；本次采购的货物必须是成交供应商免费送货上门并提供免费安装调试以及免费培训，不接受物流快递发货以及远程指导安装，否则采购人有权取消合同。如不能按期交货和安装完毕，则视为违约，造成的一切损失由中标供应商承担。</w:t>
            </w:r>
          </w:p>
          <w:p>
            <w:pPr>
              <w:spacing w:line="360" w:lineRule="auto"/>
              <w:ind w:left="251" w:leftChars="-134" w:hanging="532" w:hangingChars="222"/>
              <w:rPr>
                <w:rFonts w:asciiTheme="minorEastAsia" w:hAnsiTheme="minorEastAsia"/>
                <w:sz w:val="24"/>
                <w:szCs w:val="24"/>
              </w:rPr>
            </w:pPr>
            <w:r>
              <w:rPr>
                <w:rFonts w:hint="eastAsia" w:asciiTheme="minorEastAsia" w:hAnsiTheme="minorEastAsia"/>
                <w:sz w:val="24"/>
                <w:szCs w:val="24"/>
              </w:rPr>
              <w:t>2.2.自公布中标结果起2个工作日内，中标供应商需向采购人指定对公帐户转入中标金额的20%做为项目履约金。自中标供应商完成设备完装调试并通过验收后7个工作日内，采购人按原转进帐号退回给中标供应商。如出现中标供应商合同违约，无法按照采购需求表的参数指标和各项商务条款等要求通过采购人验收的，采购人有权没收项目履约金做为赔偿，并宣布采购合同无效，且采购人不承担任何合同违约责任。</w:t>
            </w:r>
          </w:p>
          <w:p>
            <w:pPr>
              <w:pStyle w:val="2"/>
              <w:ind w:left="240" w:hanging="240" w:hangingChars="100"/>
            </w:pPr>
            <w:r>
              <w:rPr>
                <w:rFonts w:hint="eastAsia"/>
              </w:rPr>
              <w:t>3.本项目所有货物的品牌、型号、规格、技术参数已确定，不得做任何变更，竞标人用其他品牌或型号参与本项目竞标的，视为不响应本采购要求,视为竞标无效。</w:t>
            </w:r>
          </w:p>
          <w:p>
            <w:pPr>
              <w:spacing w:line="360" w:lineRule="auto"/>
              <w:ind w:left="480" w:hanging="480" w:hangingChars="200"/>
              <w:rPr>
                <w:rFonts w:asciiTheme="minorEastAsia" w:hAnsiTheme="minorEastAsia"/>
                <w:sz w:val="24"/>
                <w:szCs w:val="24"/>
              </w:rPr>
            </w:pPr>
            <w:r>
              <w:rPr>
                <w:rFonts w:hint="eastAsia" w:asciiTheme="minorEastAsia" w:hAnsiTheme="minorEastAsia"/>
                <w:sz w:val="24"/>
                <w:szCs w:val="24"/>
              </w:rPr>
              <w:t>4.为保证售后服务的及时有效，竞标人营业执照注册地址必须为广西省内，否则竞标无效。</w:t>
            </w:r>
          </w:p>
          <w:p>
            <w:pPr>
              <w:pStyle w:val="2"/>
              <w:ind w:left="240" w:hanging="240" w:hangingChars="100"/>
            </w:pPr>
            <w:r>
              <w:rPr>
                <w:rFonts w:hint="eastAsia"/>
              </w:rPr>
              <w:t>5.本项目总预算为包干一口价，竞标人必需充分考虑因采购人安装要求和安装环境的特殊性而可能产生的上楼费，拆旧机，人工，配件，及因安装调试额外产生的一切费用，采购人不在另行追加支付费用。</w:t>
            </w:r>
          </w:p>
          <w:p>
            <w:pPr>
              <w:pStyle w:val="2"/>
              <w:ind w:left="240" w:hanging="240" w:hangingChars="100"/>
            </w:pPr>
            <w:r>
              <w:rPr>
                <w:rFonts w:hint="eastAsia"/>
              </w:rPr>
              <w:t>6.竞标人应充分考虑供货成本，安装调试难度及参数要求再进行报价，如供应商低价恶意竞价、且成交后无法按要求提供货物和安装，或者所供货物及商务条款要求无法满足参数要求的，采购人将按虚假竞标处理，并保留因耽误采购人使用时间造成的损失进行赔偿的权利，通过报备桂采云平台及财政厅监管部门，并按规定对投标人公司予以处罚和进行网上通报处理，追究投标人的法律责任，由此引发的一切后果由投标人承担。</w:t>
            </w:r>
          </w:p>
          <w:p>
            <w:pPr>
              <w:pStyle w:val="2"/>
              <w:ind w:left="240" w:hanging="240" w:hangingChars="100"/>
            </w:pPr>
            <w:r>
              <w:t>7.</w:t>
            </w:r>
            <w:r>
              <w:rPr>
                <w:rFonts w:hint="eastAsia"/>
              </w:rPr>
              <w:t>UPS为机房专用供电不能断电，中标供应商必需在UPS不断电的情况下完成设备更换安装调试，因此为保证现场安装的安全性，杜绝安全事故的发生，安装时必需由厂家或厂家指定专业技术人员进行现场安装调试。安装时必须提供的厂家介绍信或授权书，并加盖深圳科士达科技股份有限公司厂家公章。</w:t>
            </w:r>
          </w:p>
          <w:p>
            <w:pPr>
              <w:spacing w:line="360" w:lineRule="auto"/>
              <w:rPr>
                <w:rFonts w:hint="eastAsia" w:asciiTheme="minorEastAsia" w:hAnsiTheme="minorEastAsia"/>
                <w:bCs/>
                <w:kern w:val="0"/>
                <w:sz w:val="24"/>
                <w:szCs w:val="24"/>
              </w:rPr>
            </w:pPr>
            <w:r>
              <w:rPr>
                <w:rFonts w:hint="eastAsia"/>
                <w:sz w:val="28"/>
                <w:szCs w:val="28"/>
              </w:rPr>
              <w:t>8</w:t>
            </w:r>
            <w:r>
              <w:rPr>
                <w:rFonts w:hint="eastAsia"/>
              </w:rPr>
              <w:t>.为防止中标供应商用假冒或二手产品以次充好参与竞标。</w:t>
            </w:r>
            <w:r>
              <w:rPr>
                <w:rFonts w:hint="eastAsia"/>
                <w:b/>
              </w:rPr>
              <w:t>竞标时必需上传原厂生产厂家的供货证明原件，并加盖原厂公章</w:t>
            </w:r>
            <w:r>
              <w:rPr>
                <w:rFonts w:hint="eastAsia"/>
              </w:rPr>
              <w:t>，否则竞标无效。供货</w:t>
            </w:r>
            <w:r>
              <w:rPr>
                <w:rFonts w:hint="eastAsia" w:cs="宋体"/>
              </w:rPr>
              <w:t>时须提供产品厂家针对本项目授权书原件，并加盖厂家公章。</w:t>
            </w:r>
            <w:r>
              <w:rPr>
                <w:rFonts w:hint="eastAsia"/>
              </w:rPr>
              <w:t>如在供货时无法提供上述材料，采购人不予接货，并按照合同违约处理，并解除合同。</w:t>
            </w:r>
            <w:r>
              <w:rPr>
                <w:rFonts w:hint="eastAsia" w:asciiTheme="minorEastAsia" w:hAnsiTheme="minorEastAsia"/>
                <w:bCs/>
                <w:kern w:val="0"/>
                <w:sz w:val="24"/>
                <w:szCs w:val="24"/>
              </w:rPr>
              <w:t>且采购人不承担任何合同违约责任。</w:t>
            </w:r>
          </w:p>
          <w:p>
            <w:pPr>
              <w:spacing w:line="360" w:lineRule="auto"/>
            </w:pPr>
            <w:r>
              <w:rPr>
                <w:rFonts w:hint="eastAsia" w:asciiTheme="minorEastAsia" w:hAnsiTheme="minorEastAsia"/>
                <w:sz w:val="24"/>
                <w:szCs w:val="24"/>
              </w:rPr>
              <w:t>9. 带“★”为必需满足项，竞标人竞标时，必需满足，否则竞标无效。</w:t>
            </w:r>
          </w:p>
        </w:tc>
      </w:tr>
    </w:tbl>
    <w:p>
      <w:pPr>
        <w:spacing w:line="360" w:lineRule="auto"/>
        <w:rPr>
          <w:rFonts w:asciiTheme="minorEastAsia" w:hAnsiTheme="minorEastAsia"/>
          <w:color w:val="000000" w:themeColor="text1"/>
          <w:sz w:val="18"/>
          <w:szCs w:val="1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OGIwODBmN2YzZmY4YzYyNGNhZWU1YzcyYzI4ZWQifQ=="/>
  </w:docVars>
  <w:rsids>
    <w:rsidRoot w:val="00333892"/>
    <w:rsid w:val="0002712C"/>
    <w:rsid w:val="0003105D"/>
    <w:rsid w:val="0007236D"/>
    <w:rsid w:val="00102AB8"/>
    <w:rsid w:val="00121A44"/>
    <w:rsid w:val="00132584"/>
    <w:rsid w:val="00227D90"/>
    <w:rsid w:val="002458EF"/>
    <w:rsid w:val="002808C9"/>
    <w:rsid w:val="002A540C"/>
    <w:rsid w:val="002D12BB"/>
    <w:rsid w:val="00333892"/>
    <w:rsid w:val="003A4186"/>
    <w:rsid w:val="00443BFF"/>
    <w:rsid w:val="00454B9B"/>
    <w:rsid w:val="005250C0"/>
    <w:rsid w:val="005820C2"/>
    <w:rsid w:val="005C0AC4"/>
    <w:rsid w:val="00611CEA"/>
    <w:rsid w:val="00660ADE"/>
    <w:rsid w:val="00687C09"/>
    <w:rsid w:val="006F7161"/>
    <w:rsid w:val="00763BF1"/>
    <w:rsid w:val="00772790"/>
    <w:rsid w:val="007C4278"/>
    <w:rsid w:val="007C6ED7"/>
    <w:rsid w:val="007E0831"/>
    <w:rsid w:val="007F1AE4"/>
    <w:rsid w:val="0083755D"/>
    <w:rsid w:val="00854F01"/>
    <w:rsid w:val="00860541"/>
    <w:rsid w:val="00965952"/>
    <w:rsid w:val="009760E3"/>
    <w:rsid w:val="009E723A"/>
    <w:rsid w:val="00A202C7"/>
    <w:rsid w:val="00A5314B"/>
    <w:rsid w:val="00AA1319"/>
    <w:rsid w:val="00AA556B"/>
    <w:rsid w:val="00AE5E15"/>
    <w:rsid w:val="00BB0B35"/>
    <w:rsid w:val="00C022CE"/>
    <w:rsid w:val="00C039C8"/>
    <w:rsid w:val="00CC30A5"/>
    <w:rsid w:val="00CE061E"/>
    <w:rsid w:val="00DC0A7B"/>
    <w:rsid w:val="00F047CF"/>
    <w:rsid w:val="00FC057A"/>
    <w:rsid w:val="1BA463F9"/>
    <w:rsid w:val="27340585"/>
    <w:rsid w:val="65B95E34"/>
    <w:rsid w:val="7AB858FE"/>
    <w:rsid w:val="F9F7F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360" w:lineRule="auto"/>
      <w:ind w:left="1" w:hanging="1"/>
      <w:outlineLvl w:val="1"/>
    </w:pPr>
    <w:rPr>
      <w:rFonts w:asciiTheme="minorEastAsia" w:hAnsiTheme="minorEastAsia"/>
      <w:bCs/>
      <w:kern w:val="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character" w:customStyle="1" w:styleId="9">
    <w:name w:val="页眉 Char"/>
    <w:basedOn w:val="5"/>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257</Words>
  <Characters>1471</Characters>
  <Lines>12</Lines>
  <Paragraphs>3</Paragraphs>
  <TotalTime>191</TotalTime>
  <ScaleCrop>false</ScaleCrop>
  <LinksUpToDate>false</LinksUpToDate>
  <CharactersWithSpaces>1725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2024-09-05T09:40:00Z</dcterms:created>
  <dc:creator>Administrator</dc:creator>
  <cp:lastModifiedBy>Administrator</cp:lastModifiedBy>
  <dcterms:modified xsi:type="dcterms:W3CDTF">2026-05-08T04:12:25Z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641F6B62F001FBD3E897AF6944F1EF98_43</vt:lpwstr>
  </property>
</Properties>
</file>