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二</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5"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5" w:firstLineChars="500"/>
        <w:rPr>
          <w:rFonts w:hint="eastAsia" w:ascii="宋体" w:hAnsi="宋体"/>
          <w:b/>
          <w:bCs/>
          <w:sz w:val="30"/>
          <w:szCs w:val="30"/>
          <w:highlight w:val="none"/>
        </w:rPr>
      </w:pPr>
    </w:p>
    <w:p>
      <w:pPr>
        <w:snapToGrid w:val="0"/>
        <w:spacing w:before="156" w:beforeLines="50" w:line="360" w:lineRule="auto"/>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12日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1"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二</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w:t>
      </w:r>
      <w:r>
        <w:rPr>
          <w:rFonts w:hint="eastAsia" w:ascii="宋体" w:hAnsi="宋体"/>
          <w:b/>
          <w:bCs/>
          <w:sz w:val="24"/>
          <w:szCs w:val="24"/>
          <w:highlight w:val="none"/>
          <w:lang w:val="en-US" w:eastAsia="zh-CN"/>
        </w:rPr>
        <w:t>元）:469800</w:t>
      </w:r>
      <w:r>
        <w:rPr>
          <w:rFonts w:hint="eastAsia" w:ascii="宋体" w:hAnsi="宋体"/>
          <w:b/>
          <w:bCs/>
          <w:sz w:val="24"/>
          <w:szCs w:val="24"/>
          <w:highlight w:val="none"/>
        </w:rPr>
        <w:t>.00</w:t>
      </w:r>
      <w:r>
        <w:rPr>
          <w:rFonts w:hint="eastAsia" w:ascii="宋体" w:hAnsi="宋体" w:eastAsia="宋体" w:cs="Times New Roman"/>
          <w:b/>
          <w:bCs/>
          <w:color w:val="auto"/>
          <w:sz w:val="24"/>
          <w:szCs w:val="24"/>
          <w:highlight w:val="none"/>
          <w:u w:val="none"/>
        </w:rPr>
        <w:t>元</w:t>
      </w: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38"/>
        <w:gridCol w:w="176"/>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108个县（区）统计局统计业务专网联网线路租用</w:t>
            </w:r>
          </w:p>
        </w:tc>
        <w:tc>
          <w:tcPr>
            <w:tcW w:w="77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▲1、租用13个市统计局到108个县（区）统计局（详细单位名称及线路安装地址现场勘察时提供）共计108条电路</w:t>
            </w:r>
            <w:r>
              <w:rPr>
                <w:rFonts w:hint="eastAsia" w:ascii="宋体" w:hAnsi="宋体" w:cs="宋体"/>
                <w:color w:val="auto"/>
                <w:sz w:val="21"/>
                <w:szCs w:val="21"/>
                <w:highlight w:val="none"/>
                <w:lang w:eastAsia="zh-CN"/>
              </w:rPr>
              <w:t>，</w:t>
            </w:r>
            <w:r>
              <w:rPr>
                <w:rFonts w:hint="eastAsia" w:ascii="宋体" w:hAnsi="宋体" w:eastAsia="宋体" w:cs="宋体"/>
                <w:color w:val="auto"/>
                <w:highlight w:val="none"/>
              </w:rPr>
              <w:t>免费提供接入设备</w:t>
            </w:r>
            <w:r>
              <w:rPr>
                <w:rFonts w:hint="eastAsia" w:ascii="宋体" w:hAnsi="宋体" w:eastAsia="宋体" w:cs="宋体"/>
                <w:color w:val="auto"/>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每条</w:t>
            </w:r>
            <w:r>
              <w:rPr>
                <w:rFonts w:hint="eastAsia" w:ascii="宋体" w:hAnsi="宋体" w:eastAsia="宋体" w:cs="宋体"/>
                <w:color w:val="auto"/>
                <w:sz w:val="21"/>
                <w:szCs w:val="21"/>
                <w:highlight w:val="none"/>
              </w:rPr>
              <w:t>电路带宽100Mbps以上；</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3、线路接口类型为电口；</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4、组网方式为点到多点汇聚方式；</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5、线路误码率要求：单条电路端到端电路误码率，数字电路≤10E-7（1×10-7）；</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▲6、不接受EON//IP RAN/VPN等方式组网；</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、传输线路要求做标记处理，可供用户多个VLAN传输；</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rPr>
              <w:t>、线路升级必须保证平滑过渡，不能影响统计业务的正常进行；</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必须提供以下线路故障及维护服务：出租数字电路提供全年7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24小时的不间断故障申报服务，故障申报响应时间不超过10分钟，一般故障恢复时间不超过2小时，全年7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24小时电路可用率为99.8%以上，未商定的其他服务质量指标，按《电信服务质量标准（试行）》的质量要求，提供相应服务质量；</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、线路要满足国家有关政务信息系统建设IPV6的要求；</w:t>
            </w:r>
          </w:p>
          <w:p>
            <w:pPr>
              <w:pStyle w:val="2"/>
              <w:numPr>
                <w:ilvl w:val="0"/>
                <w:numId w:val="0"/>
              </w:numPr>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所租用电路涉及的网络设备、安全设备的优化服务，包含以下内容：路由拓扑整理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路由器、交换机配置备份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网络结构优化建议和配置</w:t>
            </w:r>
            <w:r>
              <w:rPr>
                <w:rFonts w:hint="eastAsia" w:ascii="宋体" w:hAnsi="宋体" w:eastAsia="宋体" w:cs="宋体"/>
                <w:color w:val="auto"/>
                <w:sz w:val="21"/>
                <w:szCs w:val="21"/>
                <w:highlight w:val="none"/>
                <w:lang w:eastAsia="zh-CN"/>
              </w:rPr>
              <w:t>。</w:t>
            </w:r>
          </w:p>
          <w:p>
            <w:pPr>
              <w:pStyle w:val="2"/>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提供实时线路质量监控服务，并基于手机短信的实时告警推送至采购人指定专人手机，告警内容包括但不限于指标劣化、光功率异常、电路中断等。</w:t>
            </w:r>
          </w:p>
          <w:p>
            <w:pPr>
              <w:numPr>
                <w:ilvl w:val="0"/>
                <w:numId w:val="0"/>
              </w:num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线路</w:t>
            </w:r>
            <w:r>
              <w:rPr>
                <w:rFonts w:hint="eastAsia" w:ascii="宋体" w:hAnsi="宋体" w:eastAsia="宋体" w:cs="宋体"/>
                <w:color w:val="auto"/>
                <w:highlight w:val="none"/>
              </w:rPr>
              <w:t>故障发生后15分钟内，通过电话</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即时通讯工具向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进行初报，说明故障现象和初步影响范围；处置过程中每30分钟进行一次阶段性报告，反馈排查进展和预计恢复时间；故障恢复后48小时内提交书面处置总结，包含故障根因分析和改进措施。</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、线路服务租用合同期为1年。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3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采购标的需执行国家标准、行业标准、地方标准或者其他标准、规范。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广西南宁市内采购人指定地点。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承诺在合同期内每条电路提供一次免费迁移服务；</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在电路租用期间应提供免费传输知识培训，指导使用方技术人员做好日常维护；</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4、投标时提供售后服务承诺书，在当地有专人实施电路的售后服务，提供售后服务机构及联系人名单，列明详细地址及联系方式；</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5、投标时承诺提供7×24小时热线电话服务,并提供故障申告途径及绿色通道，做到全方位响应，并指定专人负责上门受理调试日常维护及平时协助甲方维护检测等工作；提供365×24小时的售后服务响应；</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网络的畅通，负责运营商到用户单位主干光缆所有设备的免费运行维护，如光端机、转换器等设备，如果主干网络出现问题，必须在接到报告后1个小时内到达现场，负责排除故障，直到网络恢复正常，如设备故障在4小时内无法解决的应免费提供备件，确保网络正常运行；</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7、每个季度对网络进行一次巡检，检查网络设备和主干光缆的运行情况，提交巡检报告。巡检报告应包括线路带宽测试结果、线路故障情况等内容；</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8、当用户网络需要扩展、迁移或升级时，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负责免费提供相应解决方案等技术支持；因</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施工、网络割接等原因影响宽带网络运行的，应当提前一天通知用户，并且尽快消除故障、恢复通信线路。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▲报价说明</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本标项预算金额为广西壮族自治区统计局</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万元，各市、县（区）统计局</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万元。投标人按上限价</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万元自由报价，中标后，自治区统计局和各市、县（区）统计局分别按成交供应商中标金额直接支付至中标方指定账号。即本标项实际预算总金额为</w:t>
            </w:r>
            <w:r>
              <w:rPr>
                <w:rFonts w:hint="eastAsia" w:ascii="宋体" w:hAnsi="宋体" w:cs="宋体"/>
                <w:color w:val="auto"/>
                <w:sz w:val="21"/>
                <w:szCs w:val="21"/>
                <w:highlight w:val="none"/>
                <w:lang w:val="en-US" w:eastAsia="zh-CN"/>
              </w:rPr>
              <w:t>93.96</w:t>
            </w:r>
            <w:r>
              <w:rPr>
                <w:rFonts w:hint="eastAsia" w:ascii="宋体" w:hAnsi="宋体" w:eastAsia="宋体" w:cs="宋体"/>
                <w:color w:val="auto"/>
                <w:sz w:val="21"/>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自治区统计局在合同签订后1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，成交供应商向采购人</w:t>
            </w:r>
            <w:r>
              <w:rPr>
                <w:rFonts w:hint="eastAsia" w:ascii="宋体" w:hAnsi="宋体" w:eastAsia="宋体" w:cs="宋体"/>
                <w:color w:val="auto"/>
                <w:sz w:val="21"/>
                <w:szCs w:val="21"/>
                <w:highlight w:val="none"/>
              </w:rPr>
              <w:t>提交初步</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采购人确认工作方案后，</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支付合同价款的</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%。余款由采购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视工作开展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情况及预算执行情况支付（</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工作如需外聘专家，专家评审费由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各市、县（区）统计局的付款方式由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与各市、县（区）统计局商定。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一、总体要求</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color w:val="auto"/>
              </w:rPr>
            </w:pPr>
            <w:r>
              <w:rPr>
                <w:rFonts w:hint="eastAsia" w:ascii="宋体" w:hAnsi="宋体" w:eastAsia="宋体" w:cs="宋体"/>
                <w:color w:val="auto"/>
                <w:sz w:val="21"/>
                <w:szCs w:val="21"/>
                <w:highlight w:val="none"/>
              </w:rPr>
              <w:t>投标人投标时必须提供包括但不限于详细的技术方案、实施方案、</w:t>
            </w:r>
            <w:r>
              <w:rPr>
                <w:rFonts w:hint="eastAsia" w:ascii="宋体" w:hAnsi="宋体" w:cs="宋体"/>
                <w:color w:val="auto"/>
                <w:sz w:val="21"/>
                <w:szCs w:val="21"/>
                <w:highlight w:val="none"/>
                <w:lang w:eastAsia="zh-CN"/>
              </w:rPr>
              <w:t>人员服务方案、</w:t>
            </w:r>
            <w:r>
              <w:rPr>
                <w:rFonts w:hint="eastAsia" w:ascii="宋体" w:hAnsi="宋体" w:eastAsia="宋体" w:cs="宋体"/>
                <w:color w:val="auto"/>
                <w:sz w:val="21"/>
                <w:szCs w:val="21"/>
                <w:highlight w:val="none"/>
              </w:rPr>
              <w:t>售后服务方案及与本项目相关的信誉及业绩材料。</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二、验收要求及标准</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根据采购需求的要求进行验收。</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三、其它</w:t>
            </w:r>
          </w:p>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1、投标人</w:t>
            </w:r>
            <w:r>
              <w:rPr>
                <w:rFonts w:hint="eastAsia" w:ascii="宋体" w:hAnsi="宋体" w:eastAsia="宋体" w:cs="宋体"/>
                <w:color w:val="auto"/>
                <w:kern w:val="2"/>
                <w:sz w:val="21"/>
                <w:szCs w:val="21"/>
                <w:highlight w:val="none"/>
                <w:lang w:val="en-US" w:eastAsia="zh-CN" w:bidi="ar-SA"/>
              </w:rPr>
              <w:t>拟投入的技术服务人员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、投标人可现场勘察，需现场勘察可与采购人联系。联系人：</w:t>
            </w:r>
            <w:r>
              <w:rPr>
                <w:rFonts w:hint="eastAsia" w:ascii="宋体" w:hAnsi="宋体" w:eastAsia="宋体" w:cs="宋体"/>
                <w:color w:val="auto"/>
                <w:sz w:val="21"/>
                <w:szCs w:val="21"/>
                <w:highlight w:val="none"/>
                <w:lang w:eastAsia="zh-CN"/>
              </w:rPr>
              <w:t>潘济</w:t>
            </w:r>
            <w:r>
              <w:rPr>
                <w:rFonts w:hint="eastAsia" w:ascii="宋体" w:hAnsi="宋体" w:eastAsia="宋体" w:cs="宋体"/>
                <w:color w:val="auto"/>
                <w:sz w:val="21"/>
                <w:szCs w:val="21"/>
                <w:highlight w:val="none"/>
              </w:rPr>
              <w:t>，联系电话：0771-</w:t>
            </w:r>
            <w:r>
              <w:rPr>
                <w:rFonts w:hint="eastAsia" w:ascii="宋体" w:hAnsi="宋体" w:eastAsia="宋体" w:cs="宋体"/>
                <w:color w:val="auto"/>
                <w:sz w:val="21"/>
                <w:szCs w:val="21"/>
                <w:highlight w:val="none"/>
                <w:lang w:val="en-US" w:eastAsia="zh-CN"/>
              </w:rPr>
              <w:t>5851921</w:t>
            </w:r>
            <w:r>
              <w:rPr>
                <w:rFonts w:hint="eastAsia" w:ascii="宋体" w:hAnsi="宋体" w:eastAsia="宋体" w:cs="宋体"/>
                <w:color w:val="auto"/>
                <w:sz w:val="21"/>
                <w:szCs w:val="21"/>
                <w:highlight w:val="none"/>
              </w:rPr>
              <w:t>。勘察时间：202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
              </w:rPr>
              <w:t>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下</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
              </w:rPr>
              <w:t>15</w:t>
            </w:r>
            <w:r>
              <w:rPr>
                <w:rFonts w:hint="eastAsia" w:ascii="宋体" w:hAnsi="宋体" w:eastAsia="宋体" w:cs="宋体"/>
                <w:color w:val="auto"/>
                <w:sz w:val="21"/>
                <w:szCs w:val="21"/>
                <w:highlight w:val="none"/>
              </w:rPr>
              <w:t>时开始</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
              </w:rPr>
              <w:t>7</w:t>
            </w:r>
            <w:r>
              <w:rPr>
                <w:rFonts w:hint="eastAsia" w:ascii="宋体" w:hAnsi="宋体" w:eastAsia="宋体" w:cs="宋体"/>
                <w:color w:val="auto"/>
                <w:sz w:val="21"/>
                <w:szCs w:val="21"/>
                <w:highlight w:val="none"/>
                <w:lang w:val="en-US" w:eastAsia="zh-CN"/>
              </w:rPr>
              <w:t>时结束</w:t>
            </w:r>
            <w:r>
              <w:rPr>
                <w:rFonts w:hint="eastAsia" w:ascii="宋体" w:hAnsi="宋体" w:eastAsia="宋体" w:cs="宋体"/>
                <w:color w:val="auto"/>
                <w:sz w:val="21"/>
                <w:szCs w:val="21"/>
                <w:highlight w:val="none"/>
              </w:rPr>
              <w:t>，其余时间不予接待。勘察地点：南宁市建宁路6号。</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四、风险提示</w:t>
            </w:r>
            <w:bookmarkStart w:id="0" w:name="_GoBack"/>
            <w:bookmarkEnd w:id="0"/>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因本项目所租用的线路用于统计业务专网，如遇国家或自治区重大政策调整，则本项目合同可能提前终止。</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1F514982"/>
    <w:rsid w:val="20C53256"/>
    <w:rsid w:val="2F833364"/>
    <w:rsid w:val="347505C1"/>
    <w:rsid w:val="39FE4A70"/>
    <w:rsid w:val="3C334415"/>
    <w:rsid w:val="3F3AF60B"/>
    <w:rsid w:val="4CDE07C0"/>
    <w:rsid w:val="4FFFA53A"/>
    <w:rsid w:val="54907731"/>
    <w:rsid w:val="58965058"/>
    <w:rsid w:val="58B37024"/>
    <w:rsid w:val="5D42395E"/>
    <w:rsid w:val="5FFED80D"/>
    <w:rsid w:val="66E86B37"/>
    <w:rsid w:val="71FB13BE"/>
    <w:rsid w:val="7EF78EB4"/>
    <w:rsid w:val="E3FFF49E"/>
    <w:rsid w:val="EFFFC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0</TotalTime>
  <ScaleCrop>false</ScaleCrop>
  <LinksUpToDate>false</LinksUpToDate>
  <CharactersWithSpaces>5555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2026-06-02T17:36:00Z</dcterms:created>
  <dc:creator>Dell</dc:creator>
  <cp:lastModifiedBy>越岸折桂</cp:lastModifiedBy>
  <cp:lastPrinted>2026-06-04T16:23:00Z</cp:lastPrinted>
  <dcterms:modified xsi:type="dcterms:W3CDTF">2026-06-10T16:15:34Z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