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hint="eastAsia"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napToGrid w:val="0"/>
        <w:spacing w:before="156" w:beforeLines="50" w:line="360" w:lineRule="auto"/>
        <w:ind w:left="0" w:leftChars="0" w:firstLine="0" w:firstLineChars="0"/>
        <w:jc w:val="center"/>
        <w:rPr>
          <w:rFonts w:hint="eastAsia" w:ascii="宋体" w:hAnsi="宋体" w:eastAsia="宋体"/>
          <w:b/>
          <w:bCs/>
          <w:sz w:val="48"/>
          <w:szCs w:val="48"/>
          <w:highlight w:val="none"/>
          <w:lang w:val="en" w:eastAsia="zh-CN"/>
        </w:rPr>
      </w:pPr>
      <w:r>
        <w:rPr>
          <w:rFonts w:hint="eastAsia" w:ascii="宋体" w:hAnsi="宋体"/>
          <w:b/>
          <w:bCs/>
          <w:sz w:val="48"/>
          <w:szCs w:val="48"/>
          <w:highlight w:val="none"/>
          <w:lang w:eastAsia="zh-CN"/>
        </w:rPr>
        <w:t>统计业务</w:t>
      </w:r>
      <w:r>
        <w:rPr>
          <w:rFonts w:hint="eastAsia" w:ascii="宋体" w:hAnsi="宋体"/>
          <w:b/>
          <w:bCs/>
          <w:sz w:val="48"/>
          <w:szCs w:val="48"/>
          <w:highlight w:val="none"/>
        </w:rPr>
        <w:t>专网联网线路</w:t>
      </w:r>
      <w:r>
        <w:rPr>
          <w:rFonts w:hint="eastAsia" w:ascii="宋体" w:hAnsi="宋体"/>
          <w:b/>
          <w:bCs/>
          <w:sz w:val="48"/>
          <w:szCs w:val="48"/>
          <w:highlight w:val="none"/>
          <w:lang w:eastAsia="zh-CN"/>
        </w:rPr>
        <w:t>三</w:t>
      </w:r>
      <w:r>
        <w:rPr>
          <w:rFonts w:hint="eastAsia" w:ascii="宋体" w:hAnsi="宋体"/>
          <w:b/>
          <w:bCs/>
          <w:sz w:val="48"/>
          <w:szCs w:val="48"/>
          <w:highlight w:val="none"/>
        </w:rPr>
        <w:t>租用</w:t>
      </w:r>
      <w:r>
        <w:rPr>
          <w:rFonts w:hint="eastAsia" w:ascii="宋体" w:hAnsi="宋体"/>
          <w:b/>
          <w:bCs/>
          <w:sz w:val="48"/>
          <w:szCs w:val="48"/>
          <w:highlight w:val="none"/>
          <w:lang w:eastAsia="zh-CN"/>
        </w:rPr>
        <w:t>服务采购</w:t>
      </w:r>
    </w:p>
    <w:p>
      <w:pPr>
        <w:spacing w:before="156" w:beforeLines="50"/>
        <w:jc w:val="center"/>
        <w:rPr>
          <w:rFonts w:hint="eastAsia" w:ascii="宋体" w:hAnsi="宋体"/>
          <w:sz w:val="72"/>
          <w:szCs w:val="72"/>
          <w:highlight w:val="none"/>
        </w:rPr>
      </w:pPr>
      <w:r>
        <w:rPr>
          <w:rFonts w:hint="eastAsia" w:ascii="方正公文小标宋" w:hAnsi="方正公文小标宋" w:eastAsia="方正公文小标宋" w:cs="方正公文小标宋"/>
          <w:bCs/>
          <w:sz w:val="44"/>
          <w:szCs w:val="44"/>
        </w:rPr>
        <w:t>在线询价采购文件</w:t>
      </w:r>
    </w:p>
    <w:p>
      <w:pPr>
        <w:snapToGrid w:val="0"/>
        <w:spacing w:before="156" w:beforeLines="50" w:line="360" w:lineRule="auto"/>
        <w:rPr>
          <w:rFonts w:hint="eastAsia" w:ascii="宋体" w:hAnsi="宋体"/>
          <w:sz w:val="30"/>
          <w:szCs w:val="30"/>
          <w:highlight w:val="none"/>
        </w:rPr>
      </w:pPr>
      <w:r>
        <w:rPr>
          <w:rFonts w:hint="eastAsia" w:ascii="宋体" w:hAnsi="宋体"/>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ind w:left="370" w:hanging="370" w:hangingChars="1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lang w:val="en"/>
        </w:rPr>
      </w:pPr>
    </w:p>
    <w:p>
      <w:pPr>
        <w:tabs>
          <w:tab w:val="left" w:pos="6873"/>
        </w:tabs>
        <w:snapToGrid w:val="0"/>
        <w:spacing w:before="156" w:beforeLines="50" w:line="360" w:lineRule="auto"/>
        <w:ind w:firstLine="1505" w:firstLineChars="500"/>
        <w:rPr>
          <w:rFonts w:hint="eastAsia" w:ascii="宋体" w:hAnsi="宋体" w:eastAsia="宋体"/>
          <w:b/>
          <w:bCs/>
          <w:sz w:val="30"/>
          <w:szCs w:val="30"/>
          <w:highlight w:val="none"/>
          <w:lang w:eastAsia="zh-CN"/>
        </w:rPr>
      </w:pPr>
      <w:r>
        <w:rPr>
          <w:rFonts w:hint="eastAsia" w:ascii="宋体" w:hAnsi="宋体"/>
          <w:b/>
          <w:bCs/>
          <w:sz w:val="30"/>
          <w:szCs w:val="30"/>
          <w:highlight w:val="none"/>
        </w:rPr>
        <w:t xml:space="preserve"> </w:t>
      </w:r>
      <w:r>
        <w:rPr>
          <w:rFonts w:hint="eastAsia" w:ascii="宋体" w:hAnsi="宋体"/>
          <w:b/>
          <w:bCs/>
          <w:sz w:val="30"/>
          <w:szCs w:val="30"/>
          <w:highlight w:val="none"/>
          <w:lang w:eastAsia="zh-CN"/>
        </w:rPr>
        <w:tab/>
      </w:r>
    </w:p>
    <w:p>
      <w:pPr>
        <w:snapToGrid w:val="0"/>
        <w:spacing w:before="156" w:beforeLines="50" w:line="360" w:lineRule="auto"/>
        <w:ind w:firstLine="1505" w:firstLineChars="500"/>
        <w:rPr>
          <w:rFonts w:hint="eastAsia" w:ascii="宋体" w:hAnsi="宋体"/>
          <w:b/>
          <w:bCs/>
          <w:sz w:val="30"/>
          <w:szCs w:val="30"/>
          <w:highlight w:val="none"/>
        </w:rPr>
      </w:pPr>
    </w:p>
    <w:p>
      <w:pPr>
        <w:snapToGrid w:val="0"/>
        <w:spacing w:before="156" w:beforeLines="50" w:line="360" w:lineRule="auto"/>
        <w:jc w:val="center"/>
        <w:rPr>
          <w:rFonts w:hint="default" w:ascii="宋体" w:hAnsi="宋体" w:eastAsia="宋体"/>
          <w:b/>
          <w:bCs/>
          <w:sz w:val="30"/>
          <w:szCs w:val="30"/>
          <w:highlight w:val="none"/>
          <w:lang w:val="en-US" w:eastAsia="zh-CN"/>
        </w:rPr>
      </w:pP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b/>
          <w:bCs/>
          <w:sz w:val="30"/>
          <w:szCs w:val="30"/>
          <w:highlight w:val="none"/>
          <w:lang w:val="en-US" w:eastAsia="zh-CN"/>
        </w:rPr>
        <w:t>6</w:t>
      </w:r>
      <w:r>
        <w:rPr>
          <w:rFonts w:hint="eastAsia" w:ascii="宋体" w:hAnsi="宋体"/>
          <w:b/>
          <w:bCs/>
          <w:sz w:val="30"/>
          <w:szCs w:val="30"/>
          <w:highlight w:val="none"/>
        </w:rPr>
        <w:t>月</w:t>
      </w:r>
      <w:r>
        <w:rPr>
          <w:rFonts w:hint="eastAsia" w:ascii="宋体" w:hAnsi="宋体"/>
          <w:b/>
          <w:bCs/>
          <w:sz w:val="30"/>
          <w:szCs w:val="30"/>
          <w:highlight w:val="none"/>
          <w:lang w:val="en-US" w:eastAsia="zh-CN"/>
        </w:rPr>
        <w:t>12</w:t>
      </w:r>
      <w:bookmarkStart w:id="0" w:name="_GoBack"/>
      <w:bookmarkEnd w:id="0"/>
      <w:r>
        <w:rPr>
          <w:rFonts w:hint="eastAsia" w:ascii="宋体" w:hAnsi="宋体"/>
          <w:b/>
          <w:bCs/>
          <w:sz w:val="30"/>
          <w:szCs w:val="30"/>
          <w:highlight w:val="none"/>
          <w:lang w:val="en-US" w:eastAsia="zh-CN"/>
        </w:rPr>
        <w:t>日</w:t>
      </w:r>
    </w:p>
    <w:p>
      <w:pPr>
        <w:pStyle w:val="8"/>
        <w:spacing w:before="120" w:after="120" w:line="300" w:lineRule="exact"/>
        <w:rPr>
          <w:rFonts w:hint="eastAsia" w:ascii="仿宋" w:hAnsi="仿宋" w:cs="宋体"/>
          <w:kern w:val="0"/>
          <w:szCs w:val="21"/>
          <w:highlight w:val="none"/>
        </w:rPr>
      </w:pPr>
    </w:p>
    <w:p/>
    <w:p>
      <w:pPr>
        <w:pStyle w:val="2"/>
      </w:pPr>
    </w:p>
    <w:p>
      <w:pPr>
        <w:rPr>
          <w:rFonts w:hint="eastAsia" w:ascii="宋体" w:hAnsi="宋体" w:cs="宋体"/>
          <w:sz w:val="30"/>
          <w:szCs w:val="30"/>
        </w:rPr>
      </w:pP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eastAsia="zh-CN" w:bidi="ar"/>
        </w:rPr>
        <w:t>采购</w:t>
      </w:r>
      <w:r>
        <w:rPr>
          <w:rFonts w:hint="eastAsia" w:ascii="宋体" w:hAnsi="宋体" w:eastAsia="宋体" w:cs="宋体"/>
          <w:b/>
          <w:color w:val="auto"/>
          <w:sz w:val="32"/>
          <w:szCs w:val="32"/>
          <w:highlight w:val="none"/>
          <w:lang w:bidi="ar"/>
        </w:rPr>
        <w:t>需求</w:t>
      </w: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b/>
          <w:bCs/>
          <w:color w:val="auto"/>
          <w:highlight w:val="none"/>
          <w:lang w:eastAsia="zh-CN"/>
        </w:rPr>
      </w:pPr>
      <w:r>
        <w:rPr>
          <w:rFonts w:hint="eastAsia" w:ascii="宋体" w:hAnsi="宋体"/>
          <w:b/>
          <w:bCs/>
          <w:color w:val="auto"/>
          <w:highlight w:val="none"/>
          <w:lang w:eastAsia="zh-CN"/>
        </w:rPr>
        <w:t>一</w:t>
      </w:r>
      <w:r>
        <w:rPr>
          <w:rFonts w:hint="eastAsia" w:ascii="宋体" w:hAnsi="宋体"/>
          <w:b/>
          <w:bCs/>
          <w:color w:val="auto"/>
          <w:highlight w:val="none"/>
        </w:rPr>
        <w:t>、本项目类别</w:t>
      </w:r>
      <w:r>
        <w:rPr>
          <w:rFonts w:hint="default" w:ascii="宋体" w:hAnsi="宋体"/>
          <w:b/>
          <w:bCs/>
          <w:color w:val="auto"/>
          <w:highlight w:val="none"/>
          <w:lang w:val="en"/>
        </w:rPr>
        <w:t>：</w:t>
      </w:r>
      <w:r>
        <w:rPr>
          <w:rFonts w:hint="eastAsia" w:ascii="宋体" w:hAnsi="宋体"/>
          <w:b/>
          <w:bCs/>
          <w:color w:val="auto"/>
          <w:highlight w:val="none"/>
        </w:rPr>
        <w:t>服务</w:t>
      </w:r>
      <w:r>
        <w:rPr>
          <w:rFonts w:hint="eastAsia" w:ascii="宋体" w:hAnsi="宋体"/>
          <w:b/>
          <w:bCs/>
          <w:color w:val="auto"/>
          <w:highlight w:val="none"/>
          <w:lang w:eastAsia="zh-CN"/>
        </w:rPr>
        <w:t>类</w:t>
      </w: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b/>
          <w:bCs/>
          <w:color w:val="auto"/>
          <w:highlight w:val="none"/>
          <w:lang w:eastAsia="zh-CN"/>
        </w:rPr>
      </w:pPr>
      <w:r>
        <w:rPr>
          <w:rFonts w:hint="eastAsia" w:ascii="宋体" w:hAnsi="宋体"/>
          <w:b/>
          <w:bCs/>
          <w:color w:val="auto"/>
          <w:highlight w:val="none"/>
          <w:lang w:eastAsia="zh-CN"/>
        </w:rPr>
        <w:t>二</w:t>
      </w:r>
      <w:r>
        <w:rPr>
          <w:rFonts w:hint="eastAsia" w:ascii="宋体" w:hAnsi="宋体"/>
          <w:b/>
          <w:bCs/>
          <w:color w:val="auto"/>
          <w:highlight w:val="none"/>
        </w:rPr>
        <w:t>、本项目采购标的对应的中小企业划分标准所属行业为</w:t>
      </w:r>
      <w:r>
        <w:rPr>
          <w:rFonts w:hint="eastAsia" w:ascii="宋体" w:hAnsi="宋体"/>
          <w:b/>
          <w:bCs/>
          <w:color w:val="auto"/>
          <w:highlight w:val="none"/>
          <w:lang w:eastAsia="zh-CN"/>
        </w:rPr>
        <w:t>：信息传输业。</w:t>
      </w:r>
    </w:p>
    <w:p>
      <w:pPr>
        <w:pageBreakBefore w:val="0"/>
        <w:kinsoku/>
        <w:wordWrap/>
        <w:overflowPunct/>
        <w:topLinePunct w:val="0"/>
        <w:autoSpaceDE/>
        <w:autoSpaceDN/>
        <w:bidi w:val="0"/>
        <w:spacing w:line="400" w:lineRule="exact"/>
        <w:ind w:firstLine="421" w:firstLineChars="200"/>
        <w:rPr>
          <w:rStyle w:val="18"/>
          <w:rFonts w:hint="eastAsia" w:ascii="宋体" w:hAnsi="宋体" w:eastAsia="宋体" w:cs="Times New Roman"/>
          <w:b/>
          <w:bCs/>
          <w:color w:val="auto"/>
          <w:szCs w:val="21"/>
          <w:highlight w:val="none"/>
          <w:u w:val="none"/>
          <w:lang w:eastAsia="zh-CN"/>
        </w:rPr>
      </w:pPr>
      <w:r>
        <w:rPr>
          <w:rStyle w:val="18"/>
          <w:rFonts w:hint="eastAsia" w:ascii="宋体" w:hAnsi="宋体" w:eastAsia="宋体" w:cs="Times New Roman"/>
          <w:b/>
          <w:bCs/>
          <w:color w:val="auto"/>
          <w:szCs w:val="21"/>
          <w:highlight w:val="none"/>
          <w:u w:val="none"/>
          <w:lang w:val="en-US" w:eastAsia="zh-CN"/>
        </w:rPr>
        <w:t>三、标记“</w:t>
      </w:r>
      <w:r>
        <w:rPr>
          <w:rFonts w:hint="eastAsia" w:ascii="宋体" w:hAnsi="宋体" w:eastAsia="宋体" w:cs="宋体"/>
          <w:color w:val="auto"/>
          <w:sz w:val="21"/>
          <w:szCs w:val="21"/>
          <w:highlight w:val="none"/>
        </w:rPr>
        <w:t>▲</w:t>
      </w:r>
      <w:r>
        <w:rPr>
          <w:rStyle w:val="18"/>
          <w:rFonts w:hint="eastAsia" w:ascii="宋体" w:hAnsi="宋体" w:eastAsia="宋体" w:cs="Times New Roman"/>
          <w:b/>
          <w:bCs/>
          <w:color w:val="auto"/>
          <w:szCs w:val="21"/>
          <w:highlight w:val="none"/>
          <w:u w:val="none"/>
          <w:lang w:val="en-US" w:eastAsia="zh-CN"/>
        </w:rPr>
        <w:t>”</w:t>
      </w:r>
      <w:r>
        <w:rPr>
          <w:rStyle w:val="18"/>
          <w:rFonts w:hint="eastAsia" w:ascii="宋体" w:hAnsi="宋体" w:eastAsia="宋体" w:cs="Times New Roman"/>
          <w:b/>
          <w:bCs/>
          <w:color w:val="auto"/>
          <w:szCs w:val="21"/>
          <w:highlight w:val="none"/>
          <w:u w:val="none"/>
        </w:rPr>
        <w:t>为</w:t>
      </w:r>
      <w:r>
        <w:rPr>
          <w:rStyle w:val="18"/>
          <w:rFonts w:hint="eastAsia" w:ascii="宋体" w:hAnsi="宋体" w:eastAsia="宋体" w:cs="Times New Roman"/>
          <w:b/>
          <w:bCs/>
          <w:color w:val="auto"/>
          <w:szCs w:val="21"/>
          <w:highlight w:val="none"/>
          <w:u w:val="none"/>
          <w:lang w:eastAsia="zh-CN"/>
        </w:rPr>
        <w:t>实际性响应条款，</w:t>
      </w:r>
      <w:r>
        <w:rPr>
          <w:rStyle w:val="18"/>
          <w:rFonts w:hint="eastAsia" w:ascii="宋体" w:hAnsi="宋体" w:eastAsia="宋体" w:cs="Times New Roman"/>
          <w:b/>
          <w:bCs/>
          <w:color w:val="auto"/>
          <w:szCs w:val="21"/>
          <w:highlight w:val="none"/>
          <w:u w:val="none"/>
        </w:rPr>
        <w:t>必须满足</w:t>
      </w:r>
      <w:r>
        <w:rPr>
          <w:rStyle w:val="18"/>
          <w:rFonts w:hint="eastAsia" w:ascii="宋体" w:hAnsi="宋体" w:eastAsia="宋体" w:cs="Times New Roman"/>
          <w:b/>
          <w:bCs/>
          <w:color w:val="auto"/>
          <w:szCs w:val="21"/>
          <w:highlight w:val="none"/>
          <w:u w:val="none"/>
          <w:lang w:eastAsia="zh-CN"/>
        </w:rPr>
        <w:t>或优于采购需求</w:t>
      </w:r>
      <w:r>
        <w:rPr>
          <w:rStyle w:val="18"/>
          <w:rFonts w:hint="eastAsia" w:ascii="宋体" w:hAnsi="宋体" w:eastAsia="宋体" w:cs="Times New Roman"/>
          <w:b/>
          <w:bCs/>
          <w:color w:val="auto"/>
          <w:szCs w:val="21"/>
          <w:highlight w:val="none"/>
          <w:u w:val="none"/>
        </w:rPr>
        <w:t>文件要求，</w:t>
      </w:r>
      <w:r>
        <w:rPr>
          <w:rStyle w:val="18"/>
          <w:rFonts w:hint="eastAsia" w:ascii="宋体" w:hAnsi="宋体" w:eastAsia="宋体" w:cs="Times New Roman"/>
          <w:b/>
          <w:bCs/>
          <w:color w:val="auto"/>
          <w:szCs w:val="21"/>
          <w:highlight w:val="none"/>
          <w:u w:val="none"/>
          <w:lang w:eastAsia="zh-CN"/>
        </w:rPr>
        <w:t>否</w:t>
      </w:r>
      <w:r>
        <w:rPr>
          <w:rStyle w:val="18"/>
          <w:rFonts w:hint="eastAsia" w:ascii="宋体" w:hAnsi="宋体" w:eastAsia="宋体" w:cs="Times New Roman"/>
          <w:b/>
          <w:bCs/>
          <w:color w:val="auto"/>
          <w:szCs w:val="21"/>
          <w:highlight w:val="none"/>
          <w:u w:val="none"/>
        </w:rPr>
        <w:t>则投标无效</w:t>
      </w:r>
      <w:r>
        <w:rPr>
          <w:rStyle w:val="18"/>
          <w:rFonts w:hint="eastAsia" w:ascii="宋体" w:hAnsi="宋体" w:eastAsia="宋体" w:cs="Times New Roman"/>
          <w:b/>
          <w:bCs/>
          <w:color w:val="auto"/>
          <w:szCs w:val="21"/>
          <w:highlight w:val="none"/>
          <w:u w:val="none"/>
          <w:lang w:eastAsia="zh-CN"/>
        </w:rPr>
        <w:t>。</w:t>
      </w:r>
    </w:p>
    <w:p>
      <w:pPr>
        <w:pStyle w:val="9"/>
        <w:pageBreakBefore w:val="0"/>
        <w:kinsoku/>
        <w:wordWrap/>
        <w:overflowPunct/>
        <w:topLinePunct w:val="0"/>
        <w:autoSpaceDE/>
        <w:autoSpaceDN/>
        <w:bidi w:val="0"/>
        <w:spacing w:line="400" w:lineRule="exact"/>
        <w:rPr>
          <w:rFonts w:hint="eastAsia" w:ascii="宋体" w:hAnsi="宋体"/>
          <w:b/>
          <w:bCs/>
          <w:color w:val="auto"/>
          <w:highlight w:val="none"/>
          <w:lang w:eastAsia="zh-CN"/>
        </w:rPr>
      </w:pPr>
    </w:p>
    <w:p>
      <w:pPr>
        <w:pageBreakBefore w:val="0"/>
        <w:kinsoku/>
        <w:wordWrap/>
        <w:overflowPunct/>
        <w:topLinePunct w:val="0"/>
        <w:autoSpaceDE/>
        <w:autoSpaceDN/>
        <w:bidi w:val="0"/>
        <w:spacing w:line="400" w:lineRule="exact"/>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lang w:eastAsia="zh-CN"/>
        </w:rPr>
        <w:t>项目名称：</w:t>
      </w:r>
      <w:r>
        <w:rPr>
          <w:rFonts w:hint="eastAsia" w:ascii="宋体" w:hAnsi="宋体"/>
          <w:b/>
          <w:bCs/>
          <w:sz w:val="24"/>
          <w:szCs w:val="24"/>
          <w:highlight w:val="none"/>
          <w:lang w:eastAsia="zh-CN"/>
        </w:rPr>
        <w:t>统计业务</w:t>
      </w:r>
      <w:r>
        <w:rPr>
          <w:rFonts w:hint="eastAsia" w:ascii="宋体" w:hAnsi="宋体"/>
          <w:b/>
          <w:bCs/>
          <w:sz w:val="24"/>
          <w:szCs w:val="24"/>
          <w:highlight w:val="none"/>
        </w:rPr>
        <w:t>专网联网线路</w:t>
      </w:r>
      <w:r>
        <w:rPr>
          <w:rFonts w:hint="eastAsia" w:ascii="宋体" w:hAnsi="宋体"/>
          <w:b/>
          <w:bCs/>
          <w:sz w:val="24"/>
          <w:szCs w:val="24"/>
          <w:highlight w:val="none"/>
          <w:lang w:eastAsia="zh-CN"/>
        </w:rPr>
        <w:t>三</w:t>
      </w:r>
      <w:r>
        <w:rPr>
          <w:rFonts w:hint="eastAsia" w:ascii="宋体" w:hAnsi="宋体"/>
          <w:b/>
          <w:bCs/>
          <w:sz w:val="24"/>
          <w:szCs w:val="24"/>
          <w:highlight w:val="none"/>
        </w:rPr>
        <w:t>租用</w:t>
      </w:r>
      <w:r>
        <w:rPr>
          <w:rFonts w:hint="eastAsia" w:ascii="宋体" w:hAnsi="宋体"/>
          <w:b/>
          <w:bCs/>
          <w:sz w:val="24"/>
          <w:szCs w:val="24"/>
          <w:highlight w:val="none"/>
          <w:lang w:eastAsia="zh-CN"/>
        </w:rPr>
        <w:t>服务采购</w:t>
      </w:r>
      <w:r>
        <w:rPr>
          <w:rFonts w:hint="eastAsia" w:ascii="宋体" w:hAnsi="宋体"/>
          <w:b/>
          <w:bCs/>
          <w:color w:val="auto"/>
          <w:sz w:val="24"/>
          <w:szCs w:val="24"/>
          <w:highlight w:val="none"/>
          <w:u w:val="none"/>
          <w:lang w:val="en-US" w:eastAsia="zh-CN"/>
        </w:rPr>
        <w:t xml:space="preserve">    </w:t>
      </w:r>
    </w:p>
    <w:p>
      <w:pPr>
        <w:pageBreakBefore w:val="0"/>
        <w:kinsoku/>
        <w:wordWrap/>
        <w:overflowPunct/>
        <w:topLinePunct w:val="0"/>
        <w:autoSpaceDE/>
        <w:autoSpaceDN/>
        <w:bidi w:val="0"/>
        <w:spacing w:line="400" w:lineRule="exact"/>
        <w:rPr>
          <w:rFonts w:hint="default"/>
          <w:sz w:val="24"/>
          <w:szCs w:val="24"/>
          <w:highlight w:val="none"/>
          <w:u w:val="none"/>
          <w:lang w:val="en-US" w:eastAsia="zh-CN"/>
        </w:rPr>
      </w:pPr>
      <w:r>
        <w:rPr>
          <w:rFonts w:hint="eastAsia" w:ascii="宋体" w:hAnsi="宋体"/>
          <w:b/>
          <w:bCs/>
          <w:color w:val="auto"/>
          <w:sz w:val="24"/>
          <w:szCs w:val="24"/>
          <w:highlight w:val="none"/>
          <w:u w:val="none"/>
          <w:lang w:val="en-US" w:eastAsia="zh-CN"/>
        </w:rPr>
        <w:t>预算金额</w:t>
      </w:r>
      <w:r>
        <w:rPr>
          <w:rFonts w:hint="eastAsia" w:ascii="宋体" w:hAnsi="宋体" w:eastAsia="宋体" w:cs="Times New Roman"/>
          <w:b/>
          <w:bCs/>
          <w:color w:val="auto"/>
          <w:sz w:val="24"/>
          <w:szCs w:val="24"/>
          <w:highlight w:val="none"/>
          <w:u w:val="none"/>
          <w:lang w:val="en-US" w:eastAsia="zh-CN"/>
        </w:rPr>
        <w:t>（元）:</w:t>
      </w:r>
      <w:r>
        <w:rPr>
          <w:rFonts w:hint="eastAsia" w:ascii="宋体" w:hAnsi="宋体" w:cs="Times New Roman"/>
          <w:b/>
          <w:bCs/>
          <w:color w:val="auto"/>
          <w:sz w:val="24"/>
          <w:szCs w:val="24"/>
          <w:highlight w:val="none"/>
          <w:u w:val="none"/>
          <w:lang w:val="en-US" w:eastAsia="zh-CN"/>
        </w:rPr>
        <w:t>2552</w:t>
      </w:r>
      <w:r>
        <w:rPr>
          <w:rFonts w:hint="eastAsia" w:ascii="宋体" w:hAnsi="宋体" w:eastAsia="宋体" w:cs="Times New Roman"/>
          <w:b/>
          <w:bCs/>
          <w:color w:val="auto"/>
          <w:sz w:val="24"/>
          <w:szCs w:val="24"/>
          <w:highlight w:val="none"/>
          <w:u w:val="none"/>
        </w:rPr>
        <w:t>00.00元</w:t>
      </w:r>
    </w:p>
    <w:tbl>
      <w:tblPr>
        <w:tblStyle w:val="14"/>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079"/>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项号</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服务</w:t>
            </w:r>
          </w:p>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105"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互联网出口线路租赁</w:t>
            </w:r>
          </w:p>
        </w:tc>
        <w:tc>
          <w:tcPr>
            <w:tcW w:w="77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1、提供互联网带宽线路4条，上下行带宽≥</w:t>
            </w:r>
            <w:r>
              <w:rPr>
                <w:rFonts w:hint="eastAsia" w:ascii="宋体" w:hAnsi="宋体" w:cs="宋体"/>
                <w:color w:val="auto"/>
                <w:highlight w:val="none"/>
                <w:lang w:val="en-US" w:eastAsia="zh-CN"/>
              </w:rPr>
              <w:t>1000</w:t>
            </w:r>
            <w:r>
              <w:rPr>
                <w:rFonts w:hint="eastAsia" w:ascii="宋体" w:hAnsi="宋体" w:eastAsia="宋体" w:cs="宋体"/>
                <w:color w:val="auto"/>
                <w:highlight w:val="none"/>
              </w:rPr>
              <w:t>M，接入方式为光纤接入,要求免费提供接入设备。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2、每条互联网宽带线路提供20个互联网IPv4地址和5个IPv6地址。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定期</w:t>
            </w:r>
            <w:r>
              <w:rPr>
                <w:rFonts w:hint="eastAsia" w:ascii="宋体" w:hAnsi="宋体" w:eastAsia="宋体" w:cs="宋体"/>
                <w:color w:val="auto"/>
                <w:highlight w:val="none"/>
              </w:rPr>
              <w:t>对用户</w:t>
            </w:r>
            <w:r>
              <w:rPr>
                <w:rFonts w:hint="eastAsia" w:ascii="宋体" w:hAnsi="宋体" w:cs="宋体"/>
                <w:color w:val="auto"/>
                <w:highlight w:val="none"/>
                <w:lang w:val="en-US" w:eastAsia="zh-CN"/>
              </w:rPr>
              <w:t>指定</w:t>
            </w:r>
            <w:r>
              <w:rPr>
                <w:rFonts w:hint="eastAsia" w:ascii="宋体" w:hAnsi="宋体" w:eastAsia="宋体" w:cs="宋体"/>
                <w:color w:val="auto"/>
                <w:highlight w:val="none"/>
              </w:rPr>
              <w:t>IP地址提供威胁监测分析服务，加载碰撞的威胁情报数量不低于8000万条，恶意类型应包含：APT，勒索，挖矿，恶意软件，钓鱼等</w:t>
            </w:r>
            <w:r>
              <w:rPr>
                <w:rFonts w:hint="eastAsia" w:ascii="宋体" w:hAnsi="宋体" w:cs="宋体"/>
                <w:color w:val="auto"/>
                <w:highlight w:val="none"/>
                <w:lang w:eastAsia="zh-CN"/>
              </w:rPr>
              <w:t>，</w:t>
            </w:r>
            <w:r>
              <w:rPr>
                <w:rFonts w:hint="eastAsia" w:ascii="宋体" w:hAnsi="宋体" w:eastAsia="宋体" w:cs="宋体"/>
                <w:color w:val="auto"/>
                <w:highlight w:val="none"/>
              </w:rPr>
              <w:t>提供</w:t>
            </w:r>
            <w:r>
              <w:rPr>
                <w:rFonts w:hint="eastAsia" w:ascii="宋体" w:hAnsi="宋体" w:cs="宋体"/>
                <w:color w:val="auto"/>
                <w:highlight w:val="none"/>
                <w:lang w:val="en-US" w:eastAsia="zh-CN"/>
              </w:rPr>
              <w:t>监测分析服务情况</w:t>
            </w:r>
            <w:r>
              <w:rPr>
                <w:rFonts w:hint="eastAsia" w:ascii="宋体" w:hAnsi="宋体" w:eastAsia="宋体" w:cs="宋体"/>
                <w:color w:val="auto"/>
                <w:highlight w:val="none"/>
              </w:rPr>
              <w:t>截图并支持验证。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4、接入层、汇聚层、核心层全网采用双路由的备份保护</w:t>
            </w:r>
            <w:r>
              <w:rPr>
                <w:rFonts w:hint="eastAsia" w:ascii="宋体" w:hAnsi="宋体" w:cs="宋体"/>
                <w:color w:val="auto"/>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5、互联网带宽裸机测试上下行速率稳定在</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00Mbit/s。</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6、专线可提供主流物理接口，如RJ45/LC/FC等。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7、接入层即用户端到运营商城域网节点线路可用率≥99.90%，丢包率≤0.1%，用户端到运营商网关最大时延≤5ms。</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8、汇聚层、核心层全网采用双路由的备份保护。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9、网络施工、调测以及割接升级期间，不对现有业务系统产生影响。</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10、提供一次总流量峰值不低于10G</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bps的抗DDOS流量清洗服务，采用先进的分布式近源清洗中心技术，基于管道侧的清洗中心，使用BGP进行全网牵引清洗或长牵引清洗，无需修改DNS配置和IP地址、只需要提供防护目标对象即可进行防护。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11、提供短信平台服务，每</w:t>
            </w:r>
            <w:r>
              <w:rPr>
                <w:rFonts w:hint="eastAsia" w:ascii="宋体" w:hAnsi="宋体" w:eastAsia="宋体" w:cs="宋体"/>
                <w:color w:val="auto"/>
                <w:highlight w:val="none"/>
                <w:lang w:eastAsia="zh-CN"/>
              </w:rPr>
              <w:t>年</w:t>
            </w:r>
            <w:r>
              <w:rPr>
                <w:rFonts w:hint="eastAsia" w:ascii="宋体" w:hAnsi="宋体" w:eastAsia="宋体" w:cs="宋体"/>
                <w:color w:val="auto"/>
                <w:highlight w:val="none"/>
              </w:rPr>
              <w:t>不少于</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0000条的短信发送服务。提供二次开发接口对接服务并配合进行接口协调联调，要求支持http、web service等方式无缝对接，由采购人其它IT系统调用短信平台的短信接口，实现短信平台与采购人其它IT系统进行数据互联。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235"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采购标的需执行的国家标准、行业标准、地方标准或者其他标准、规范。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服务期限、交付时间及地点</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1、服务期限：本项目服务期为</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olor w:val="auto"/>
                <w:szCs w:val="21"/>
              </w:rPr>
              <w:t>具体起止时间在项目成交后由采购人确定</w:t>
            </w:r>
            <w:r>
              <w:rPr>
                <w:rFonts w:hint="eastAsia" w:ascii="宋体" w:hAnsi="宋体" w:eastAsia="宋体" w:cs="宋体"/>
                <w:color w:val="auto"/>
                <w:sz w:val="21"/>
                <w:szCs w:val="21"/>
                <w:highlight w:val="none"/>
                <w:u w:val="none"/>
              </w:rPr>
              <w:t>。</w:t>
            </w:r>
            <w:r>
              <w:rPr>
                <w:rFonts w:hint="eastAsia"/>
                <w:color w:val="auto"/>
                <w:highlight w:val="none"/>
                <w:lang w:val="en-US" w:eastAsia="zh-CN"/>
              </w:rPr>
              <w:t>成交供应商在接到中标通知书之日起5个工作日内须完成双方合同签订，</w:t>
            </w:r>
            <w:r>
              <w:rPr>
                <w:rFonts w:hint="eastAsia" w:ascii="宋体" w:hAnsi="宋体" w:eastAsia="宋体" w:cs="宋体"/>
                <w:color w:val="auto"/>
                <w:sz w:val="21"/>
                <w:szCs w:val="21"/>
                <w:highlight w:val="none"/>
                <w:u w:val="none"/>
              </w:rPr>
              <w:t>自双方签订合同之日起</w:t>
            </w:r>
            <w:r>
              <w:rPr>
                <w:rFonts w:hint="eastAsia" w:ascii="宋体" w:hAnsi="宋体" w:cs="宋体"/>
                <w:color w:val="auto"/>
                <w:sz w:val="21"/>
                <w:szCs w:val="21"/>
                <w:highlight w:val="none"/>
                <w:u w:val="none"/>
                <w:lang w:val="en-US" w:eastAsia="zh-CN"/>
              </w:rPr>
              <w:t>10个</w:t>
            </w:r>
            <w:r>
              <w:rPr>
                <w:rFonts w:hint="eastAsia" w:ascii="宋体" w:hAnsi="宋体" w:eastAsia="宋体" w:cs="宋体"/>
                <w:color w:val="auto"/>
                <w:sz w:val="21"/>
                <w:szCs w:val="21"/>
                <w:highlight w:val="none"/>
                <w:u w:val="none"/>
                <w:lang w:val="en-US" w:eastAsia="zh-CN"/>
              </w:rPr>
              <w:t>工作日</w:t>
            </w:r>
            <w:r>
              <w:rPr>
                <w:rFonts w:hint="eastAsia" w:ascii="宋体" w:hAnsi="宋体" w:eastAsia="宋体" w:cs="宋体"/>
                <w:color w:val="auto"/>
                <w:sz w:val="21"/>
                <w:szCs w:val="21"/>
                <w:highlight w:val="none"/>
                <w:u w:val="none"/>
              </w:rPr>
              <w:t>内交付</w:t>
            </w:r>
            <w:r>
              <w:rPr>
                <w:rFonts w:hint="eastAsia" w:ascii="宋体" w:hAnsi="宋体" w:eastAsia="宋体" w:cs="宋体"/>
                <w:color w:val="auto"/>
                <w:sz w:val="21"/>
                <w:szCs w:val="21"/>
                <w:highlight w:val="none"/>
                <w:u w:val="none"/>
                <w:lang w:eastAsia="zh-CN"/>
              </w:rPr>
              <w:t>。</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、交付地点：</w:t>
            </w:r>
            <w:r>
              <w:rPr>
                <w:rFonts w:hint="eastAsia" w:ascii="宋体" w:hAnsi="宋体" w:eastAsia="宋体" w:cs="宋体"/>
                <w:bCs/>
                <w:color w:val="auto"/>
                <w:sz w:val="21"/>
                <w:szCs w:val="21"/>
                <w:highlight w:val="none"/>
                <w:u w:val="none"/>
                <w:shd w:val="clear" w:color="auto" w:fill="FFFFFF"/>
              </w:rPr>
              <w:t>广西南宁市内采购人指定地点。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合同款在合同签订后</w:t>
            </w:r>
            <w:r>
              <w:rPr>
                <w:rFonts w:hint="eastAsia" w:ascii="宋体" w:hAnsi="宋体" w:cs="宋体"/>
                <w:color w:val="auto"/>
                <w:kern w:val="2"/>
                <w:sz w:val="21"/>
                <w:szCs w:val="21"/>
                <w:highlight w:val="none"/>
                <w:u w:val="none"/>
                <w:lang w:val="en-US" w:eastAsia="zh-CN" w:bidi="ar-SA"/>
              </w:rPr>
              <w:t>，</w:t>
            </w:r>
            <w:r>
              <w:rPr>
                <w:rFonts w:hint="eastAsia" w:ascii="宋体" w:hAnsi="宋体" w:eastAsia="宋体" w:cs="宋体"/>
                <w:color w:val="auto"/>
                <w:kern w:val="2"/>
                <w:sz w:val="21"/>
                <w:szCs w:val="21"/>
                <w:highlight w:val="none"/>
                <w:u w:val="none"/>
                <w:lang w:val="en-US" w:eastAsia="zh-CN" w:bidi="ar-SA"/>
              </w:rPr>
              <w:t>成交供应商提交初步方案10个工作日内，采购人向成交供应商支付合同价款的70%。余款由采购单位视工作开展、验收情况及预算执行情况支付（验收工作如需外聘专家，专家评审费由成交供应商承担）。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项目实施要求</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免费送货上门，免费安装调试，并保证本项目服务与采购人原有线路租用服务之间的无缝衔接；</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在租用期限内</w:t>
            </w:r>
            <w:r>
              <w:rPr>
                <w:rFonts w:hint="eastAsia" w:ascii="宋体" w:hAnsi="宋体" w:eastAsia="宋体" w:cs="宋体"/>
                <w:color w:val="auto"/>
                <w:sz w:val="21"/>
                <w:szCs w:val="21"/>
                <w:highlight w:val="none"/>
                <w:u w:val="none"/>
                <w:lang w:eastAsia="zh-CN"/>
              </w:rPr>
              <w:t>成交供应商</w:t>
            </w:r>
            <w:r>
              <w:rPr>
                <w:rFonts w:hint="eastAsia" w:ascii="宋体" w:hAnsi="宋体" w:eastAsia="宋体" w:cs="宋体"/>
                <w:color w:val="auto"/>
                <w:sz w:val="21"/>
                <w:szCs w:val="21"/>
                <w:highlight w:val="none"/>
                <w:u w:val="none"/>
              </w:rPr>
              <w:t>应严格遵守《中华人民共和国电信条例》，维护双方权益，应按信息产业部颁布的《电信服务标准》的电路质量要求，保证采购人租用线路畅通及安全使用。</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供应商负责</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相关的设备安装调试等集成实施，其中涉及的线缆等辅材及施工费用均由供应商承担。</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采购人负责提供设备安装所需要的机房、机柜、供电及设备放置场地，给施工人员创造必备的施工条件。</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5</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实施过程需遵守采购人管理规定，做到安全规范实施。</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6</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供应商要保证对服务过程涉及采购人的企业资料和数据负有保密的责任和义务，未经采购人许可，不允许向第三方透露。</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7</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实施人员要求：</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1）供应商应合理安排实施人员负责本项目实施，其中项目经理负责项目实施总协调，服务经理负责项目服务一点对接。</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2）实施人员需遵守采购人相关管理规定，严格按照要求进行安装调试等实施工作。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1、故障响应及处理要求：服务期内，</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服务</w:t>
            </w:r>
            <w:r>
              <w:rPr>
                <w:rFonts w:hint="eastAsia" w:ascii="宋体" w:hAnsi="宋体" w:eastAsia="宋体" w:cs="宋体"/>
                <w:color w:val="auto"/>
                <w:sz w:val="21"/>
                <w:szCs w:val="21"/>
                <w:highlight w:val="none"/>
                <w:u w:val="none"/>
                <w:lang w:val="en-US" w:eastAsia="zh-CN"/>
              </w:rPr>
              <w:t>期间</w:t>
            </w:r>
            <w:r>
              <w:rPr>
                <w:rFonts w:hint="eastAsia" w:ascii="宋体" w:hAnsi="宋体" w:eastAsia="宋体" w:cs="宋体"/>
                <w:color w:val="auto"/>
                <w:sz w:val="21"/>
                <w:szCs w:val="21"/>
                <w:highlight w:val="none"/>
                <w:u w:val="none"/>
              </w:rPr>
              <w:t>出现故障要求</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分钟内做出响应，需赶往现场处理的</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color w:val="auto"/>
                <w:sz w:val="21"/>
                <w:szCs w:val="21"/>
                <w:highlight w:val="none"/>
                <w:u w:val="none"/>
              </w:rPr>
              <w:t>个小时内赶往现场，</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小时内解决问题。</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小时内无法修复的，供应商需提供同品牌备用设备及必要的零配件或备件进行替换，以免影响网络的正常运行。</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2、服务团队要求：供应商提供</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服务保障团队，提供人员名单、联系方式及故障受理电话，提供统一固定的服务接口人及7</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24小时服务热线，提供多渠道的故障申告途径。</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3、服务交流会要求：采购人可定期（每月或每季度）与供应商进行一次就</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运行服务交流会，交流总结本季度的网络运行状况和处理结果，及对下季度的运行服务保障进行讨论，进一步使双方的配合更加密切。</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4、服务报告要求：供应商按季向采购人提供服务报告，包含当季的</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运行情况（带宽利用趋势、用户上网行为趋势等）、服务工作内容、服务工作总结、工作建议等。</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投标人如有可提供针对本项目的技术、商务评分材料。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其它要求</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lang w:val="en-US" w:eastAsia="zh-CN"/>
              </w:rPr>
            </w:pPr>
            <w:r>
              <w:rPr>
                <w:rFonts w:hint="eastAsia" w:ascii="宋体" w:hAnsi="宋体" w:cs="宋体"/>
                <w:b/>
                <w:color w:val="auto"/>
                <w:sz w:val="21"/>
                <w:szCs w:val="21"/>
                <w:highlight w:val="none"/>
                <w:lang w:val="en-US" w:eastAsia="zh-CN"/>
              </w:rPr>
              <w:t>1、</w:t>
            </w:r>
            <w:r>
              <w:rPr>
                <w:rFonts w:hint="eastAsia" w:ascii="宋体" w:hAnsi="宋体" w:eastAsia="宋体" w:cs="宋体"/>
                <w:color w:val="auto"/>
                <w:sz w:val="21"/>
                <w:szCs w:val="21"/>
                <w:highlight w:val="none"/>
              </w:rPr>
              <w:t>投标人投标时必须提供包括但不限于详细的技术方案、实施方案、</w:t>
            </w:r>
            <w:r>
              <w:rPr>
                <w:rFonts w:hint="eastAsia" w:ascii="宋体" w:hAnsi="宋体" w:cs="宋体"/>
                <w:color w:val="auto"/>
                <w:sz w:val="21"/>
                <w:szCs w:val="21"/>
                <w:highlight w:val="none"/>
                <w:lang w:eastAsia="zh-CN"/>
              </w:rPr>
              <w:t>人员服务方案、</w:t>
            </w:r>
            <w:r>
              <w:rPr>
                <w:rFonts w:hint="eastAsia" w:ascii="宋体" w:hAnsi="宋体" w:eastAsia="宋体" w:cs="宋体"/>
                <w:color w:val="auto"/>
                <w:sz w:val="21"/>
                <w:szCs w:val="21"/>
                <w:highlight w:val="none"/>
              </w:rPr>
              <w:t>售后服务方案及与本项目相关的信誉及业绩材料。</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rPr>
            </w:pPr>
            <w:r>
              <w:rPr>
                <w:rFonts w:hint="eastAsia"/>
                <w:lang w:val="en-US" w:eastAsia="zh-CN"/>
              </w:rPr>
              <w:t>▲2、成交供应商拟投入的技术服务人员须为本公司的在职员工，中标后，成交供应商须向采购人提交技术服务人员的基本信息及成交供应商为其缴纳近一年内任意连续6个月的社保证明材料、资质证书复印件等，无法提供材料或提供的材料人员信息与投标文件不符的，采购人有权不予签订合同并上报监督部门依法追究其责任。</w:t>
            </w:r>
          </w:p>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3、验收要求及标准：根据采购需求的要求进行验收。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风险提示</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因本项目所租用的线路，如遇国家或自治区重大政策调整，则本分标合同可能提前终止，供应商投标时须考虑此风险。</w:t>
            </w:r>
          </w:p>
        </w:tc>
      </w:tr>
    </w:tbl>
    <w:p/>
    <w:p>
      <w:pPr>
        <w:pStyle w:val="2"/>
      </w:pPr>
    </w:p>
    <w:p/>
    <w:p>
      <w:pPr>
        <w:pStyle w:val="2"/>
      </w:pPr>
    </w:p>
    <w:p/>
    <w:p>
      <w:pPr>
        <w:pStyle w:val="2"/>
      </w:pPr>
    </w:p>
    <w:p/>
    <w:p>
      <w:pPr>
        <w:pStyle w:val="2"/>
      </w:pPr>
    </w:p>
    <w:p/>
    <w:p>
      <w:pPr>
        <w:pStyle w:val="2"/>
      </w:pPr>
    </w:p>
    <w:p/>
    <w:p>
      <w:pPr>
        <w:pStyle w:val="2"/>
        <w:rPr>
          <w:rFonts w:hint="eastAsia"/>
        </w:rPr>
      </w:pP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7A"/>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7024"/>
    <w:rsid w:val="0C757FA3"/>
    <w:rsid w:val="1BEE768F"/>
    <w:rsid w:val="20C53256"/>
    <w:rsid w:val="2F833364"/>
    <w:rsid w:val="347505C1"/>
    <w:rsid w:val="39FE4A70"/>
    <w:rsid w:val="3C334415"/>
    <w:rsid w:val="3F3AF60B"/>
    <w:rsid w:val="3F858FDB"/>
    <w:rsid w:val="4CDE07C0"/>
    <w:rsid w:val="4FFFA53A"/>
    <w:rsid w:val="54907731"/>
    <w:rsid w:val="58965058"/>
    <w:rsid w:val="58B37024"/>
    <w:rsid w:val="5FEDDB6F"/>
    <w:rsid w:val="5FFED80D"/>
    <w:rsid w:val="608262DF"/>
    <w:rsid w:val="66E86B37"/>
    <w:rsid w:val="7EF78EB4"/>
    <w:rsid w:val="BECCB0E6"/>
    <w:rsid w:val="E3FFF49E"/>
    <w:rsid w:val="EFFFC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3"/>
    <w:basedOn w:val="1"/>
    <w:unhideWhenUsed/>
    <w:qFormat/>
    <w:uiPriority w:val="0"/>
    <w:pPr>
      <w:spacing w:after="120"/>
    </w:pPr>
    <w:rPr>
      <w:rFonts w:cs="Times New Roman"/>
      <w:sz w:val="16"/>
      <w:szCs w:val="16"/>
      <w:lang w:val="zh-CN" w:eastAsia="zh-CN"/>
    </w:rPr>
  </w:style>
  <w:style w:type="paragraph" w:styleId="7">
    <w:name w:val="List 2"/>
    <w:basedOn w:val="1"/>
    <w:unhideWhenUsed/>
    <w:qFormat/>
    <w:uiPriority w:val="0"/>
    <w:pPr>
      <w:ind w:left="100" w:leftChars="200" w:hanging="200" w:hangingChars="200"/>
      <w:contextualSpacing/>
    </w:pPr>
  </w:style>
  <w:style w:type="paragraph" w:styleId="8">
    <w:name w:val="Plain Text"/>
    <w:basedOn w:val="1"/>
    <w:next w:val="1"/>
    <w:qFormat/>
    <w:uiPriority w:val="0"/>
    <w:rPr>
      <w:rFonts w:ascii="宋体" w:hAnsi="Courier New" w:eastAsia="宋体" w:cs="Times New Roman"/>
      <w:szCs w:val="20"/>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cs="Times New Roman"/>
    </w:rPr>
  </w:style>
  <w:style w:type="paragraph" w:styleId="12">
    <w:name w:val="toc 2"/>
    <w:basedOn w:val="1"/>
    <w:next w:val="1"/>
    <w:qFormat/>
    <w:uiPriority w:val="0"/>
    <w:pPr>
      <w:ind w:left="420" w:leftChars="200"/>
    </w:pPr>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0"/>
    <w:rPr>
      <w:rFonts w:ascii="Times New Roman" w:hAnsi="Times New Roman" w:eastAsia="宋体" w:cs="Times New Roman"/>
      <w:b/>
      <w:bCs/>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15"/>
    <w:qFormat/>
    <w:uiPriority w:val="0"/>
    <w:rPr>
      <w:rFonts w:hint="default" w:ascii="Times New Roman" w:hAnsi="Times New Roman" w:eastAsia="宋体" w:cs="Times New Roman"/>
      <w:color w:val="0000FF"/>
      <w:u w:val="single"/>
    </w:rPr>
  </w:style>
  <w:style w:type="character" w:customStyle="1" w:styleId="19">
    <w:name w:val="标题 2 Char"/>
    <w:link w:val="3"/>
    <w:qFormat/>
    <w:uiPriority w:val="0"/>
    <w:rPr>
      <w:rFonts w:ascii="Arial" w:hAnsi="Arial" w:eastAsia="黑体"/>
      <w:b/>
      <w:kern w:val="0"/>
      <w:sz w:val="32"/>
      <w:szCs w:val="20"/>
    </w:rPr>
  </w:style>
  <w:style w:type="paragraph" w:customStyle="1" w:styleId="20">
    <w:name w:val="Body text|1"/>
    <w:basedOn w:val="1"/>
    <w:qFormat/>
    <w:uiPriority w:val="0"/>
    <w:pPr>
      <w:spacing w:line="353" w:lineRule="auto"/>
      <w:ind w:firstLine="400"/>
      <w:jc w:val="left"/>
    </w:pPr>
    <w:rPr>
      <w:rFonts w:ascii="宋体" w:hAnsi="宋体" w:eastAsia="宋体" w:cs="宋体"/>
      <w:color w:val="auto"/>
      <w:kern w:val="0"/>
      <w:sz w:val="30"/>
      <w:szCs w:val="30"/>
    </w:rPr>
  </w:style>
  <w:style w:type="paragraph" w:customStyle="1" w:styleId="21">
    <w:name w:val="Body text|3"/>
    <w:basedOn w:val="1"/>
    <w:qFormat/>
    <w:uiPriority w:val="0"/>
    <w:pPr>
      <w:spacing w:after="460"/>
      <w:jc w:val="center"/>
    </w:pPr>
    <w:rPr>
      <w:rFonts w:ascii="宋体" w:hAnsi="宋体" w:eastAsia="宋体" w:cs="宋体"/>
      <w:color w:val="auto"/>
      <w:kern w:val="0"/>
      <w:sz w:val="34"/>
      <w:szCs w:val="34"/>
    </w:rPr>
  </w:style>
  <w:style w:type="paragraph" w:styleId="2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4917</Words>
  <Characters>5401</Characters>
  <Lines>0</Lines>
  <Paragraphs>0</Paragraphs>
  <TotalTime>1</TotalTime>
  <ScaleCrop>false</ScaleCrop>
  <LinksUpToDate>false</LinksUpToDate>
  <CharactersWithSpaces>5555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2026-06-03T09:36:00Z</dcterms:created>
  <dc:creator>Dell</dc:creator>
  <cp:lastModifiedBy>越岸折桂</cp:lastModifiedBy>
  <cp:lastPrinted>2026-06-05T08:23:00Z</cp:lastPrinted>
  <dcterms:modified xsi:type="dcterms:W3CDTF">2026-06-10T16:17:53Z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eyJoZGlkIjoiOWNlYzQzZDVkMDUzNzBkNGE5YTA1Y2ZkNmQzN2I5NWIiLCJ1c2VySWQiOiIxMTY0NDYwNTMxIn0=</vt:lpwstr>
  </property>
  <property fmtid="{D5CDD505-2E9C-101B-9397-08002B2CF9AE}" pid="4" name="ICV">
    <vt:lpwstr>4D963A1C07CA4BFAA386BF66A346D586_12</vt:lpwstr>
  </property>
</Properties>
</file>