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13"/>
        <w:gridCol w:w="918"/>
        <w:gridCol w:w="720"/>
        <w:gridCol w:w="825"/>
        <w:gridCol w:w="5430"/>
        <w:gridCol w:w="1807"/>
      </w:tblGrid>
      <w:tr w14:paraId="2D81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58" w:type="dxa"/>
            <w:gridSpan w:val="7"/>
            <w:tcBorders>
              <w:top w:val="single" w:color="auto" w:sz="4" w:space="0"/>
              <w:left w:val="single" w:color="auto" w:sz="4" w:space="0"/>
              <w:bottom w:val="nil"/>
              <w:right w:val="single" w:color="auto" w:sz="4" w:space="0"/>
            </w:tcBorders>
            <w:vAlign w:val="center"/>
          </w:tcPr>
          <w:p w14:paraId="2B3DDB36">
            <w:pPr>
              <w:spacing w:line="320" w:lineRule="exact"/>
              <w:jc w:val="center"/>
              <w:rPr>
                <w:rFonts w:hAnsi="宋体"/>
                <w:b/>
                <w:bCs/>
                <w:sz w:val="28"/>
                <w:highlight w:val="none"/>
              </w:rPr>
            </w:pPr>
            <w:bookmarkStart w:id="0" w:name="PO_TDCUS_ITEM_PB_REQ_FILE_1_1_0"/>
            <w:r>
              <w:rPr>
                <w:rFonts w:hint="eastAsia" w:hAnsi="宋体"/>
                <w:b/>
                <w:bCs/>
                <w:sz w:val="28"/>
                <w:highlight w:val="none"/>
                <w:lang w:eastAsia="zh-CN"/>
              </w:rPr>
              <w:t>会见、亲情电话、可视电话融合系统参数</w:t>
            </w:r>
            <w:r>
              <w:rPr>
                <w:rFonts w:hint="eastAsia" w:hAnsi="宋体"/>
                <w:b/>
                <w:bCs/>
                <w:sz w:val="28"/>
                <w:highlight w:val="none"/>
              </w:rPr>
              <w:t>需求</w:t>
            </w:r>
          </w:p>
        </w:tc>
      </w:tr>
      <w:tr w14:paraId="65022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Pr>
          <w:p w14:paraId="24849C4B">
            <w:pPr>
              <w:jc w:val="center"/>
              <w:rPr>
                <w:rFonts w:hint="eastAsia" w:ascii="宋体" w:hAnsi="宋体" w:eastAsia="宋体" w:cs="宋体"/>
                <w:sz w:val="24"/>
                <w:highlight w:val="none"/>
                <w:lang w:eastAsia="zh-CN"/>
              </w:rPr>
            </w:pPr>
            <w:r>
              <w:rPr>
                <w:rFonts w:hint="eastAsia" w:ascii="宋体" w:hAnsi="宋体" w:cs="宋体"/>
                <w:highlight w:val="none"/>
              </w:rPr>
              <w:t>采购清单及技术</w:t>
            </w:r>
            <w:r>
              <w:rPr>
                <w:rFonts w:hint="eastAsia" w:ascii="宋体" w:hAnsi="宋体" w:cs="宋体"/>
                <w:highlight w:val="none"/>
                <w:lang w:eastAsia="zh-CN"/>
              </w:rPr>
              <w:t>内容</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FB12F2">
            <w:pPr>
              <w:jc w:val="center"/>
              <w:rPr>
                <w:rFonts w:ascii="宋体" w:hAnsi="宋体" w:cs="宋体"/>
                <w:szCs w:val="21"/>
                <w:highlight w:val="none"/>
              </w:rPr>
            </w:pPr>
            <w:r>
              <w:rPr>
                <w:rFonts w:hint="eastAsia" w:ascii="宋体" w:hAnsi="宋体" w:cs="宋体"/>
                <w:szCs w:val="21"/>
                <w:highlight w:val="none"/>
              </w:rPr>
              <w:t>序号</w:t>
            </w:r>
          </w:p>
        </w:tc>
        <w:tc>
          <w:tcPr>
            <w:tcW w:w="918" w:type="dxa"/>
            <w:tcBorders>
              <w:top w:val="single" w:color="auto" w:sz="4" w:space="0"/>
              <w:left w:val="single" w:color="auto" w:sz="4" w:space="0"/>
              <w:bottom w:val="single" w:color="auto" w:sz="4" w:space="0"/>
              <w:right w:val="single" w:color="auto" w:sz="4" w:space="0"/>
            </w:tcBorders>
            <w:vAlign w:val="center"/>
          </w:tcPr>
          <w:p w14:paraId="7ED62AFC">
            <w:pPr>
              <w:jc w:val="center"/>
              <w:rPr>
                <w:rFonts w:ascii="宋体" w:hAnsi="宋体" w:cs="宋体"/>
                <w:szCs w:val="21"/>
                <w:highlight w:val="none"/>
              </w:rPr>
            </w:pPr>
            <w:r>
              <w:rPr>
                <w:rFonts w:hint="eastAsia" w:ascii="宋体" w:hAnsi="宋体" w:cs="宋体"/>
                <w:szCs w:val="21"/>
                <w:highlight w:val="none"/>
                <w:lang w:eastAsia="zh-CN"/>
              </w:rPr>
              <w:t>标的</w:t>
            </w:r>
            <w:r>
              <w:rPr>
                <w:rFonts w:hint="eastAsia" w:ascii="宋体" w:hAnsi="宋体" w:cs="宋体"/>
                <w:szCs w:val="21"/>
                <w:highlight w:val="none"/>
              </w:rPr>
              <w:t>名称</w:t>
            </w:r>
          </w:p>
        </w:tc>
        <w:tc>
          <w:tcPr>
            <w:tcW w:w="720" w:type="dxa"/>
            <w:tcBorders>
              <w:top w:val="single" w:color="auto" w:sz="4" w:space="0"/>
              <w:left w:val="single" w:color="auto" w:sz="4" w:space="0"/>
              <w:bottom w:val="single" w:color="auto" w:sz="4" w:space="0"/>
              <w:right w:val="single" w:color="auto" w:sz="4" w:space="0"/>
            </w:tcBorders>
            <w:vAlign w:val="center"/>
          </w:tcPr>
          <w:p w14:paraId="61C7F43D">
            <w:pPr>
              <w:jc w:val="center"/>
              <w:rPr>
                <w:rFonts w:ascii="宋体" w:hAnsi="宋体" w:cs="宋体"/>
                <w:szCs w:val="21"/>
                <w:highlight w:val="none"/>
              </w:rPr>
            </w:pPr>
            <w:r>
              <w:rPr>
                <w:rFonts w:hint="eastAsia" w:ascii="宋体" w:hAnsi="宋体" w:cs="宋体"/>
                <w:szCs w:val="21"/>
                <w:highlight w:val="none"/>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43F55BBA">
            <w:pPr>
              <w:jc w:val="center"/>
              <w:rPr>
                <w:rFonts w:ascii="宋体" w:hAnsi="宋体" w:cs="宋体"/>
                <w:szCs w:val="21"/>
                <w:highlight w:val="none"/>
              </w:rPr>
            </w:pPr>
            <w:r>
              <w:rPr>
                <w:rFonts w:hint="eastAsia" w:ascii="宋体" w:hAnsi="宋体" w:cs="宋体"/>
                <w:szCs w:val="21"/>
                <w:highlight w:val="none"/>
              </w:rPr>
              <w:t>数量</w:t>
            </w:r>
          </w:p>
        </w:tc>
        <w:tc>
          <w:tcPr>
            <w:tcW w:w="5430" w:type="dxa"/>
            <w:tcBorders>
              <w:top w:val="single" w:color="auto" w:sz="4" w:space="0"/>
              <w:left w:val="single" w:color="auto" w:sz="4" w:space="0"/>
              <w:bottom w:val="single" w:color="auto" w:sz="4" w:space="0"/>
              <w:right w:val="single" w:color="auto" w:sz="4" w:space="0"/>
            </w:tcBorders>
            <w:vAlign w:val="center"/>
          </w:tcPr>
          <w:p w14:paraId="51C2EDC0">
            <w:pPr>
              <w:jc w:val="center"/>
              <w:rPr>
                <w:rFonts w:hint="eastAsia" w:ascii="宋体" w:hAnsi="宋体" w:eastAsia="宋体" w:cs="宋体"/>
                <w:szCs w:val="21"/>
                <w:highlight w:val="none"/>
                <w:lang w:val="en-US" w:eastAsia="zh-CN"/>
              </w:rPr>
            </w:pPr>
            <w:r>
              <w:rPr>
                <w:rFonts w:hint="eastAsia" w:ascii="宋体" w:hAnsi="宋体" w:cs="宋体"/>
                <w:szCs w:val="21"/>
                <w:highlight w:val="none"/>
              </w:rPr>
              <w:t>服务</w:t>
            </w:r>
            <w:r>
              <w:rPr>
                <w:rFonts w:hint="eastAsia" w:ascii="宋体" w:hAnsi="宋体" w:cs="宋体"/>
                <w:szCs w:val="21"/>
                <w:highlight w:val="none"/>
                <w:lang w:val="en-US" w:eastAsia="zh-CN"/>
              </w:rPr>
              <w:t>内容</w:t>
            </w:r>
          </w:p>
        </w:tc>
        <w:tc>
          <w:tcPr>
            <w:tcW w:w="1807" w:type="dxa"/>
            <w:tcBorders>
              <w:top w:val="single" w:color="auto" w:sz="4" w:space="0"/>
              <w:left w:val="single" w:color="auto" w:sz="4" w:space="0"/>
              <w:bottom w:val="single" w:color="auto" w:sz="4" w:space="0"/>
              <w:right w:val="single" w:color="auto" w:sz="4" w:space="0"/>
            </w:tcBorders>
            <w:vAlign w:val="center"/>
          </w:tcPr>
          <w:p w14:paraId="1E1C83A5">
            <w:pPr>
              <w:jc w:val="center"/>
              <w:rPr>
                <w:rFonts w:ascii="宋体" w:hAnsi="宋体" w:cs="宋体"/>
                <w:sz w:val="24"/>
                <w:highlight w:val="none"/>
              </w:rPr>
            </w:pPr>
            <w:r>
              <w:rPr>
                <w:rFonts w:hint="eastAsia" w:ascii="宋体" w:hAnsi="宋体" w:cs="宋体"/>
                <w:szCs w:val="21"/>
                <w:highlight w:val="none"/>
                <w:lang w:val="en-US" w:eastAsia="zh-CN"/>
              </w:rPr>
              <w:t>项目预算金额</w:t>
            </w:r>
            <w:r>
              <w:rPr>
                <w:rFonts w:hint="eastAsia" w:ascii="宋体" w:hAnsi="宋体" w:cs="宋体"/>
                <w:szCs w:val="21"/>
                <w:highlight w:val="none"/>
              </w:rPr>
              <w:t>合计（元）</w:t>
            </w:r>
          </w:p>
        </w:tc>
      </w:tr>
      <w:tr w14:paraId="08D7D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E71300F">
            <w:pPr>
              <w:widowControl/>
              <w:jc w:val="left"/>
              <w:rPr>
                <w:rFonts w:ascii="宋体" w:hAnsi="宋体" w:cs="宋体"/>
                <w:sz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4102C44F">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918" w:type="dxa"/>
            <w:tcBorders>
              <w:top w:val="single" w:color="auto" w:sz="4" w:space="0"/>
              <w:left w:val="single" w:color="auto" w:sz="4" w:space="0"/>
              <w:bottom w:val="single" w:color="auto" w:sz="4" w:space="0"/>
              <w:right w:val="single" w:color="auto" w:sz="4" w:space="0"/>
            </w:tcBorders>
            <w:vAlign w:val="center"/>
          </w:tcPr>
          <w:p w14:paraId="251D4042">
            <w:pPr>
              <w:spacing w:line="276" w:lineRule="auto"/>
              <w:rPr>
                <w:rFonts w:ascii="宋体" w:hAnsi="宋体" w:cs="宋体"/>
                <w:szCs w:val="21"/>
                <w:highlight w:val="none"/>
              </w:rPr>
            </w:pPr>
            <w:r>
              <w:rPr>
                <w:rFonts w:hint="eastAsia" w:ascii="仿宋_GB2312" w:hAnsi="宋体" w:eastAsia="仿宋_GB2312" w:cs="宋体"/>
                <w:kern w:val="0"/>
                <w:sz w:val="28"/>
                <w:szCs w:val="28"/>
                <w:lang w:eastAsia="zh-CN"/>
              </w:rPr>
              <w:t>会见、亲情电话、可视电话融合系统</w:t>
            </w:r>
          </w:p>
        </w:tc>
        <w:tc>
          <w:tcPr>
            <w:tcW w:w="720" w:type="dxa"/>
            <w:tcBorders>
              <w:top w:val="single" w:color="auto" w:sz="4" w:space="0"/>
              <w:left w:val="single" w:color="auto" w:sz="4" w:space="0"/>
              <w:bottom w:val="single" w:color="auto" w:sz="4" w:space="0"/>
              <w:right w:val="single" w:color="auto" w:sz="4" w:space="0"/>
            </w:tcBorders>
            <w:vAlign w:val="center"/>
          </w:tcPr>
          <w:p w14:paraId="1182142A">
            <w:pPr>
              <w:spacing w:line="26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套</w:t>
            </w:r>
            <w:bookmarkStart w:id="1" w:name="_GoBack"/>
            <w:bookmarkEnd w:id="1"/>
          </w:p>
        </w:tc>
        <w:tc>
          <w:tcPr>
            <w:tcW w:w="825" w:type="dxa"/>
            <w:tcBorders>
              <w:top w:val="single" w:color="auto" w:sz="4" w:space="0"/>
              <w:left w:val="single" w:color="auto" w:sz="4" w:space="0"/>
              <w:bottom w:val="single" w:color="auto" w:sz="4" w:space="0"/>
              <w:right w:val="single" w:color="auto" w:sz="4" w:space="0"/>
            </w:tcBorders>
            <w:vAlign w:val="center"/>
          </w:tcPr>
          <w:p w14:paraId="188AE0F7">
            <w:pPr>
              <w:spacing w:line="260" w:lineRule="exact"/>
              <w:jc w:val="center"/>
              <w:rPr>
                <w:rFonts w:ascii="宋体" w:hAnsi="宋体"/>
                <w:szCs w:val="21"/>
                <w:highlight w:val="none"/>
              </w:rPr>
            </w:pPr>
            <w:r>
              <w:rPr>
                <w:rFonts w:hint="eastAsia" w:ascii="宋体" w:hAnsi="宋体"/>
                <w:szCs w:val="21"/>
                <w:highlight w:val="none"/>
              </w:rPr>
              <w:t>1</w:t>
            </w:r>
          </w:p>
        </w:tc>
        <w:tc>
          <w:tcPr>
            <w:tcW w:w="5430" w:type="dxa"/>
            <w:tcBorders>
              <w:top w:val="single" w:color="auto" w:sz="4" w:space="0"/>
              <w:left w:val="single" w:color="auto" w:sz="4" w:space="0"/>
              <w:bottom w:val="single" w:color="auto" w:sz="4" w:space="0"/>
              <w:right w:val="single" w:color="auto" w:sz="4" w:space="0"/>
            </w:tcBorders>
            <w:vAlign w:val="center"/>
          </w:tcPr>
          <w:p w14:paraId="2A7BA3F4">
            <w:pPr>
              <w:spacing w:line="280" w:lineRule="exact"/>
              <w:rPr>
                <w:rFonts w:asciiTheme="minorEastAsia" w:hAnsiTheme="minorEastAsia" w:eastAsiaTheme="minorEastAsia"/>
                <w:b/>
                <w:color w:val="000000" w:themeColor="text1"/>
                <w:kern w:val="28"/>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一、</w:t>
            </w: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语音专线、固话分钟池及智能亲情电话系统服务内容</w:t>
            </w:r>
          </w:p>
          <w:p w14:paraId="6D26D954">
            <w:pPr>
              <w:spacing w:line="280" w:lineRule="exact"/>
              <w:rPr>
                <w:rFonts w:hint="default" w:asciiTheme="minorEastAsia" w:hAnsiTheme="minorEastAsia" w:eastAsiaTheme="minorEastAsia"/>
                <w:b/>
                <w:color w:val="000000" w:themeColor="text1"/>
                <w:kern w:val="28"/>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kern w:val="28"/>
                <w:szCs w:val="21"/>
                <w:highlight w:val="none"/>
                <w14:textFill>
                  <w14:solidFill>
                    <w14:schemeClr w14:val="tx1"/>
                  </w14:solidFill>
                </w14:textFill>
              </w:rPr>
              <w:t>（一）</w:t>
            </w: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语音专线及固话分钟池服务</w:t>
            </w:r>
          </w:p>
          <w:p w14:paraId="6504A2EA">
            <w:pPr>
              <w:spacing w:line="280" w:lineRule="exact"/>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1.提供1 条 6M 独享光纤语音专线，保障数据传输安全稳定，满足亲情电话通信基础语音外呼需求。</w:t>
            </w:r>
          </w:p>
          <w:p w14:paraId="1C188DD5">
            <w:pPr>
              <w:spacing w:line="280" w:lineRule="exact"/>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2.提供30 个固话号码接入服务，配套固话分钟池资源，支撑亲情通话正常使用。</w:t>
            </w:r>
          </w:p>
          <w:p w14:paraId="386A4ADC">
            <w:pPr>
              <w:spacing w:line="280" w:lineRule="exact"/>
              <w:rPr>
                <w:rFonts w:hint="default" w:asciiTheme="minorEastAsia" w:hAnsiTheme="minorEastAsia" w:eastAsiaTheme="minorEastAsia"/>
                <w:b/>
                <w:color w:val="000000" w:themeColor="text1"/>
                <w:kern w:val="28"/>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kern w:val="28"/>
                <w:szCs w:val="21"/>
                <w:highlight w:val="none"/>
                <w14:textFill>
                  <w14:solidFill>
                    <w14:schemeClr w14:val="tx1"/>
                  </w14:solidFill>
                </w14:textFill>
              </w:rPr>
              <w:t>（二）</w:t>
            </w: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亲情电话管理系统服务</w:t>
            </w:r>
          </w:p>
          <w:p w14:paraId="38403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1C1F23"/>
                <w:sz w:val="21"/>
                <w:szCs w:val="21"/>
                <w:highlight w:val="none"/>
              </w:rPr>
            </w:pPr>
            <w:r>
              <w:rPr>
                <w:rFonts w:ascii="宋体" w:hAnsi="宋体" w:eastAsia="宋体" w:cs="宋体"/>
                <w:color w:val="1C1F23"/>
                <w:kern w:val="0"/>
                <w:sz w:val="21"/>
                <w:szCs w:val="21"/>
                <w:highlight w:val="none"/>
                <w:lang w:val="en-US" w:eastAsia="zh-CN" w:bidi="ar"/>
              </w:rPr>
              <w:t>提供</w:t>
            </w:r>
            <w:r>
              <w:rPr>
                <w:rStyle w:val="6"/>
                <w:rFonts w:ascii="宋体" w:hAnsi="宋体" w:eastAsia="宋体" w:cs="宋体"/>
                <w:color w:val="1C1F23"/>
                <w:kern w:val="0"/>
                <w:sz w:val="21"/>
                <w:szCs w:val="21"/>
                <w:highlight w:val="none"/>
                <w:lang w:val="en-US" w:eastAsia="zh-CN" w:bidi="ar"/>
              </w:rPr>
              <w:t>1 套亲情电话管理系统</w:t>
            </w:r>
            <w:r>
              <w:rPr>
                <w:rFonts w:ascii="宋体" w:hAnsi="宋体" w:eastAsia="宋体" w:cs="宋体"/>
                <w:color w:val="1C1F23"/>
                <w:kern w:val="0"/>
                <w:sz w:val="21"/>
                <w:szCs w:val="21"/>
                <w:highlight w:val="none"/>
                <w:lang w:val="en-US" w:eastAsia="zh-CN" w:bidi="ar"/>
              </w:rPr>
              <w:t>，为民警提供全流程智能化管理能力，实现</w:t>
            </w:r>
            <w:r>
              <w:rPr>
                <w:rFonts w:hint="eastAsia" w:ascii="宋体" w:hAnsi="宋体" w:eastAsia="宋体" w:cs="宋体"/>
                <w:color w:val="1C1F23"/>
                <w:kern w:val="0"/>
                <w:sz w:val="21"/>
                <w:szCs w:val="21"/>
                <w:highlight w:val="none"/>
                <w:lang w:val="en-US" w:eastAsia="zh-CN" w:bidi="ar"/>
              </w:rPr>
              <w:t>学员</w:t>
            </w:r>
            <w:r>
              <w:rPr>
                <w:rFonts w:ascii="宋体" w:hAnsi="宋体" w:eastAsia="宋体" w:cs="宋体"/>
                <w:color w:val="1C1F23"/>
                <w:kern w:val="0"/>
                <w:sz w:val="21"/>
                <w:szCs w:val="21"/>
                <w:highlight w:val="none"/>
                <w:lang w:val="en-US" w:eastAsia="zh-CN" w:bidi="ar"/>
              </w:rPr>
              <w:t>亲情电话规范化、可视化管控，具体功能如下：</w:t>
            </w:r>
          </w:p>
          <w:p w14:paraId="1E0B61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1C1F23"/>
                <w:sz w:val="21"/>
                <w:szCs w:val="21"/>
                <w:highlight w:val="none"/>
              </w:rPr>
            </w:pPr>
            <w:r>
              <w:rPr>
                <w:rStyle w:val="6"/>
                <w:rFonts w:hint="eastAsia"/>
                <w:color w:val="1C1F23"/>
                <w:sz w:val="21"/>
                <w:szCs w:val="21"/>
                <w:highlight w:val="none"/>
                <w:lang w:val="en-US" w:eastAsia="zh-CN"/>
              </w:rPr>
              <w:t>1.</w:t>
            </w:r>
            <w:r>
              <w:rPr>
                <w:rStyle w:val="6"/>
                <w:color w:val="1C1F23"/>
                <w:sz w:val="21"/>
                <w:szCs w:val="21"/>
                <w:highlight w:val="none"/>
              </w:rPr>
              <w:t>人员档案管理</w:t>
            </w:r>
            <w:r>
              <w:rPr>
                <w:color w:val="1C1F23"/>
                <w:sz w:val="21"/>
                <w:szCs w:val="21"/>
                <w:highlight w:val="none"/>
              </w:rPr>
              <w:t>：支持</w:t>
            </w:r>
            <w:r>
              <w:rPr>
                <w:rFonts w:hint="eastAsia"/>
                <w:color w:val="1C1F23"/>
                <w:sz w:val="21"/>
                <w:szCs w:val="21"/>
                <w:highlight w:val="none"/>
                <w:lang w:eastAsia="zh-CN"/>
              </w:rPr>
              <w:t>学员</w:t>
            </w:r>
            <w:r>
              <w:rPr>
                <w:color w:val="1C1F23"/>
                <w:sz w:val="21"/>
                <w:szCs w:val="21"/>
                <w:highlight w:val="none"/>
              </w:rPr>
              <w:t>编号、姓名、性别、单位、级别等档案信息维护，支持批量导入，提升信息管理效率。</w:t>
            </w:r>
          </w:p>
          <w:p w14:paraId="3768B1F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1C1F23"/>
                <w:sz w:val="21"/>
                <w:szCs w:val="21"/>
                <w:highlight w:val="none"/>
              </w:rPr>
            </w:pPr>
            <w:r>
              <w:rPr>
                <w:rStyle w:val="6"/>
                <w:rFonts w:hint="eastAsia"/>
                <w:color w:val="1C1F23"/>
                <w:sz w:val="21"/>
                <w:szCs w:val="21"/>
                <w:highlight w:val="none"/>
                <w:lang w:val="en-US" w:eastAsia="zh-CN"/>
              </w:rPr>
              <w:t>2.</w:t>
            </w:r>
            <w:r>
              <w:rPr>
                <w:rStyle w:val="6"/>
                <w:color w:val="1C1F23"/>
                <w:sz w:val="21"/>
                <w:szCs w:val="21"/>
                <w:highlight w:val="none"/>
              </w:rPr>
              <w:t>家属通讯录管理</w:t>
            </w:r>
            <w:r>
              <w:rPr>
                <w:color w:val="1C1F23"/>
                <w:sz w:val="21"/>
                <w:szCs w:val="21"/>
                <w:highlight w:val="none"/>
              </w:rPr>
              <w:t>：为每名</w:t>
            </w:r>
            <w:r>
              <w:rPr>
                <w:rFonts w:hint="eastAsia"/>
                <w:color w:val="1C1F23"/>
                <w:sz w:val="21"/>
                <w:szCs w:val="21"/>
                <w:highlight w:val="none"/>
                <w:lang w:eastAsia="zh-CN"/>
              </w:rPr>
              <w:t>学员</w:t>
            </w:r>
            <w:r>
              <w:rPr>
                <w:color w:val="1C1F23"/>
                <w:sz w:val="21"/>
                <w:szCs w:val="21"/>
                <w:highlight w:val="none"/>
              </w:rPr>
              <w:t>配置亲情电话通讯录，可录入多组家属电话、姓名、亲属关系等信息，支持批量导入，便捷关联通话对象。</w:t>
            </w:r>
          </w:p>
          <w:p w14:paraId="54E716F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1C1F23"/>
                <w:sz w:val="21"/>
                <w:szCs w:val="21"/>
                <w:highlight w:val="none"/>
              </w:rPr>
            </w:pPr>
            <w:r>
              <w:rPr>
                <w:rStyle w:val="6"/>
                <w:rFonts w:hint="eastAsia"/>
                <w:color w:val="1C1F23"/>
                <w:sz w:val="21"/>
                <w:szCs w:val="21"/>
                <w:highlight w:val="none"/>
                <w:lang w:val="en-US" w:eastAsia="zh-CN"/>
              </w:rPr>
              <w:t>3.</w:t>
            </w:r>
            <w:r>
              <w:rPr>
                <w:rStyle w:val="6"/>
                <w:color w:val="1C1F23"/>
                <w:sz w:val="21"/>
                <w:szCs w:val="21"/>
                <w:highlight w:val="none"/>
              </w:rPr>
              <w:t>通话策略管控</w:t>
            </w:r>
            <w:r>
              <w:rPr>
                <w:color w:val="1C1F23"/>
                <w:sz w:val="21"/>
                <w:szCs w:val="21"/>
                <w:highlight w:val="none"/>
              </w:rPr>
              <w:t>：按</w:t>
            </w:r>
            <w:r>
              <w:rPr>
                <w:rFonts w:hint="eastAsia"/>
                <w:color w:val="1C1F23"/>
                <w:sz w:val="21"/>
                <w:szCs w:val="21"/>
                <w:highlight w:val="none"/>
                <w:lang w:eastAsia="zh-CN"/>
              </w:rPr>
              <w:t>学员</w:t>
            </w:r>
            <w:r>
              <w:rPr>
                <w:color w:val="1C1F23"/>
                <w:sz w:val="21"/>
                <w:szCs w:val="21"/>
                <w:highlight w:val="none"/>
              </w:rPr>
              <w:t>不同分管等级，设置每月通话次数、单次通话时长上限，实现差异化通话管理。</w:t>
            </w:r>
          </w:p>
          <w:p w14:paraId="5028A74F">
            <w:pPr>
              <w:spacing w:line="280" w:lineRule="exact"/>
              <w:rPr>
                <w:color w:val="1C1F23"/>
                <w:sz w:val="21"/>
                <w:szCs w:val="21"/>
                <w:highlight w:val="none"/>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4</w:t>
            </w:r>
            <w:r>
              <w:rPr>
                <w:rStyle w:val="6"/>
                <w:rFonts w:hint="eastAsia"/>
                <w:color w:val="1C1F23"/>
                <w:sz w:val="21"/>
                <w:szCs w:val="21"/>
                <w:highlight w:val="none"/>
                <w:lang w:val="en-US" w:eastAsia="zh-CN"/>
              </w:rPr>
              <w:t>.</w:t>
            </w:r>
            <w:r>
              <w:rPr>
                <w:rStyle w:val="6"/>
                <w:color w:val="1C1F23"/>
                <w:sz w:val="21"/>
                <w:szCs w:val="21"/>
                <w:highlight w:val="none"/>
              </w:rPr>
              <w:t>数据统计报表</w:t>
            </w:r>
            <w:r>
              <w:rPr>
                <w:color w:val="1C1F23"/>
                <w:sz w:val="21"/>
                <w:szCs w:val="21"/>
                <w:highlight w:val="none"/>
              </w:rPr>
              <w:t>：支持多维度通话数据统计、查询与展示，为管理决策提供数据支撑。</w:t>
            </w:r>
            <w:r>
              <w:rPr>
                <w:rFonts w:hint="eastAsia" w:asciiTheme="minorEastAsia" w:hAnsiTheme="minorEastAsia" w:eastAsiaTheme="minorEastAsia"/>
                <w:color w:val="FF0000"/>
                <w:szCs w:val="21"/>
              </w:rPr>
              <w:t>（</w:t>
            </w:r>
            <w:r>
              <w:rPr>
                <w:rFonts w:hint="eastAsia" w:ascii="宋体" w:hAnsi="宋体" w:cstheme="minorEastAsia"/>
                <w:color w:val="FF0000"/>
                <w:szCs w:val="21"/>
              </w:rPr>
              <w:t>须提供所投产品制造商的有效第三方检测机构出具的测试报告佐证。</w:t>
            </w:r>
            <w:r>
              <w:rPr>
                <w:rFonts w:hint="eastAsia" w:asciiTheme="minorEastAsia" w:hAnsiTheme="minorEastAsia" w:eastAsiaTheme="minorEastAsia"/>
                <w:color w:val="FF0000"/>
                <w:szCs w:val="21"/>
              </w:rPr>
              <w:t>）</w:t>
            </w:r>
          </w:p>
          <w:p w14:paraId="4A0D36F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1C1F23"/>
                <w:sz w:val="21"/>
                <w:szCs w:val="21"/>
                <w:highlight w:val="none"/>
              </w:rPr>
            </w:pPr>
            <w:r>
              <w:rPr>
                <w:rStyle w:val="6"/>
                <w:rFonts w:hint="eastAsia"/>
                <w:color w:val="1C1F23"/>
                <w:sz w:val="21"/>
                <w:szCs w:val="21"/>
                <w:highlight w:val="none"/>
                <w:lang w:val="en-US" w:eastAsia="zh-CN"/>
              </w:rPr>
              <w:t>5.</w:t>
            </w:r>
            <w:r>
              <w:rPr>
                <w:rStyle w:val="6"/>
                <w:color w:val="1C1F23"/>
                <w:sz w:val="21"/>
                <w:szCs w:val="21"/>
                <w:highlight w:val="none"/>
              </w:rPr>
              <w:t>录音录像管理</w:t>
            </w:r>
            <w:r>
              <w:rPr>
                <w:color w:val="1C1F23"/>
                <w:sz w:val="21"/>
                <w:szCs w:val="21"/>
                <w:highlight w:val="none"/>
              </w:rPr>
              <w:t>：支持亲情电话录音录像的多条件组合查询、回放、统计，全程留痕可追溯。</w:t>
            </w:r>
          </w:p>
          <w:p w14:paraId="0B3F971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1C1F23"/>
                <w:sz w:val="21"/>
                <w:szCs w:val="21"/>
                <w:highlight w:val="none"/>
              </w:rPr>
            </w:pPr>
            <w:r>
              <w:rPr>
                <w:rStyle w:val="6"/>
                <w:rFonts w:hint="eastAsia"/>
                <w:color w:val="1C1F23"/>
                <w:sz w:val="21"/>
                <w:szCs w:val="21"/>
                <w:highlight w:val="none"/>
                <w:lang w:val="en-US" w:eastAsia="zh-CN"/>
              </w:rPr>
              <w:t>6.</w:t>
            </w:r>
            <w:r>
              <w:rPr>
                <w:rStyle w:val="6"/>
                <w:color w:val="1C1F23"/>
                <w:sz w:val="21"/>
                <w:szCs w:val="21"/>
                <w:highlight w:val="none"/>
              </w:rPr>
              <w:t>通话记录留存</w:t>
            </w:r>
            <w:r>
              <w:rPr>
                <w:color w:val="1C1F23"/>
                <w:sz w:val="21"/>
                <w:szCs w:val="21"/>
                <w:highlight w:val="none"/>
              </w:rPr>
              <w:t>：</w:t>
            </w:r>
            <w:r>
              <w:rPr>
                <w:rFonts w:hint="eastAsia" w:asciiTheme="minorEastAsia" w:hAnsiTheme="minorEastAsia" w:eastAsiaTheme="minorEastAsia"/>
                <w:color w:val="000000" w:themeColor="text1"/>
                <w:szCs w:val="21"/>
                <w14:textFill>
                  <w14:solidFill>
                    <w14:schemeClr w14:val="tx1"/>
                  </w14:solidFill>
                </w14:textFill>
              </w:rPr>
              <w:t>系统可以根据多种查询条件，进行组合查询亲情电话记录；通话记录信息包含：开始通话时间、结束通话时间、学员姓名、学员编号、大队号、电话号码、家属姓名、关系、通话时长、备注。</w:t>
            </w:r>
          </w:p>
          <w:p w14:paraId="0533F8C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宋体" w:hAnsi="宋体" w:eastAsia="宋体" w:cs="宋体"/>
                <w:color w:val="1C1F23"/>
                <w:kern w:val="0"/>
                <w:sz w:val="21"/>
                <w:szCs w:val="21"/>
                <w:highlight w:val="none"/>
                <w:lang w:val="en-US" w:eastAsia="zh-CN" w:bidi="ar"/>
              </w:rPr>
            </w:pPr>
            <w:r>
              <w:rPr>
                <w:rStyle w:val="6"/>
                <w:rFonts w:hint="eastAsia"/>
                <w:color w:val="1C1F23"/>
                <w:sz w:val="21"/>
                <w:szCs w:val="21"/>
                <w:highlight w:val="none"/>
                <w:lang w:val="en-US" w:eastAsia="zh-CN"/>
              </w:rPr>
              <w:t>7.</w:t>
            </w:r>
            <w:r>
              <w:rPr>
                <w:rStyle w:val="6"/>
                <w:color w:val="1C1F23"/>
                <w:sz w:val="21"/>
                <w:szCs w:val="21"/>
                <w:highlight w:val="none"/>
              </w:rPr>
              <w:t>黑名单管控</w:t>
            </w:r>
            <w:r>
              <w:rPr>
                <w:color w:val="1C1F23"/>
                <w:sz w:val="21"/>
                <w:szCs w:val="21"/>
                <w:highlight w:val="none"/>
              </w:rPr>
              <w:t>：支持设置</w:t>
            </w:r>
            <w:r>
              <w:rPr>
                <w:rFonts w:hint="eastAsia"/>
                <w:color w:val="1C1F23"/>
                <w:sz w:val="21"/>
                <w:szCs w:val="21"/>
                <w:highlight w:val="none"/>
                <w:lang w:eastAsia="zh-CN"/>
              </w:rPr>
              <w:t>学员</w:t>
            </w:r>
            <w:r>
              <w:rPr>
                <w:color w:val="1C1F23"/>
                <w:sz w:val="21"/>
                <w:szCs w:val="21"/>
                <w:highlight w:val="none"/>
              </w:rPr>
              <w:t>通话禁止权限，列入黑名单后无法使用亲情电话，强化管理约束。</w:t>
            </w:r>
          </w:p>
          <w:p w14:paraId="1BE2F6EC">
            <w:pPr>
              <w:spacing w:line="28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b/>
                <w:bCs/>
                <w:color w:val="auto"/>
                <w:szCs w:val="21"/>
              </w:rPr>
              <w:t>8</w:t>
            </w:r>
            <w:r>
              <w:rPr>
                <w:rFonts w:hint="eastAsia" w:asciiTheme="minorEastAsia" w:hAnsiTheme="minorEastAsia" w:eastAsiaTheme="minorEastAsia"/>
                <w:b/>
                <w:bCs/>
                <w:color w:val="auto"/>
                <w:szCs w:val="21"/>
                <w:lang w:val="en-US" w:eastAsia="zh-CN"/>
              </w:rPr>
              <w:t>.</w:t>
            </w:r>
            <w:r>
              <w:rPr>
                <w:rFonts w:hint="eastAsia" w:asciiTheme="minorEastAsia" w:hAnsiTheme="minorEastAsia" w:eastAsiaTheme="minorEastAsia"/>
                <w:color w:val="000000" w:themeColor="text1"/>
                <w:szCs w:val="21"/>
                <w14:textFill>
                  <w14:solidFill>
                    <w14:schemeClr w14:val="tx1"/>
                  </w14:solidFill>
                </w14:textFill>
              </w:rPr>
              <w:t>通话设置：支持通话设置，包括次数时长设置、资费标准、个别配置、线路设置、级别配置、点位配置和日期配置。</w:t>
            </w:r>
            <w:r>
              <w:rPr>
                <w:rFonts w:hint="eastAsia" w:asciiTheme="minorEastAsia" w:hAnsiTheme="minorEastAsia" w:eastAsiaTheme="minorEastAsia"/>
                <w:color w:val="FF0000"/>
                <w:szCs w:val="21"/>
              </w:rPr>
              <w:t>（</w:t>
            </w:r>
            <w:r>
              <w:rPr>
                <w:rFonts w:hint="eastAsia" w:ascii="宋体" w:hAnsi="宋体" w:cstheme="minorEastAsia"/>
                <w:color w:val="FF0000"/>
                <w:szCs w:val="21"/>
              </w:rPr>
              <w:t>须提供所投产品制造商的有效第三方检测机构出具的测试报告佐证。</w:t>
            </w:r>
            <w:r>
              <w:rPr>
                <w:rFonts w:hint="eastAsia" w:asciiTheme="minorEastAsia" w:hAnsiTheme="minorEastAsia" w:eastAsiaTheme="minorEastAsia"/>
                <w:color w:val="FF0000"/>
                <w:szCs w:val="21"/>
              </w:rPr>
              <w:t>）</w:t>
            </w:r>
          </w:p>
          <w:p w14:paraId="70C9A6B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宋体" w:hAnsi="宋体" w:eastAsia="宋体" w:cs="宋体"/>
                <w:color w:val="1C1F23"/>
                <w:kern w:val="0"/>
                <w:sz w:val="21"/>
                <w:szCs w:val="21"/>
                <w:highlight w:val="none"/>
                <w:lang w:val="en-US" w:eastAsia="zh-CN" w:bidi="ar"/>
              </w:rPr>
            </w:pPr>
          </w:p>
          <w:p w14:paraId="5CFB7E3D">
            <w:pPr>
              <w:numPr>
                <w:ilvl w:val="0"/>
                <w:numId w:val="0"/>
              </w:numPr>
              <w:spacing w:line="280" w:lineRule="exact"/>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（三）音频交换和存储系统服务</w:t>
            </w:r>
          </w:p>
          <w:p w14:paraId="32B863CA">
            <w:pPr>
              <w:spacing w:line="280" w:lineRule="exact"/>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提供1 套音频交换与录音存储系统</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服务</w:t>
            </w:r>
            <w:r>
              <w:rPr>
                <w:rFonts w:hint="eastAsia" w:asciiTheme="minorEastAsia" w:hAnsiTheme="minorEastAsia" w:eastAsiaTheme="minorEastAsia"/>
                <w:color w:val="000000" w:themeColor="text1"/>
                <w:szCs w:val="21"/>
                <w:highlight w:val="none"/>
                <w14:textFill>
                  <w14:solidFill>
                    <w14:schemeClr w14:val="tx1"/>
                  </w14:solidFill>
                </w14:textFill>
              </w:rPr>
              <w:t>，实现亲情电话音频全流程管控与安全存储： 1. 录音存储管理：全程录制亲情电话音频，支持本地化集中存储、查询与回放，采用高压缩比技术，满足长期数据保存需求。 2. 高清音频处理：采用高保真宽频语音编码，集成降噪、AGC 自动增益、回声消除算法，保障通话音质清晰。 3. 高并发支撑：支持不低于 100 路音频并发处理，满足多人员同时通话需求。</w:t>
            </w:r>
          </w:p>
          <w:p w14:paraId="1F9AFC82">
            <w:pPr>
              <w:numPr>
                <w:ilvl w:val="0"/>
                <w:numId w:val="0"/>
              </w:numPr>
              <w:spacing w:line="280" w:lineRule="exact"/>
              <w:rPr>
                <w:rFonts w:hint="eastAsia" w:asciiTheme="minorEastAsia" w:hAnsiTheme="minorEastAsia" w:eastAsiaTheme="minorEastAsia"/>
                <w:b/>
                <w:color w:val="000000" w:themeColor="text1"/>
                <w:kern w:val="28"/>
                <w:szCs w:val="21"/>
                <w:highlight w:val="none"/>
                <w14:textFill>
                  <w14:solidFill>
                    <w14:schemeClr w14:val="tx1"/>
                  </w14:solidFill>
                </w14:textFill>
              </w:rPr>
            </w:pP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（四）亲情电话管理系统平台服务</w:t>
            </w:r>
          </w:p>
          <w:p w14:paraId="3DA000A3">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提供高性能亲情电话管理系统平台云端算力与业务支撑服务，全方位保障亲情电话管理系统全天候、高负载稳定运行，实现全量学员通话录音数据长期安全留存、归档备份，支持后期回放监听、业务核查与数据溯源管理，平台整体服务能力满足以下高标准业务运行需求：</w:t>
            </w:r>
          </w:p>
          <w:p w14:paraId="0E408525">
            <w:pPr>
              <w:keepNext w:val="0"/>
              <w:keepLines w:val="0"/>
              <w:widowControl/>
              <w:suppressLineNumbers w:val="0"/>
              <w:jc w:val="left"/>
              <w:rPr>
                <w:sz w:val="21"/>
                <w:szCs w:val="21"/>
                <w:highlight w:val="none"/>
              </w:rPr>
            </w:pPr>
            <w:r>
              <w:rPr>
                <w:rFonts w:hint="eastAsia" w:ascii="宋体" w:hAnsi="宋体" w:cs="宋体"/>
                <w:kern w:val="0"/>
                <w:sz w:val="21"/>
                <w:szCs w:val="21"/>
                <w:highlight w:val="none"/>
                <w:lang w:val="en-US" w:eastAsia="zh-CN" w:bidi="ar"/>
              </w:rPr>
              <w:t>1.</w:t>
            </w:r>
            <w:r>
              <w:rPr>
                <w:rFonts w:ascii="宋体" w:hAnsi="宋体" w:eastAsia="宋体" w:cs="宋体"/>
                <w:kern w:val="0"/>
                <w:sz w:val="21"/>
                <w:szCs w:val="21"/>
                <w:highlight w:val="none"/>
                <w:lang w:val="en-US" w:eastAsia="zh-CN" w:bidi="ar"/>
              </w:rPr>
              <w:t>平台提供高规格算力调度服务，具备十六核三十二线程的高性能运算调度能力，基础运行主频不低于2.3GHz，支持最高3.9GHz以上智能睿频加速服务，可高效应对平台大批量数据处理、并发业务调度、录音转存归档等高频运算场景，保障系统业务响应高效不卡顿。</w:t>
            </w:r>
          </w:p>
          <w:p w14:paraId="77526832">
            <w:pPr>
              <w:keepNext w:val="0"/>
              <w:keepLines w:val="0"/>
              <w:widowControl/>
              <w:suppressLineNumbers w:val="0"/>
              <w:jc w:val="left"/>
              <w:rPr>
                <w:sz w:val="21"/>
                <w:szCs w:val="21"/>
                <w:highlight w:val="none"/>
              </w:rPr>
            </w:pPr>
            <w:r>
              <w:rPr>
                <w:rFonts w:hint="eastAsia" w:ascii="宋体" w:hAnsi="宋体" w:cs="宋体"/>
                <w:kern w:val="0"/>
                <w:sz w:val="21"/>
                <w:szCs w:val="21"/>
                <w:highlight w:val="none"/>
                <w:lang w:val="en-US" w:eastAsia="zh-CN" w:bidi="ar"/>
              </w:rPr>
              <w:t>2.</w:t>
            </w:r>
            <w:r>
              <w:rPr>
                <w:rFonts w:ascii="宋体" w:hAnsi="宋体" w:eastAsia="宋体" w:cs="宋体"/>
                <w:kern w:val="0"/>
                <w:sz w:val="21"/>
                <w:szCs w:val="21"/>
                <w:highlight w:val="none"/>
                <w:lang w:val="en-US" w:eastAsia="zh-CN" w:bidi="ar"/>
              </w:rPr>
              <w:t>平台配备大容量内存缓存服务，提供不低于64G的高速内存调度支撑，可稳定承载多用户并发操作、多任务同步运行，有效避免高访问量下系统延迟、卡顿、闪退等问题，保障平台业务运行的流畅性与稳定性。</w:t>
            </w:r>
          </w:p>
          <w:p w14:paraId="5334B2A1">
            <w:pPr>
              <w:keepNext w:val="0"/>
              <w:keepLines w:val="0"/>
              <w:widowControl/>
              <w:suppressLineNumbers w:val="0"/>
              <w:jc w:val="left"/>
              <w:rPr>
                <w:sz w:val="21"/>
                <w:szCs w:val="21"/>
                <w:highlight w:val="none"/>
              </w:rPr>
            </w:pPr>
            <w:r>
              <w:rPr>
                <w:rFonts w:hint="eastAsia" w:ascii="宋体" w:hAnsi="宋体" w:cs="宋体"/>
                <w:kern w:val="0"/>
                <w:sz w:val="21"/>
                <w:szCs w:val="21"/>
                <w:highlight w:val="none"/>
                <w:lang w:val="en-US" w:eastAsia="zh-CN" w:bidi="ar"/>
              </w:rPr>
              <w:t>3.</w:t>
            </w:r>
            <w:r>
              <w:rPr>
                <w:rFonts w:ascii="宋体" w:hAnsi="宋体" w:eastAsia="宋体" w:cs="宋体"/>
                <w:kern w:val="0"/>
                <w:sz w:val="21"/>
                <w:szCs w:val="21"/>
                <w:highlight w:val="none"/>
                <w:lang w:val="en-US" w:eastAsia="zh-CN" w:bidi="ar"/>
              </w:rPr>
              <w:t>平台提供大容量数据持久化存储服务，具备不低于4T规格的SATA高速存储承载能力，可长期、安全、完整留存海量学员通话录音、通话台账、操作日志等核心业务数据，满足长期归档、随时调取、溯源核查的业务需求。</w:t>
            </w:r>
          </w:p>
          <w:p w14:paraId="1BAB97F5">
            <w:pPr>
              <w:keepNext w:val="0"/>
              <w:keepLines w:val="0"/>
              <w:widowControl/>
              <w:suppressLineNumbers w:val="0"/>
              <w:jc w:val="left"/>
              <w:rPr>
                <w:sz w:val="21"/>
                <w:szCs w:val="21"/>
                <w:highlight w:val="none"/>
              </w:rPr>
            </w:pPr>
            <w:r>
              <w:rPr>
                <w:rFonts w:hint="eastAsia" w:ascii="宋体" w:hAnsi="宋体" w:cs="宋体"/>
                <w:kern w:val="0"/>
                <w:sz w:val="21"/>
                <w:szCs w:val="21"/>
                <w:highlight w:val="none"/>
                <w:lang w:val="en-US" w:eastAsia="zh-CN" w:bidi="ar"/>
              </w:rPr>
              <w:t>4.</w:t>
            </w:r>
            <w:r>
              <w:rPr>
                <w:rFonts w:ascii="宋体" w:hAnsi="宋体" w:eastAsia="宋体" w:cs="宋体"/>
                <w:kern w:val="0"/>
                <w:sz w:val="21"/>
                <w:szCs w:val="21"/>
                <w:highlight w:val="none"/>
                <w:lang w:val="en-US" w:eastAsia="zh-CN" w:bidi="ar"/>
              </w:rPr>
              <w:t>平台提供多链路、高带宽网络传输服务，配置2路千兆网络传输服务及2路万兆高速网络传输服务，实现多网口冗余备份、高速数据交互，保障平台内外数据传输稳定、吞吐量大、延迟低，充分适配大批量通话业务、录音上传、数据查询等网络高频使用场景。</w:t>
            </w:r>
          </w:p>
          <w:p w14:paraId="74E90D4D">
            <w:pPr>
              <w:spacing w:line="280" w:lineRule="exact"/>
              <w:rPr>
                <w:rFonts w:hint="default" w:asciiTheme="minorEastAsia" w:hAnsiTheme="minorEastAsia" w:eastAsiaTheme="minorEastAsia"/>
                <w:b/>
                <w:color w:val="000000" w:themeColor="text1"/>
                <w:kern w:val="28"/>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（五</w:t>
            </w:r>
            <w:r>
              <w:rPr>
                <w:rFonts w:hint="eastAsia" w:asciiTheme="minorEastAsia" w:hAnsiTheme="minorEastAsia" w:eastAsiaTheme="minorEastAsia"/>
                <w:b/>
                <w:color w:val="000000" w:themeColor="text1"/>
                <w:kern w:val="28"/>
                <w:szCs w:val="21"/>
                <w:highlight w:val="none"/>
                <w14:textFill>
                  <w14:solidFill>
                    <w14:schemeClr w14:val="tx1"/>
                  </w14:solidFill>
                </w14:textFill>
              </w:rPr>
              <w:t>）</w:t>
            </w: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亲情电话智能语音交换系统与语音专线融合对接服务</w:t>
            </w:r>
          </w:p>
          <w:p w14:paraId="35CDC764">
            <w:pPr>
              <w:keepNext w:val="0"/>
              <w:keepLines w:val="0"/>
              <w:widowControl/>
              <w:suppressLineNumbers w:val="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提供亲情电话智能语音交换系统与语音专线一体化融合对接服务，完成亲情电话管理系统与语音专线的适配打通、号码绑定、多并发外呼能力部署，实现业务互联互通、稳定运行，具体服务内容如下：</w:t>
            </w:r>
          </w:p>
          <w:p w14:paraId="35656562">
            <w:pPr>
              <w:keepNext w:val="0"/>
              <w:keepLines w:val="0"/>
              <w:widowControl/>
              <w:suppressLineNumbers w:val="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为亲情电话管理系统客户端提供专线融合对接服务，完成30组业务号码与系统客户端的绑定适配配置，开通系统多路并行外呼业务能力，支撑客户端同时发起外呼作业，满足多终端同步通话业务需求。</w:t>
            </w:r>
          </w:p>
          <w:p w14:paraId="79D1B095">
            <w:pPr>
              <w:keepNext w:val="0"/>
              <w:keepLines w:val="0"/>
              <w:widowControl/>
              <w:suppressLineNumbers w:val="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为保障整体对接服务的稳定性、兼容性与高承载能力，本项目提供全方位系统运行适配与技术保障服务。依托高性能系统运算调度、大容量缓存及数据存储服务能力，保障系统高负荷运行状态下的稳定性；提供千兆网络传输、E1链路接入等多线路融合适配服务，丰富系统接入场景；提供高并发业务承载服务，可稳定支撑不少于500台终端接入、100路通话并发调度服务，满足规模化集中通话场景使用。</w:t>
            </w:r>
          </w:p>
          <w:p w14:paraId="3F2D1D90">
            <w:pPr>
              <w:keepNext w:val="0"/>
              <w:keepLines w:val="0"/>
              <w:widowControl/>
              <w:suppressLineNumbers w:val="0"/>
              <w:jc w:val="left"/>
              <w:rPr>
                <w:rFonts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同时提供全协议兼容适配服务，系统可适配SIP、IAX2等主流通信协议，兼容UDP、TCP、TLS、SRTP传输机制及IPv4、IPv6双网络协议架构，全面适配VP8、H.264视频编码及Opus、G.722等高清音频编码格式，保障通话音视频传输清晰、流畅、无卡顿。配套宽压适配供电运维保障服务，适配区间电压稳定输入，规避电压波动造成的业务中断问题，全方位保障语音专线对接业务持续、安全、稳定运行。</w:t>
            </w:r>
          </w:p>
          <w:p w14:paraId="78FF03B2">
            <w:pPr>
              <w:spacing w:line="280" w:lineRule="exact"/>
              <w:rPr>
                <w:rFonts w:hint="default" w:asciiTheme="minorEastAsia" w:hAnsiTheme="minorEastAsia" w:eastAsiaTheme="minorEastAsia"/>
                <w:b/>
                <w:color w:val="000000" w:themeColor="text1"/>
                <w:kern w:val="28"/>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kern w:val="28"/>
                <w:szCs w:val="21"/>
                <w:highlight w:val="none"/>
                <w14:textFill>
                  <w14:solidFill>
                    <w14:schemeClr w14:val="tx1"/>
                  </w14:solidFill>
                </w14:textFill>
              </w:rPr>
              <w:t>（</w:t>
            </w: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六</w:t>
            </w:r>
            <w:r>
              <w:rPr>
                <w:rFonts w:hint="eastAsia" w:asciiTheme="minorEastAsia" w:hAnsiTheme="minorEastAsia" w:eastAsiaTheme="minorEastAsia"/>
                <w:b/>
                <w:color w:val="000000" w:themeColor="text1"/>
                <w:kern w:val="28"/>
                <w:szCs w:val="21"/>
                <w:highlight w:val="none"/>
                <w14:textFill>
                  <w14:solidFill>
                    <w14:schemeClr w14:val="tx1"/>
                  </w14:solidFill>
                </w14:textFill>
              </w:rPr>
              <w:t>）亲情</w:t>
            </w: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电话客户端系统服务</w:t>
            </w:r>
          </w:p>
          <w:p w14:paraId="358CB658">
            <w:pPr>
              <w:rPr>
                <w:rFonts w:hint="eastAsia"/>
                <w:highlight w:val="none"/>
              </w:rPr>
            </w:pPr>
            <w:r>
              <w:rPr>
                <w:rFonts w:hint="eastAsia"/>
                <w:highlight w:val="none"/>
              </w:rPr>
              <w:t>提供 30 套亲情电话系统配套服务，围绕戒毒人员亲情通话业务，提供系统运行支撑、身份认证、通话管控、通讯录管理、策略校验、记录留存、分级处遇管理等全套信息化服务，具体内容如下：</w:t>
            </w:r>
          </w:p>
          <w:p w14:paraId="21676B57">
            <w:pPr>
              <w:rPr>
                <w:rFonts w:hint="eastAsia"/>
                <w:highlight w:val="none"/>
              </w:rPr>
            </w:pPr>
            <w:r>
              <w:rPr>
                <w:rFonts w:hint="eastAsia"/>
                <w:highlight w:val="none"/>
              </w:rPr>
              <w:t>1、系统基础运行支撑服务</w:t>
            </w:r>
          </w:p>
          <w:p w14:paraId="79853868">
            <w:pPr>
              <w:rPr>
                <w:rFonts w:hint="eastAsia"/>
                <w:highlight w:val="none"/>
              </w:rPr>
            </w:pPr>
            <w:r>
              <w:rPr>
                <w:rFonts w:hint="eastAsia"/>
                <w:highlight w:val="none"/>
              </w:rPr>
              <w:t>提供客户端系统整体运行保障服务，系统搭载高性能运算、大容量内存及存储服务能力，适配高清触控交互操作体验，依托稳定有线网络通信服务，兼容标准话柄接入及免提双通话服务模式，支持桌面、壁挂多场景部署适配，配套安全稳压供电运维保障，确保系统运行稳定、操作流畅、响应迅速，满足常态化通话业务使用需求。</w:t>
            </w:r>
          </w:p>
          <w:p w14:paraId="54156F24">
            <w:pPr>
              <w:rPr>
                <w:rFonts w:hint="eastAsia"/>
                <w:highlight w:val="none"/>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highlight w:val="none"/>
              </w:rPr>
              <w:t>2、智能身份识别服务</w:t>
            </w:r>
          </w:p>
          <w:p w14:paraId="60946545">
            <w:pPr>
              <w:spacing w:line="280" w:lineRule="exact"/>
              <w:rPr>
                <w:rFonts w:hint="eastAsia"/>
                <w:highlight w:val="none"/>
              </w:rPr>
            </w:pPr>
            <w:r>
              <w:rPr>
                <w:rFonts w:hint="eastAsia"/>
                <w:highlight w:val="none"/>
              </w:rPr>
              <w:t>系统搭载智能识别服务能力，支持高清图像采集，内置人脸识别算法，提供人脸登录、账号登录两种认证服务，实现学员身份精准核验，保障通话使用安全、专人专用。</w:t>
            </w:r>
            <w:r>
              <w:rPr>
                <w:rFonts w:hint="eastAsia" w:asciiTheme="minorEastAsia" w:hAnsiTheme="minorEastAsia" w:eastAsiaTheme="minorEastAsia"/>
                <w:color w:val="FF0000"/>
                <w:szCs w:val="21"/>
              </w:rPr>
              <w:t>（</w:t>
            </w:r>
            <w:r>
              <w:rPr>
                <w:rFonts w:hint="eastAsia" w:ascii="宋体" w:hAnsi="宋体" w:cstheme="minorEastAsia"/>
                <w:color w:val="FF0000"/>
                <w:szCs w:val="21"/>
              </w:rPr>
              <w:t>须提供所投产品制造商的有效第三方检测机构出具的测试报告佐证。</w:t>
            </w:r>
            <w:r>
              <w:rPr>
                <w:rFonts w:hint="eastAsia" w:asciiTheme="minorEastAsia" w:hAnsiTheme="minorEastAsia" w:eastAsiaTheme="minorEastAsia"/>
                <w:color w:val="FF0000"/>
                <w:szCs w:val="21"/>
              </w:rPr>
              <w:t>）</w:t>
            </w:r>
          </w:p>
          <w:p w14:paraId="1AC8AEE4">
            <w:pPr>
              <w:rPr>
                <w:rFonts w:hint="eastAsia"/>
                <w:highlight w:val="none"/>
              </w:rPr>
            </w:pPr>
            <w:r>
              <w:rPr>
                <w:rFonts w:hint="eastAsia"/>
                <w:highlight w:val="none"/>
              </w:rPr>
              <w:t>3、分级通话管控服务</w:t>
            </w:r>
          </w:p>
          <w:p w14:paraId="7C5482E1">
            <w:pPr>
              <w:rPr>
                <w:rFonts w:hint="eastAsia"/>
                <w:highlight w:val="none"/>
              </w:rPr>
            </w:pPr>
            <w:r>
              <w:rPr>
                <w:rFonts w:hint="eastAsia"/>
                <w:highlight w:val="none"/>
              </w:rPr>
              <w:t>提供标准化语音通话服务，支持对学员通话权限进行分级管控，可按需配置、约束学员月度通话次数及单次通话时长，实现精细化通话权限管理。</w:t>
            </w:r>
          </w:p>
          <w:p w14:paraId="54E42D63">
            <w:pPr>
              <w:rPr>
                <w:rFonts w:hint="eastAsia"/>
                <w:highlight w:val="none"/>
              </w:rPr>
            </w:pPr>
            <w:r>
              <w:rPr>
                <w:rFonts w:hint="eastAsia"/>
                <w:highlight w:val="none"/>
              </w:rPr>
              <w:t>4、家属通讯录管理服务</w:t>
            </w:r>
          </w:p>
          <w:p w14:paraId="2B59E661">
            <w:pPr>
              <w:rPr>
                <w:rFonts w:hint="eastAsia"/>
                <w:highlight w:val="none"/>
              </w:rPr>
            </w:pPr>
            <w:r>
              <w:rPr>
                <w:rFonts w:hint="eastAsia"/>
                <w:highlight w:val="none"/>
              </w:rPr>
              <w:t>系统提供自动通讯录管理服务，可关联绑定学员家属信息，统一归集家属姓名、关系、联系电话等资料，支持页面一键拨号通话，简化业务操作流程。</w:t>
            </w:r>
          </w:p>
          <w:p w14:paraId="4BDC2609">
            <w:pPr>
              <w:rPr>
                <w:rFonts w:hint="eastAsia"/>
                <w:highlight w:val="none"/>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highlight w:val="none"/>
              </w:rPr>
              <w:t>5、智能通话策略校验服务</w:t>
            </w:r>
          </w:p>
          <w:p w14:paraId="77497C76">
            <w:pPr>
              <w:rPr>
                <w:rFonts w:hint="eastAsia"/>
                <w:highlight w:val="none"/>
              </w:rPr>
            </w:pPr>
            <w:r>
              <w:rPr>
                <w:rFonts w:hint="eastAsia"/>
                <w:highlight w:val="none"/>
              </w:rPr>
              <w:t>系统对接学员分级管理体系，可自动识别学员对应管理等级及授权通话频次、时长等规则，学员发起通话时自动进行策略校验，合规后方可接通，实现智能化权限管控。</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宋体" w:hAnsi="宋体" w:cstheme="minorEastAsia"/>
                <w:szCs w:val="21"/>
              </w:rPr>
              <w:t>须提供所投产品制造商的有效第三方检测机构出具的测试报告佐证。</w:t>
            </w:r>
            <w:r>
              <w:rPr>
                <w:rFonts w:hint="eastAsia" w:asciiTheme="minorEastAsia" w:hAnsiTheme="minorEastAsia" w:eastAsiaTheme="minorEastAsia"/>
                <w:color w:val="000000" w:themeColor="text1"/>
                <w:szCs w:val="21"/>
                <w14:textFill>
                  <w14:solidFill>
                    <w14:schemeClr w14:val="tx1"/>
                  </w14:solidFill>
                </w14:textFill>
              </w:rPr>
              <w:t>）</w:t>
            </w:r>
          </w:p>
          <w:p w14:paraId="0D2ADF0D">
            <w:pPr>
              <w:rPr>
                <w:rFonts w:hint="eastAsia"/>
                <w:highlight w:val="none"/>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highlight w:val="none"/>
              </w:rPr>
              <w:t>6、通话记录归档查询服务</w:t>
            </w:r>
          </w:p>
          <w:p w14:paraId="5308FF30">
            <w:pPr>
              <w:rPr>
                <w:rFonts w:hint="eastAsia"/>
                <w:highlight w:val="none"/>
              </w:rPr>
            </w:pPr>
            <w:r>
              <w:rPr>
                <w:rFonts w:hint="eastAsia"/>
                <w:highlight w:val="none"/>
              </w:rPr>
              <w:t>系统自动留存完整通话台账数据，包含通话起止时间、联系人、联系方式、亲属关系、通话时长等信息，支持学员自主查询历史通话记录，满足数据留存与溯源管理要求。</w:t>
            </w:r>
            <w:r>
              <w:rPr>
                <w:rFonts w:hint="eastAsia" w:asciiTheme="minorEastAsia" w:hAnsiTheme="minorEastAsia" w:eastAsiaTheme="minorEastAsia"/>
                <w:color w:val="FF0000"/>
                <w:szCs w:val="21"/>
              </w:rPr>
              <w:t>（</w:t>
            </w:r>
            <w:r>
              <w:rPr>
                <w:rFonts w:hint="eastAsia" w:ascii="宋体" w:hAnsi="宋体" w:cstheme="minorEastAsia"/>
                <w:color w:val="FF0000"/>
                <w:szCs w:val="21"/>
              </w:rPr>
              <w:t>须提供所投产品制造商的有效第三方检测机构出具的测试报告佐证。</w:t>
            </w:r>
            <w:r>
              <w:rPr>
                <w:rFonts w:hint="eastAsia" w:asciiTheme="minorEastAsia" w:hAnsiTheme="minorEastAsia" w:eastAsiaTheme="minorEastAsia"/>
                <w:color w:val="FF0000"/>
                <w:szCs w:val="21"/>
              </w:rPr>
              <w:t>）</w:t>
            </w:r>
          </w:p>
          <w:p w14:paraId="6C8A6F1F">
            <w:pPr>
              <w:rPr>
                <w:rFonts w:hint="eastAsia"/>
                <w:highlight w:val="none"/>
              </w:rPr>
            </w:pPr>
            <w:r>
              <w:rPr>
                <w:rFonts w:hint="eastAsia"/>
                <w:highlight w:val="none"/>
              </w:rPr>
              <w:t>7、分级处遇联动管理服务</w:t>
            </w:r>
          </w:p>
          <w:p w14:paraId="76BF7D11">
            <w:pPr>
              <w:rPr>
                <w:rFonts w:hint="eastAsia"/>
                <w:highlight w:val="none"/>
              </w:rPr>
            </w:pPr>
            <w:r>
              <w:rPr>
                <w:rFonts w:hint="eastAsia"/>
                <w:highlight w:val="none"/>
              </w:rPr>
              <w:t>通话管控策略与学员分级处遇等级深度联动，系统自动匹配不同处遇等级的通话权益标准，实现差异化、标准化的亲情通话管理，适配监管分级管理要求。</w:t>
            </w:r>
          </w:p>
          <w:p w14:paraId="14A2F426">
            <w:pPr>
              <w:spacing w:line="280" w:lineRule="exact"/>
              <w:rPr>
                <w:rFonts w:hint="eastAsia"/>
                <w:highlight w:val="none"/>
              </w:rPr>
            </w:pPr>
            <w:r>
              <w:rPr>
                <w:rFonts w:hint="eastAsia" w:asciiTheme="minorEastAsia" w:hAnsiTheme="minorEastAsia" w:eastAsiaTheme="minorEastAsia"/>
                <w:color w:val="000000" w:themeColor="text1"/>
                <w:szCs w:val="21"/>
                <w14:textFill>
                  <w14:solidFill>
                    <w14:schemeClr w14:val="tx1"/>
                  </w14:solidFill>
                </w14:textFill>
              </w:rPr>
              <w:t>▲8、线路检测：支持线路检测功能，提高无法拨打时故障快速排查效率。</w:t>
            </w:r>
            <w:r>
              <w:rPr>
                <w:rFonts w:hint="eastAsia" w:asciiTheme="minorEastAsia" w:hAnsiTheme="minorEastAsia" w:eastAsiaTheme="minorEastAsia"/>
                <w:color w:val="FF0000"/>
                <w:szCs w:val="21"/>
              </w:rPr>
              <w:t>（</w:t>
            </w:r>
            <w:r>
              <w:rPr>
                <w:rFonts w:hint="eastAsia" w:ascii="宋体" w:hAnsi="宋体" w:cstheme="minorEastAsia"/>
                <w:color w:val="FF0000"/>
                <w:szCs w:val="21"/>
              </w:rPr>
              <w:t>须提供所投产品制造商的有效第三方检测机构出具的测试报告佐证。</w:t>
            </w:r>
            <w:r>
              <w:rPr>
                <w:rFonts w:hint="eastAsia" w:asciiTheme="minorEastAsia" w:hAnsiTheme="minorEastAsia" w:eastAsiaTheme="minorEastAsia"/>
                <w:color w:val="FF0000"/>
                <w:szCs w:val="21"/>
              </w:rPr>
              <w:t>）</w:t>
            </w:r>
          </w:p>
          <w:p w14:paraId="6B918299">
            <w:pPr>
              <w:numPr>
                <w:ilvl w:val="0"/>
                <w:numId w:val="0"/>
              </w:numPr>
              <w:spacing w:line="280" w:lineRule="exact"/>
              <w:rPr>
                <w:rFonts w:hint="default" w:asciiTheme="minorEastAsia" w:hAnsiTheme="minorEastAsia" w:eastAsiaTheme="minorEastAsia"/>
                <w:b/>
                <w:color w:val="000000" w:themeColor="text1"/>
                <w:kern w:val="28"/>
                <w:szCs w:val="21"/>
                <w:highlight w:val="none"/>
                <w:lang w:val="en-US"/>
                <w14:textFill>
                  <w14:solidFill>
                    <w14:schemeClr w14:val="tx1"/>
                  </w14:solidFill>
                </w14:textFill>
              </w:rPr>
            </w:pPr>
            <w:r>
              <w:rPr>
                <w:rFonts w:hint="eastAsia" w:asciiTheme="minorEastAsia" w:hAnsiTheme="minorEastAsia" w:eastAsiaTheme="minorEastAsia"/>
                <w:b/>
                <w:color w:val="000000" w:themeColor="text1"/>
                <w:kern w:val="28"/>
                <w:szCs w:val="21"/>
                <w:highlight w:val="none"/>
                <w:lang w:val="en-US" w:eastAsia="zh-CN"/>
                <w14:textFill>
                  <w14:solidFill>
                    <w14:schemeClr w14:val="tx1"/>
                  </w14:solidFill>
                </w14:textFill>
              </w:rPr>
              <w:t>（七）系统集成服务</w:t>
            </w:r>
          </w:p>
          <w:p w14:paraId="41DB7626">
            <w:pPr>
              <w:numPr>
                <w:ilvl w:val="0"/>
                <w:numId w:val="0"/>
              </w:numPr>
              <w:spacing w:line="280" w:lineRule="exact"/>
              <w:rPr>
                <w:rFonts w:hint="default" w:asciiTheme="minorEastAsia" w:hAnsiTheme="minorEastAsia" w:eastAsiaTheme="minorEastAsia"/>
                <w:b w:val="0"/>
                <w:bCs/>
                <w:color w:val="000000" w:themeColor="text1"/>
                <w:kern w:val="28"/>
                <w:szCs w:val="21"/>
                <w:highlight w:val="none"/>
                <w:lang w:val="en-US"/>
                <w14:textFill>
                  <w14:solidFill>
                    <w14:schemeClr w14:val="tx1"/>
                  </w14:solidFill>
                </w14:textFill>
              </w:rPr>
            </w:pPr>
            <w:r>
              <w:rPr>
                <w:rFonts w:hint="eastAsia" w:asciiTheme="minorEastAsia" w:hAnsiTheme="minorEastAsia" w:eastAsiaTheme="minorEastAsia"/>
                <w:b w:val="0"/>
                <w:bCs/>
                <w:color w:val="000000" w:themeColor="text1"/>
                <w:kern w:val="28"/>
                <w:szCs w:val="21"/>
                <w:highlight w:val="none"/>
                <w:lang w:val="en-US" w:eastAsia="zh-CN"/>
                <w14:textFill>
                  <w14:solidFill>
                    <w14:schemeClr w14:val="tx1"/>
                  </w14:solidFill>
                </w14:textFill>
              </w:rPr>
              <w:t>提供全套设备系统集成部署、安装调试服务，配套开展操作人员使用培训，保障系统快速落地、规范使用。</w:t>
            </w:r>
          </w:p>
          <w:p w14:paraId="49F7FDE3">
            <w:pPr>
              <w:spacing w:line="280" w:lineRule="exact"/>
              <w:rPr>
                <w:rFonts w:cs="Arial" w:asciiTheme="minorEastAsia" w:hAnsiTheme="minorEastAsia" w:eastAsiaTheme="minorEastAsia"/>
                <w:b/>
                <w:bCs/>
                <w:color w:val="000000" w:themeColor="text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Cs w:val="21"/>
                <w:highlight w:val="none"/>
                <w14:textFill>
                  <w14:solidFill>
                    <w14:schemeClr w14:val="tx1"/>
                  </w14:solidFill>
                </w14:textFill>
              </w:rPr>
              <w:t>二、</w:t>
            </w:r>
            <w:r>
              <w:rPr>
                <w:rFonts w:hint="eastAsia" w:cs="宋体" w:asciiTheme="minorEastAsia" w:hAnsiTheme="minorEastAsia" w:eastAsiaTheme="minorEastAsia"/>
                <w:b/>
                <w:bCs/>
                <w:color w:val="000000" w:themeColor="text1"/>
                <w:szCs w:val="21"/>
                <w:highlight w:val="none"/>
                <w:lang w:val="en-US" w:eastAsia="zh-CN"/>
                <w14:textFill>
                  <w14:solidFill>
                    <w14:schemeClr w14:val="tx1"/>
                  </w14:solidFill>
                </w14:textFill>
              </w:rPr>
              <w:t>其他</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服务要求</w:t>
            </w:r>
          </w:p>
          <w:p w14:paraId="1EF4DA63">
            <w:pPr>
              <w:spacing w:line="280" w:lineRule="exact"/>
              <w:rPr>
                <w:rFonts w:cs="Arial" w:asciiTheme="minorEastAsia" w:hAnsiTheme="minorEastAsia" w:eastAsiaTheme="minorEastAsia"/>
                <w:b/>
                <w:bCs/>
                <w:color w:val="000000" w:themeColor="text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Cs w:val="21"/>
                <w:highlight w:val="none"/>
                <w14:textFill>
                  <w14:solidFill>
                    <w14:schemeClr w14:val="tx1"/>
                  </w14:solidFill>
                </w14:textFill>
              </w:rPr>
              <w:t>（一）</w:t>
            </w:r>
            <w:r>
              <w:rPr>
                <w:rFonts w:hint="eastAsia" w:cs="宋体" w:asciiTheme="minorEastAsia" w:hAnsiTheme="minorEastAsia" w:eastAsiaTheme="minorEastAsia"/>
                <w:b/>
                <w:bCs/>
                <w:color w:val="000000" w:themeColor="text1"/>
                <w:szCs w:val="21"/>
                <w:highlight w:val="none"/>
                <w:lang w:val="en-US" w:eastAsia="zh-CN"/>
                <w14:textFill>
                  <w14:solidFill>
                    <w14:schemeClr w14:val="tx1"/>
                  </w14:solidFill>
                </w14:textFill>
              </w:rPr>
              <w:t>运维</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要求</w:t>
            </w:r>
          </w:p>
          <w:p w14:paraId="22818746">
            <w:pPr>
              <w:spacing w:line="280" w:lineRule="exact"/>
              <w:ind w:firstLine="420" w:firstLineChars="200"/>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在服务期限内，中标人应派运维技术人员现场开展维修维护工作，完成</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整套</w:t>
            </w:r>
            <w:r>
              <w:rPr>
                <w:rFonts w:hint="eastAsia" w:cs="宋体" w:asciiTheme="minorEastAsia" w:hAnsiTheme="minorEastAsia" w:eastAsiaTheme="minorEastAsia"/>
                <w:color w:val="000000" w:themeColor="text1"/>
                <w:szCs w:val="21"/>
                <w:highlight w:val="none"/>
                <w14:textFill>
                  <w14:solidFill>
                    <w14:schemeClr w14:val="tx1"/>
                  </w14:solidFill>
                </w14:textFill>
              </w:rPr>
              <w:t>系统的正常运转，免费对保修设备的软硬件提供技术支持、配件更换等服务，并对所有技防系统设备进行例行检查操作、应急响应操作、优化改善操作，对任何故障提供全天</w:t>
            </w:r>
            <w:r>
              <w:rPr>
                <w:rFonts w:cs="Arial" w:asciiTheme="minorEastAsia" w:hAnsiTheme="minorEastAsia" w:eastAsiaTheme="minorEastAsia"/>
                <w:color w:val="000000" w:themeColor="text1"/>
                <w:szCs w:val="21"/>
                <w:highlight w:val="none"/>
                <w14:textFill>
                  <w14:solidFill>
                    <w14:schemeClr w14:val="tx1"/>
                  </w14:solidFill>
                </w14:textFill>
              </w:rPr>
              <w:t>24</w:t>
            </w:r>
            <w:r>
              <w:rPr>
                <w:rFonts w:hint="eastAsia" w:cs="宋体" w:asciiTheme="minorEastAsia" w:hAnsiTheme="minorEastAsia" w:eastAsiaTheme="minorEastAsia"/>
                <w:color w:val="000000" w:themeColor="text1"/>
                <w:szCs w:val="21"/>
                <w:highlight w:val="none"/>
                <w14:textFill>
                  <w14:solidFill>
                    <w14:schemeClr w14:val="tx1"/>
                  </w14:solidFill>
                </w14:textFill>
              </w:rPr>
              <w:t>小时维修和维护服务。</w:t>
            </w:r>
          </w:p>
          <w:p w14:paraId="014A4543">
            <w:pPr>
              <w:spacing w:line="280" w:lineRule="exact"/>
              <w:rPr>
                <w:rFonts w:cs="Arial"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w:t>
            </w:r>
            <w:r>
              <w:rPr>
                <w:rFonts w:hint="eastAsia" w:cs="宋体" w:asciiTheme="minorEastAsia" w:hAnsiTheme="minorEastAsia" w:eastAsiaTheme="minorEastAsia"/>
                <w:b/>
                <w:bCs/>
                <w:color w:val="000000" w:themeColor="text1"/>
                <w:szCs w:val="21"/>
                <w:highlight w:val="none"/>
                <w:lang w:val="en-US" w:eastAsia="zh-CN"/>
                <w14:textFill>
                  <w14:solidFill>
                    <w14:schemeClr w14:val="tx1"/>
                  </w14:solidFill>
                </w14:textFill>
              </w:rPr>
              <w:t>二</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）投入运维工具要求</w:t>
            </w:r>
          </w:p>
          <w:p w14:paraId="6932A14A">
            <w:pPr>
              <w:spacing w:line="280" w:lineRule="exact"/>
              <w:ind w:firstLine="420" w:firstLineChars="200"/>
              <w:rPr>
                <w:rFonts w:cs="Segoe UI Symbol" w:asciiTheme="minorEastAsia" w:hAnsiTheme="minorEastAsia" w:eastAsiaTheme="minorEastAsia"/>
                <w:color w:val="000000" w:themeColor="text1"/>
                <w:szCs w:val="21"/>
                <w:highlight w:val="none"/>
                <w14:textFill>
                  <w14:solidFill>
                    <w14:schemeClr w14:val="tx1"/>
                  </w14:solidFill>
                </w14:textFill>
              </w:rPr>
            </w:pPr>
            <w:r>
              <w:rPr>
                <w:rFonts w:hint="eastAsia" w:cs="Segoe UI Symbol" w:asciiTheme="minorEastAsia" w:hAnsiTheme="minorEastAsia" w:eastAsiaTheme="minorEastAsia"/>
                <w:color w:val="000000" w:themeColor="text1"/>
                <w:szCs w:val="21"/>
                <w:highlight w:val="none"/>
                <w14:textFill>
                  <w14:solidFill>
                    <w14:schemeClr w14:val="tx1"/>
                  </w14:solidFill>
                </w14:textFill>
              </w:rPr>
              <w:t>包括但不限于：工程运维车辆、升降梯、工程宝、巡线仪、切割机、熔纤机、测试笔记本、标签打印机、万用表、工具箱、冲击钻等必要的工具，运维工具经核对符合招标要求后方可</w:t>
            </w:r>
            <w:r>
              <w:rPr>
                <w:rFonts w:hint="eastAsia" w:cs="Segoe UI Symbol" w:asciiTheme="minorEastAsia" w:hAnsiTheme="minorEastAsia" w:eastAsiaTheme="minorEastAsia"/>
                <w:color w:val="000000" w:themeColor="text1"/>
                <w:szCs w:val="21"/>
                <w:highlight w:val="none"/>
                <w:lang w:eastAsia="zh-CN"/>
                <w14:textFill>
                  <w14:solidFill>
                    <w14:schemeClr w14:val="tx1"/>
                  </w14:solidFill>
                </w14:textFill>
              </w:rPr>
              <w:t>签订</w:t>
            </w:r>
            <w:r>
              <w:rPr>
                <w:rFonts w:hint="eastAsia" w:cs="Segoe UI Symbol" w:asciiTheme="minorEastAsia" w:hAnsiTheme="minorEastAsia" w:eastAsiaTheme="minorEastAsia"/>
                <w:color w:val="000000" w:themeColor="text1"/>
                <w:szCs w:val="21"/>
                <w:highlight w:val="none"/>
                <w14:textFill>
                  <w14:solidFill>
                    <w14:schemeClr w14:val="tx1"/>
                  </w14:solidFill>
                </w14:textFill>
              </w:rPr>
              <w:t>合同。</w:t>
            </w:r>
          </w:p>
          <w:p w14:paraId="64DF186B">
            <w:pPr>
              <w:spacing w:line="280" w:lineRule="exact"/>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w:t>
            </w:r>
            <w:r>
              <w:rPr>
                <w:rFonts w:hint="eastAsia" w:cs="宋体" w:asciiTheme="minorEastAsia" w:hAnsiTheme="minorEastAsia" w:eastAsiaTheme="minorEastAsia"/>
                <w:b/>
                <w:bCs/>
                <w:color w:val="000000" w:themeColor="text1"/>
                <w:szCs w:val="21"/>
                <w:highlight w:val="none"/>
                <w:lang w:val="en-US" w:eastAsia="zh-CN"/>
                <w14:textFill>
                  <w14:solidFill>
                    <w14:schemeClr w14:val="tx1"/>
                  </w14:solidFill>
                </w14:textFill>
              </w:rPr>
              <w:t>三</w:t>
            </w:r>
            <w:r>
              <w:rPr>
                <w:rFonts w:hint="eastAsia" w:cs="宋体" w:asciiTheme="minorEastAsia" w:hAnsiTheme="minorEastAsia" w:eastAsiaTheme="minorEastAsia"/>
                <w:b/>
                <w:bCs/>
                <w:color w:val="000000" w:themeColor="text1"/>
                <w:szCs w:val="21"/>
                <w:highlight w:val="none"/>
                <w14:textFill>
                  <w14:solidFill>
                    <w14:schemeClr w14:val="tx1"/>
                  </w14:solidFill>
                </w14:textFill>
              </w:rPr>
              <w:t>）保密要求</w:t>
            </w:r>
          </w:p>
          <w:p w14:paraId="76E9B3AC">
            <w:pPr>
              <w:spacing w:line="280" w:lineRule="exact"/>
              <w:ind w:firstLine="420" w:firstLineChars="200"/>
              <w:rPr>
                <w:rFonts w:hint="eastAsia" w:ascii="宋体" w:hAnsi="宋体" w:cs="宋体"/>
                <w:b w:val="0"/>
                <w:bCs w:val="0"/>
                <w:color w:val="auto"/>
                <w:szCs w:val="21"/>
                <w:highlight w:val="none"/>
                <w:lang w:val="en-US" w:eastAsia="zh-CN"/>
              </w:rPr>
            </w:pPr>
            <w:r>
              <w:rPr>
                <w:rFonts w:hint="eastAsia" w:asciiTheme="minorEastAsia" w:hAnsiTheme="minorEastAsia" w:eastAsiaTheme="minorEastAsia"/>
                <w:color w:val="000000" w:themeColor="text1"/>
                <w:szCs w:val="21"/>
                <w:highlight w:val="none"/>
                <w14:textFill>
                  <w14:solidFill>
                    <w14:schemeClr w14:val="tx1"/>
                  </w14:solidFill>
                </w14:textFill>
              </w:rPr>
              <w:t>中标人要保证对</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广西壮族自治区第三强制隔离</w:t>
            </w:r>
            <w:r>
              <w:rPr>
                <w:rFonts w:hint="eastAsia" w:asciiTheme="minorEastAsia" w:hAnsiTheme="minorEastAsia" w:eastAsiaTheme="minorEastAsia"/>
                <w:color w:val="000000" w:themeColor="text1"/>
                <w:szCs w:val="21"/>
                <w:highlight w:val="none"/>
                <w14:textFill>
                  <w14:solidFill>
                    <w14:schemeClr w14:val="tx1"/>
                  </w14:solidFill>
                </w14:textFill>
              </w:rPr>
              <w:t>戒毒所</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智能亲情电话</w:t>
            </w:r>
            <w:r>
              <w:rPr>
                <w:rFonts w:hint="eastAsia" w:asciiTheme="minorEastAsia" w:hAnsiTheme="minorEastAsia" w:eastAsiaTheme="minorEastAsia"/>
                <w:color w:val="000000" w:themeColor="text1"/>
                <w:szCs w:val="21"/>
                <w:highlight w:val="none"/>
                <w14:textFill>
                  <w14:solidFill>
                    <w14:schemeClr w14:val="tx1"/>
                  </w14:solidFill>
                </w14:textFill>
              </w:rPr>
              <w:t>系统的相关资料和应用设备的电子与网络数据负有保密的责任和义务，未经许可不许进行拷贝，不许向第三方透露。</w:t>
            </w:r>
          </w:p>
        </w:tc>
        <w:tc>
          <w:tcPr>
            <w:tcW w:w="1807" w:type="dxa"/>
            <w:tcBorders>
              <w:top w:val="single" w:color="auto" w:sz="4" w:space="0"/>
              <w:left w:val="single" w:color="auto" w:sz="4" w:space="0"/>
              <w:bottom w:val="single" w:color="auto" w:sz="4" w:space="0"/>
              <w:right w:val="single" w:color="auto" w:sz="4" w:space="0"/>
            </w:tcBorders>
            <w:vAlign w:val="center"/>
          </w:tcPr>
          <w:p w14:paraId="193F158E">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300000</w:t>
            </w:r>
          </w:p>
        </w:tc>
      </w:tr>
      <w:tr w14:paraId="3E5F6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tcPr>
          <w:p w14:paraId="099F8A6E">
            <w:pPr>
              <w:jc w:val="center"/>
              <w:rPr>
                <w:rFonts w:ascii="宋体" w:hAnsi="宋体"/>
                <w:highlight w:val="none"/>
              </w:rPr>
            </w:pPr>
          </w:p>
          <w:p w14:paraId="3BA0C2C6">
            <w:pPr>
              <w:jc w:val="center"/>
              <w:rPr>
                <w:rFonts w:ascii="宋体" w:hAnsi="宋体"/>
                <w:highlight w:val="none"/>
              </w:rPr>
            </w:pPr>
          </w:p>
          <w:p w14:paraId="262A91A2">
            <w:pPr>
              <w:jc w:val="center"/>
              <w:rPr>
                <w:rFonts w:ascii="宋体" w:hAnsi="宋体"/>
                <w:highlight w:val="none"/>
              </w:rPr>
            </w:pPr>
            <w:r>
              <w:rPr>
                <w:rFonts w:hint="eastAsia" w:ascii="宋体" w:hAnsi="宋体"/>
                <w:highlight w:val="none"/>
              </w:rPr>
              <w:t>商务条款</w:t>
            </w:r>
          </w:p>
        </w:tc>
        <w:tc>
          <w:tcPr>
            <w:tcW w:w="10113" w:type="dxa"/>
            <w:gridSpan w:val="6"/>
            <w:tcBorders>
              <w:top w:val="single" w:color="auto" w:sz="4" w:space="0"/>
              <w:left w:val="single" w:color="auto" w:sz="4" w:space="0"/>
              <w:bottom w:val="single" w:color="auto" w:sz="4" w:space="0"/>
              <w:right w:val="single" w:color="auto" w:sz="4" w:space="0"/>
            </w:tcBorders>
          </w:tcPr>
          <w:p w14:paraId="017C7C8F">
            <w:pPr>
              <w:spacing w:line="400" w:lineRule="exact"/>
              <w:rPr>
                <w:rFonts w:hint="eastAsia" w:ascii="宋体" w:hAnsi="宋体"/>
                <w:highlight w:val="none"/>
              </w:rPr>
            </w:pPr>
            <w:r>
              <w:rPr>
                <w:rFonts w:hint="eastAsia" w:ascii="宋体" w:hAnsi="宋体"/>
                <w:highlight w:val="none"/>
              </w:rPr>
              <w:t>一、合同签订期：自成交通知书发出之日起</w:t>
            </w:r>
            <w:r>
              <w:rPr>
                <w:rFonts w:hint="eastAsia" w:ascii="宋体" w:hAnsi="宋体"/>
                <w:highlight w:val="none"/>
                <w:u w:val="single"/>
              </w:rPr>
              <w:t>15</w:t>
            </w:r>
            <w:r>
              <w:rPr>
                <w:rFonts w:hint="eastAsia" w:ascii="宋体" w:hAnsi="宋体"/>
                <w:highlight w:val="none"/>
              </w:rPr>
              <w:t>日（日历日）内。</w:t>
            </w:r>
          </w:p>
          <w:p w14:paraId="452B986C">
            <w:pPr>
              <w:spacing w:line="400" w:lineRule="exact"/>
              <w:rPr>
                <w:rFonts w:hint="eastAsia" w:ascii="宋体" w:hAnsi="宋体"/>
                <w:highlight w:val="none"/>
              </w:rPr>
            </w:pPr>
            <w:r>
              <w:rPr>
                <w:rFonts w:hint="eastAsia" w:ascii="宋体" w:hAnsi="宋体"/>
                <w:highlight w:val="none"/>
              </w:rPr>
              <w:t>▲二、合同服务期：</w:t>
            </w:r>
            <w:r>
              <w:rPr>
                <w:rFonts w:hint="eastAsia" w:ascii="宋体" w:hAnsi="宋体"/>
                <w:color w:val="auto"/>
                <w:highlight w:val="none"/>
                <w:lang w:val="en-US" w:eastAsia="zh-CN"/>
              </w:rPr>
              <w:t>3</w:t>
            </w:r>
            <w:r>
              <w:rPr>
                <w:rFonts w:hint="eastAsia" w:ascii="宋体" w:hAnsi="宋体"/>
                <w:color w:val="auto"/>
                <w:highlight w:val="none"/>
              </w:rPr>
              <w:t>年。</w:t>
            </w:r>
          </w:p>
          <w:p w14:paraId="75BAF581">
            <w:pPr>
              <w:widowControl/>
              <w:numPr>
                <w:ilvl w:val="0"/>
                <w:numId w:val="0"/>
              </w:numPr>
              <w:spacing w:line="360" w:lineRule="exact"/>
              <w:rPr>
                <w:rFonts w:hint="eastAsia"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宋体" w:hAnsi="宋体"/>
                <w:highlight w:val="none"/>
              </w:rPr>
              <w:t>▲</w:t>
            </w:r>
            <w:r>
              <w:rPr>
                <w:rFonts w:hint="eastAsia" w:ascii="宋体" w:hAnsi="宋体"/>
                <w:highlight w:val="none"/>
                <w:lang w:val="en-US" w:eastAsia="zh-CN"/>
              </w:rPr>
              <w:t>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提供服务的地点：采购人指定的地点</w:t>
            </w:r>
          </w:p>
          <w:p w14:paraId="6709F04D">
            <w:pPr>
              <w:widowControl/>
              <w:numPr>
                <w:ilvl w:val="0"/>
                <w:numId w:val="0"/>
              </w:numPr>
              <w:spacing w:line="360" w:lineRule="exact"/>
              <w:rPr>
                <w:rFonts w:hint="eastAsia" w:ascii="宋体" w:hAnsi="宋体"/>
                <w:highlight w:val="none"/>
                <w:u w:val="single"/>
              </w:rPr>
            </w:pPr>
            <w:r>
              <w:rPr>
                <w:rFonts w:hint="eastAsia" w:ascii="宋体" w:hAnsi="宋体"/>
                <w:highlight w:val="none"/>
              </w:rPr>
              <w:t>▲</w:t>
            </w:r>
            <w:r>
              <w:rPr>
                <w:rFonts w:hint="eastAsia" w:ascii="宋体" w:hAnsi="宋体"/>
                <w:highlight w:val="none"/>
                <w:lang w:val="en-US" w:eastAsia="zh-CN"/>
              </w:rPr>
              <w:t>四、</w:t>
            </w:r>
            <w:r>
              <w:rPr>
                <w:rFonts w:hint="eastAsia" w:ascii="宋体" w:hAnsi="宋体"/>
                <w:highlight w:val="none"/>
              </w:rPr>
              <w:t>提交服务成果时间：</w:t>
            </w:r>
            <w:r>
              <w:rPr>
                <w:rFonts w:hint="eastAsia" w:ascii="宋体" w:hAnsi="宋体"/>
                <w:highlight w:val="none"/>
                <w:u w:val="single"/>
              </w:rPr>
              <w:t>自签订合同之日起15日（日历日）内交付使用。</w:t>
            </w:r>
          </w:p>
          <w:p w14:paraId="184EE311">
            <w:pPr>
              <w:widowControl/>
              <w:numPr>
                <w:ilvl w:val="0"/>
                <w:numId w:val="2"/>
              </w:numPr>
              <w:spacing w:line="360" w:lineRule="exact"/>
              <w:rPr>
                <w:rFonts w:hint="eastAsia" w:cs="宋体"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val="0"/>
                <w:bCs w:val="0"/>
                <w:color w:val="auto"/>
                <w:szCs w:val="21"/>
                <w:highlight w:val="none"/>
                <w:lang w:val="en-US" w:eastAsia="zh-CN"/>
              </w:rPr>
              <w:t>履约保证金金额</w:t>
            </w:r>
            <w:r>
              <w:rPr>
                <w:rFonts w:hint="eastAsia" w:cs="宋体" w:asciiTheme="minorEastAsia" w:hAnsiTheme="minorEastAsia" w:eastAsiaTheme="minorEastAsia"/>
                <w:b w:val="0"/>
                <w:bCs w:val="0"/>
                <w:color w:val="000000" w:themeColor="text1"/>
                <w:kern w:val="0"/>
                <w:szCs w:val="21"/>
                <w:highlight w:val="none"/>
                <w14:textFill>
                  <w14:solidFill>
                    <w14:schemeClr w14:val="tx1"/>
                  </w14:solidFill>
                </w14:textFill>
              </w:rPr>
              <w:t>：</w:t>
            </w:r>
          </w:p>
          <w:p w14:paraId="46FAA3C9">
            <w:pPr>
              <w:spacing w:line="28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本项目需要缴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rPr>
              <w:t>履约</w:t>
            </w:r>
            <w:r>
              <w:rPr>
                <w:rFonts w:hint="eastAsia" w:ascii="宋体" w:hAnsi="宋体" w:cs="宋体"/>
                <w:b w:val="0"/>
                <w:bCs w:val="0"/>
                <w:color w:val="auto"/>
                <w:szCs w:val="21"/>
                <w:highlight w:val="none"/>
                <w:lang w:eastAsia="zh-CN"/>
              </w:rPr>
              <w:t>保证金，</w:t>
            </w:r>
            <w:r>
              <w:rPr>
                <w:rFonts w:hint="eastAsia" w:ascii="宋体" w:hAnsi="宋体" w:cs="宋体"/>
                <w:b w:val="0"/>
                <w:bCs w:val="0"/>
                <w:color w:val="auto"/>
                <w:szCs w:val="21"/>
                <w:highlight w:val="none"/>
              </w:rPr>
              <w:t>相关要求</w:t>
            </w:r>
            <w:r>
              <w:rPr>
                <w:rFonts w:hint="eastAsia" w:ascii="宋体" w:hAnsi="宋体" w:cs="宋体"/>
                <w:b w:val="0"/>
                <w:bCs w:val="0"/>
                <w:color w:val="auto"/>
                <w:szCs w:val="21"/>
                <w:highlight w:val="none"/>
                <w:lang w:eastAsia="zh-CN"/>
              </w:rPr>
              <w:t>如下</w:t>
            </w:r>
            <w:r>
              <w:rPr>
                <w:rFonts w:hint="eastAsia" w:ascii="宋体" w:hAnsi="宋体" w:cs="宋体"/>
                <w:b w:val="0"/>
                <w:bCs w:val="0"/>
                <w:color w:val="auto"/>
                <w:szCs w:val="21"/>
                <w:highlight w:val="none"/>
              </w:rPr>
              <w:t>：</w:t>
            </w:r>
          </w:p>
          <w:p w14:paraId="68BD8986">
            <w:pPr>
              <w:spacing w:line="2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cs="Times New Roman" w:asciiTheme="minorEastAsia" w:hAnsiTheme="minorEastAsia" w:eastAsiaTheme="minorEastAsia"/>
                <w:color w:val="auto"/>
                <w:szCs w:val="21"/>
                <w:highlight w:val="none"/>
              </w:rPr>
              <w:t>履约</w:t>
            </w:r>
            <w:r>
              <w:rPr>
                <w:rFonts w:hint="eastAsia" w:ascii="宋体" w:hAnsi="宋体" w:eastAsia="宋体" w:cs="宋体"/>
                <w:color w:val="auto"/>
                <w:szCs w:val="21"/>
                <w:highlight w:val="none"/>
              </w:rPr>
              <w:t>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F445A8">
            <w:pPr>
              <w:spacing w:line="280" w:lineRule="exact"/>
              <w:rPr>
                <w:rFonts w:hint="eastAsia" w:cs="Times New Roman" w:asciiTheme="minorEastAsia" w:hAnsiTheme="minorEastAsia" w:eastAsiaTheme="minorEastAsia"/>
                <w:color w:val="auto"/>
                <w:szCs w:val="21"/>
                <w:highlight w:val="none"/>
                <w:lang w:eastAsia="zh-CN"/>
              </w:rPr>
            </w:pPr>
            <w:r>
              <w:rPr>
                <w:rFonts w:hint="eastAsia" w:cs="Times New Roman" w:asciiTheme="minorEastAsia" w:hAnsiTheme="minorEastAsia" w:eastAsiaTheme="minorEastAsia"/>
                <w:color w:val="auto"/>
                <w:szCs w:val="21"/>
                <w:highlight w:val="none"/>
                <w:lang w:val="en-US" w:eastAsia="zh-CN"/>
              </w:rPr>
              <w:t>2.</w:t>
            </w:r>
            <w:r>
              <w:rPr>
                <w:rFonts w:hint="eastAsia" w:cs="Times New Roman" w:asciiTheme="minorEastAsia" w:hAnsiTheme="minorEastAsia" w:eastAsiaTheme="minorEastAsia"/>
                <w:color w:val="auto"/>
                <w:szCs w:val="21"/>
                <w:highlight w:val="none"/>
              </w:rPr>
              <w:t>履约保证金</w:t>
            </w:r>
            <w:r>
              <w:rPr>
                <w:rFonts w:hint="eastAsia" w:cs="Times New Roman" w:asciiTheme="minorEastAsia" w:hAnsiTheme="minorEastAsia" w:eastAsiaTheme="minorEastAsia"/>
                <w:color w:val="auto"/>
                <w:szCs w:val="21"/>
                <w:highlight w:val="none"/>
                <w:lang w:eastAsia="zh-CN"/>
              </w:rPr>
              <w:t>提交</w:t>
            </w:r>
            <w:r>
              <w:rPr>
                <w:rFonts w:hint="eastAsia" w:cs="Times New Roman" w:asciiTheme="minorEastAsia" w:hAnsiTheme="minorEastAsia" w:eastAsiaTheme="minorEastAsia"/>
                <w:color w:val="auto"/>
                <w:szCs w:val="21"/>
                <w:highlight w:val="none"/>
              </w:rPr>
              <w:t>方式：</w:t>
            </w:r>
            <w:r>
              <w:rPr>
                <w:rFonts w:hint="eastAsia" w:cs="Times New Roman" w:asciiTheme="minorEastAsia" w:hAnsiTheme="minorEastAsia" w:eastAsiaTheme="minorEastAsia"/>
                <w:color w:val="auto"/>
                <w:szCs w:val="21"/>
                <w:highlight w:val="none"/>
                <w:lang w:eastAsia="zh-CN"/>
              </w:rPr>
              <w:t>中标人</w:t>
            </w:r>
            <w:r>
              <w:rPr>
                <w:rFonts w:hint="eastAsia" w:cs="Times New Roman" w:asciiTheme="minorEastAsia" w:hAnsiTheme="minorEastAsia" w:eastAsiaTheme="minorEastAsia"/>
                <w:color w:val="auto"/>
                <w:szCs w:val="21"/>
                <w:highlight w:val="none"/>
              </w:rPr>
              <w:t>在签订合同前</w:t>
            </w:r>
            <w:r>
              <w:rPr>
                <w:rFonts w:hint="eastAsia" w:cs="Times New Roman" w:asciiTheme="minorEastAsia" w:hAnsiTheme="minorEastAsia" w:eastAsiaTheme="minorEastAsia"/>
                <w:color w:val="auto"/>
                <w:szCs w:val="21"/>
                <w:highlight w:val="none"/>
                <w:lang w:eastAsia="zh-CN"/>
              </w:rPr>
              <w:t>以</w:t>
            </w:r>
            <w:r>
              <w:rPr>
                <w:rFonts w:hint="eastAsia" w:cs="Times New Roman" w:asciiTheme="minorEastAsia" w:hAnsiTheme="minorEastAsia" w:eastAsiaTheme="minorEastAsia"/>
                <w:color w:val="auto"/>
                <w:szCs w:val="21"/>
                <w:highlight w:val="none"/>
              </w:rPr>
              <w:t>银行转账、支票、汇票、本票或者金融机构、担保机构出具的保函等非现金方式</w:t>
            </w:r>
            <w:r>
              <w:rPr>
                <w:rFonts w:hint="eastAsia" w:cs="Times New Roman" w:asciiTheme="minorEastAsia" w:hAnsiTheme="minorEastAsia" w:eastAsiaTheme="minorEastAsia"/>
                <w:color w:val="auto"/>
                <w:szCs w:val="21"/>
                <w:highlight w:val="none"/>
                <w:lang w:eastAsia="zh-CN"/>
              </w:rPr>
              <w:t>向</w:t>
            </w:r>
            <w:r>
              <w:rPr>
                <w:rFonts w:hint="eastAsia" w:cs="Times New Roman" w:asciiTheme="minorEastAsia" w:hAnsiTheme="minorEastAsia" w:eastAsiaTheme="minorEastAsia"/>
                <w:color w:val="auto"/>
                <w:szCs w:val="21"/>
                <w:highlight w:val="none"/>
                <w:lang w:val="en-US" w:eastAsia="zh-CN"/>
              </w:rPr>
              <w:t>采购人提交</w:t>
            </w:r>
            <w:r>
              <w:rPr>
                <w:rFonts w:hint="eastAsia" w:cs="Times New Roman" w:asciiTheme="minorEastAsia" w:hAnsiTheme="minorEastAsia" w:eastAsiaTheme="minorEastAsia"/>
                <w:color w:val="auto"/>
                <w:szCs w:val="21"/>
                <w:highlight w:val="none"/>
                <w:lang w:eastAsia="zh-CN"/>
              </w:rPr>
              <w:t>。</w:t>
            </w:r>
          </w:p>
          <w:p w14:paraId="56A28563">
            <w:pPr>
              <w:spacing w:line="280" w:lineRule="exact"/>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3.</w:t>
            </w:r>
            <w:r>
              <w:rPr>
                <w:rFonts w:hint="eastAsia" w:cs="Times New Roman" w:asciiTheme="minorEastAsia" w:hAnsiTheme="minorEastAsia" w:eastAsiaTheme="minorEastAsia"/>
                <w:color w:val="auto"/>
                <w:szCs w:val="21"/>
                <w:highlight w:val="none"/>
              </w:rPr>
              <w:t>履约保证金退付方式、时间及条件：项目交付完成并验收合格，在</w:t>
            </w:r>
            <w:r>
              <w:rPr>
                <w:rFonts w:hint="eastAsia" w:cs="Times New Roman" w:asciiTheme="minorEastAsia" w:hAnsiTheme="minorEastAsia" w:eastAsiaTheme="minorEastAsia"/>
                <w:color w:val="auto"/>
                <w:szCs w:val="21"/>
                <w:highlight w:val="none"/>
                <w:lang w:eastAsia="zh-CN"/>
              </w:rPr>
              <w:t>中标人</w:t>
            </w:r>
            <w:r>
              <w:rPr>
                <w:rFonts w:hint="eastAsia" w:cs="Times New Roman" w:asciiTheme="minorEastAsia" w:hAnsiTheme="minorEastAsia" w:eastAsiaTheme="minorEastAsia"/>
                <w:color w:val="auto"/>
                <w:szCs w:val="21"/>
                <w:highlight w:val="none"/>
              </w:rPr>
              <w:t>履行完合同约定的权利义务事项后且无违约情形的，</w:t>
            </w:r>
            <w:r>
              <w:rPr>
                <w:rFonts w:hint="eastAsia" w:cs="Times New Roman" w:asciiTheme="minorEastAsia" w:hAnsiTheme="minorEastAsia" w:eastAsiaTheme="minorEastAsia"/>
                <w:color w:val="auto"/>
                <w:szCs w:val="21"/>
                <w:highlight w:val="none"/>
                <w:lang w:val="en-US" w:eastAsia="zh-CN"/>
              </w:rPr>
              <w:t>履约保证金</w:t>
            </w:r>
            <w:r>
              <w:rPr>
                <w:rFonts w:hint="eastAsia" w:cs="Times New Roman" w:asciiTheme="minorEastAsia" w:hAnsiTheme="minorEastAsia" w:eastAsiaTheme="minorEastAsia"/>
                <w:color w:val="auto"/>
                <w:szCs w:val="21"/>
                <w:highlight w:val="none"/>
              </w:rPr>
              <w:t>由采购人财务部门</w:t>
            </w:r>
            <w:r>
              <w:rPr>
                <w:rFonts w:hint="eastAsia" w:cs="Times New Roman" w:asciiTheme="minorEastAsia" w:hAnsiTheme="minorEastAsia" w:eastAsiaTheme="minorEastAsia"/>
                <w:color w:val="auto"/>
                <w:szCs w:val="21"/>
                <w:highlight w:val="none"/>
                <w:lang w:val="en-US" w:eastAsia="zh-CN"/>
              </w:rPr>
              <w:t>在合同到期后的两个月</w:t>
            </w:r>
            <w:r>
              <w:rPr>
                <w:rFonts w:hint="eastAsia" w:cs="Times New Roman" w:asciiTheme="minorEastAsia" w:hAnsiTheme="minorEastAsia" w:eastAsiaTheme="minorEastAsia"/>
                <w:color w:val="auto"/>
                <w:szCs w:val="21"/>
                <w:highlight w:val="none"/>
              </w:rPr>
              <w:t>内退还（不计利息）。</w:t>
            </w:r>
          </w:p>
          <w:p w14:paraId="2D899954">
            <w:pPr>
              <w:spacing w:line="280" w:lineRule="exact"/>
              <w:jc w:val="both"/>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4.</w:t>
            </w:r>
            <w:r>
              <w:rPr>
                <w:rFonts w:hint="eastAsia" w:cs="Times New Roman" w:asciiTheme="minorEastAsia" w:hAnsiTheme="minorEastAsia" w:eastAsiaTheme="minorEastAsia"/>
                <w:color w:val="auto"/>
                <w:szCs w:val="21"/>
                <w:highlight w:val="none"/>
                <w:lang w:eastAsia="zh-CN"/>
              </w:rPr>
              <w:t>缴纳</w:t>
            </w:r>
            <w:r>
              <w:rPr>
                <w:rFonts w:hint="eastAsia" w:cs="Times New Roman" w:asciiTheme="minorEastAsia" w:hAnsiTheme="minorEastAsia" w:eastAsiaTheme="minorEastAsia"/>
                <w:color w:val="auto"/>
                <w:szCs w:val="21"/>
                <w:highlight w:val="none"/>
              </w:rPr>
              <w:t>履约保证金</w:t>
            </w:r>
            <w:r>
              <w:rPr>
                <w:rFonts w:hint="eastAsia" w:cs="Times New Roman" w:asciiTheme="minorEastAsia" w:hAnsiTheme="minorEastAsia" w:eastAsiaTheme="minorEastAsia"/>
                <w:color w:val="auto"/>
                <w:szCs w:val="21"/>
                <w:highlight w:val="none"/>
                <w:lang w:eastAsia="zh-CN"/>
              </w:rPr>
              <w:t>的</w:t>
            </w:r>
            <w:r>
              <w:rPr>
                <w:rFonts w:hint="eastAsia" w:cs="Times New Roman" w:asciiTheme="minorEastAsia" w:hAnsiTheme="minorEastAsia" w:eastAsiaTheme="minorEastAsia"/>
                <w:color w:val="auto"/>
                <w:szCs w:val="21"/>
                <w:highlight w:val="none"/>
              </w:rPr>
              <w:t>指定账户：</w:t>
            </w:r>
          </w:p>
          <w:p w14:paraId="4D8DDD03">
            <w:pPr>
              <w:spacing w:line="280" w:lineRule="exact"/>
              <w:jc w:val="both"/>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开户名：</w:t>
            </w:r>
          </w:p>
          <w:p w14:paraId="3B65D514">
            <w:pPr>
              <w:spacing w:line="280" w:lineRule="exact"/>
              <w:jc w:val="both"/>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开户行：</w:t>
            </w:r>
          </w:p>
          <w:p w14:paraId="42AFF01B">
            <w:pPr>
              <w:spacing w:line="280" w:lineRule="exact"/>
              <w:jc w:val="both"/>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账  号：</w:t>
            </w:r>
          </w:p>
          <w:p w14:paraId="09C9EC39">
            <w:pPr>
              <w:spacing w:line="280" w:lineRule="exact"/>
              <w:jc w:val="both"/>
              <w:rPr>
                <w:rFonts w:hint="eastAsia" w:cs="Times New Roman" w:asciiTheme="minorEastAsia" w:hAnsiTheme="minorEastAsia" w:eastAsiaTheme="minorEastAsia"/>
                <w:b/>
                <w:bCs/>
                <w:color w:val="auto"/>
                <w:szCs w:val="21"/>
                <w:highlight w:val="none"/>
              </w:rPr>
            </w:pPr>
            <w:r>
              <w:rPr>
                <w:rFonts w:hint="eastAsia" w:cs="Times New Roman" w:asciiTheme="minorEastAsia" w:hAnsiTheme="minorEastAsia" w:eastAsiaTheme="minorEastAsia"/>
                <w:b/>
                <w:bCs/>
                <w:color w:val="auto"/>
                <w:szCs w:val="21"/>
                <w:highlight w:val="none"/>
              </w:rPr>
              <w:t>备注：</w:t>
            </w:r>
          </w:p>
          <w:p w14:paraId="4945004F">
            <w:pPr>
              <w:spacing w:line="280" w:lineRule="exact"/>
              <w:rPr>
                <w:rFonts w:hint="eastAsia" w:cs="Times New Roman" w:asciiTheme="minorEastAsia" w:hAnsiTheme="minorEastAsia" w:eastAsiaTheme="minorEastAsia"/>
                <w:b/>
                <w:bCs/>
                <w:color w:val="auto"/>
                <w:szCs w:val="21"/>
                <w:highlight w:val="none"/>
              </w:rPr>
            </w:pPr>
            <w:r>
              <w:rPr>
                <w:rFonts w:hint="eastAsia" w:cs="Times New Roman" w:asciiTheme="minorEastAsia" w:hAnsiTheme="minorEastAsia" w:eastAsiaTheme="minorEastAsia"/>
                <w:b/>
                <w:bCs/>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cs="Times New Roman" w:asciiTheme="minorEastAsia" w:hAnsiTheme="minorEastAsia" w:eastAsiaTheme="minorEastAsia"/>
                <w:b/>
                <w:bCs/>
                <w:color w:val="auto"/>
                <w:szCs w:val="21"/>
                <w:highlight w:val="none"/>
              </w:rPr>
              <w:br w:type="textWrapping"/>
            </w:r>
            <w:r>
              <w:rPr>
                <w:rFonts w:hint="eastAsia" w:cs="Times New Roman" w:asciiTheme="minorEastAsia" w:hAnsiTheme="minorEastAsia" w:eastAsiaTheme="minorEastAsia"/>
                <w:b/>
                <w:bCs/>
                <w:color w:val="auto"/>
                <w:szCs w:val="21"/>
                <w:highlight w:val="none"/>
                <w:lang w:val="en-US" w:eastAsia="zh-CN"/>
              </w:rPr>
              <w:t>2</w:t>
            </w:r>
            <w:r>
              <w:rPr>
                <w:rFonts w:hint="eastAsia" w:cs="Times New Roman" w:asciiTheme="minorEastAsia" w:hAnsiTheme="minorEastAsia" w:eastAsiaTheme="minorEastAsia"/>
                <w:b/>
                <w:bCs/>
                <w:color w:val="auto"/>
                <w:szCs w:val="21"/>
                <w:highlight w:val="none"/>
              </w:rPr>
              <w:t>.采用金融、担保机构出具的保函的，必须为无条件保函，否则不予签订合同。</w:t>
            </w:r>
          </w:p>
          <w:p w14:paraId="7159CDD1">
            <w:pPr>
              <w:widowControl/>
              <w:numPr>
                <w:ilvl w:val="0"/>
                <w:numId w:val="0"/>
              </w:numPr>
              <w:spacing w:line="360" w:lineRule="exact"/>
              <w:rPr>
                <w:rFonts w:hint="eastAsia" w:cs="宋体" w:asciiTheme="minorEastAsia" w:hAnsiTheme="minorEastAsia" w:eastAsiaTheme="minorEastAsia"/>
                <w:b/>
                <w:bCs/>
                <w:color w:val="000000" w:themeColor="text1"/>
                <w:kern w:val="0"/>
                <w:szCs w:val="21"/>
                <w:highlight w:val="none"/>
                <w:lang w:val="en-US" w:eastAsia="zh-CN"/>
                <w14:textFill>
                  <w14:solidFill>
                    <w14:schemeClr w14:val="tx1"/>
                  </w14:solidFill>
                </w14:textFill>
              </w:rPr>
            </w:pPr>
            <w:r>
              <w:rPr>
                <w:rFonts w:hint="eastAsia" w:cs="Times New Roman" w:asciiTheme="minorEastAsia" w:hAnsiTheme="minorEastAsia" w:eastAsiaTheme="minorEastAsia"/>
                <w:b/>
                <w:bCs/>
                <w:color w:val="auto"/>
                <w:szCs w:val="21"/>
                <w:highlight w:val="none"/>
                <w:lang w:val="en-US" w:eastAsia="zh-CN"/>
              </w:rPr>
              <w:t>3</w:t>
            </w:r>
            <w:r>
              <w:rPr>
                <w:rFonts w:hint="eastAsia" w:cs="Times New Roman" w:asciiTheme="minorEastAsia" w:hAnsiTheme="minorEastAsia" w:eastAsiaTheme="minorEastAsia"/>
                <w:b/>
                <w:bCs/>
                <w:color w:val="auto"/>
                <w:szCs w:val="21"/>
                <w:highlight w:val="none"/>
              </w:rPr>
              <w:t>.投标人为联合体的，由联合体其中一方按规定提交的履约保证金，视为有效履约保证金。</w:t>
            </w:r>
          </w:p>
          <w:p w14:paraId="117D744F">
            <w:pPr>
              <w:widowControl/>
              <w:spacing w:line="360" w:lineRule="exac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六</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、售后服务要求：</w:t>
            </w:r>
          </w:p>
          <w:p w14:paraId="01236DE8">
            <w:pPr>
              <w:widowControl/>
              <w:numPr>
                <w:ilvl w:val="0"/>
                <w:numId w:val="3"/>
              </w:numPr>
              <w:spacing w:line="360" w:lineRule="exac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质保期3年</w:t>
            </w:r>
            <w:r>
              <w:rPr>
                <w:rFonts w:hint="eastAsia" w:ascii="宋体" w:hAnsi="宋体"/>
                <w:color w:val="auto"/>
                <w:highlight w:val="none"/>
              </w:rPr>
              <w:t>（交付使用之日起计）</w:t>
            </w:r>
            <w:r>
              <w:rPr>
                <w:rFonts w:hint="eastAsia" w:cs="宋体" w:asciiTheme="minorEastAsia" w:hAnsiTheme="minorEastAsia" w:eastAsiaTheme="minorEastAsia"/>
                <w:color w:val="auto"/>
                <w:kern w:val="0"/>
                <w:szCs w:val="21"/>
                <w:highlight w:val="none"/>
              </w:rPr>
              <w:t>。</w:t>
            </w:r>
          </w:p>
          <w:p w14:paraId="728F55AC">
            <w:pPr>
              <w:spacing w:line="400" w:lineRule="exact"/>
              <w:rPr>
                <w:rFonts w:hint="eastAsia" w:ascii="宋体" w:hAnsi="宋体"/>
                <w:highlight w:val="none"/>
              </w:rPr>
            </w:pPr>
            <w:r>
              <w:rPr>
                <w:rFonts w:hint="eastAsia" w:ascii="宋体" w:hAnsi="宋体"/>
                <w:highlight w:val="none"/>
              </w:rPr>
              <w:t>▲2.提供7×24小时热线电话服务和售后服务响应；并提供多个故障申告途径及绿色通道，并指定专人负责上门受理日常维护及平时协助采购方维护检测等工作。</w:t>
            </w:r>
          </w:p>
          <w:p w14:paraId="04ACAD4F">
            <w:pPr>
              <w:spacing w:line="400" w:lineRule="exact"/>
              <w:rPr>
                <w:rFonts w:hint="eastAsia" w:ascii="宋体" w:hAnsi="宋体"/>
                <w:highlight w:val="none"/>
              </w:rPr>
            </w:pPr>
            <w:r>
              <w:rPr>
                <w:rFonts w:hint="eastAsia" w:ascii="宋体" w:hAnsi="宋体"/>
                <w:highlight w:val="none"/>
              </w:rPr>
              <w:t>3.如成交供应商监测发现网络线路有故障或采购人故障申告后，1个小时内做出响应，不需赶赴现场处理的 2 个小时内提出解决方案，需赶赴现场处理的 4个小时内提出解决方案，不需赶赴现场的 8 个小时内解决故障恢复网络线路正常，需赶赴现场的 12 个小时内解决故障恢复网络线路正常，并告知采购人和用户单位故障原因。超过 12 个小时无法恢复的故障，成交人 7 个日历日内向采购人提交书面故障报告，报告包括故障现象描述、故障原因分析、故障解决办法、故障发生时间、故障恢复时间、如何避 免同类问题发生的措施等。</w:t>
            </w:r>
          </w:p>
          <w:p w14:paraId="1E0C384D">
            <w:pPr>
              <w:spacing w:line="400" w:lineRule="exact"/>
              <w:rPr>
                <w:rFonts w:hint="eastAsia" w:ascii="宋体" w:hAnsi="宋体"/>
                <w:highlight w:val="none"/>
              </w:rPr>
            </w:pPr>
            <w:r>
              <w:rPr>
                <w:rFonts w:hint="eastAsia" w:ascii="宋体" w:hAnsi="宋体"/>
                <w:b/>
                <w:bCs/>
                <w:highlight w:val="none"/>
              </w:rPr>
              <w:t>▲</w:t>
            </w:r>
            <w:r>
              <w:rPr>
                <w:rFonts w:hint="eastAsia" w:ascii="宋体" w:hAnsi="宋体"/>
                <w:highlight w:val="none"/>
              </w:rPr>
              <w:t>4.电路月故障率≤3%（如遇不可抗力或市政施工除外），</w:t>
            </w:r>
            <w:r>
              <w:rPr>
                <w:rFonts w:hint="eastAsia" w:ascii="宋体" w:hAnsi="宋体"/>
                <w:szCs w:val="21"/>
                <w:highlight w:val="none"/>
              </w:rPr>
              <w:t>线路可用率不低于99. 9%（不可抗力因素影响除外）。</w:t>
            </w:r>
          </w:p>
          <w:p w14:paraId="54E42110">
            <w:pPr>
              <w:spacing w:line="400" w:lineRule="exact"/>
              <w:rPr>
                <w:rFonts w:hint="eastAsia" w:ascii="宋体" w:hAnsi="宋体"/>
                <w:highlight w:val="none"/>
              </w:rPr>
            </w:pPr>
            <w:r>
              <w:rPr>
                <w:rFonts w:hint="eastAsia" w:ascii="宋体" w:hAnsi="宋体"/>
                <w:highlight w:val="none"/>
              </w:rPr>
              <w:t>5.在服务期内，成交供应商应严格遵守《中华人民共和国电信条例》，维护双方权益，按《电信服务规范》的电路质量要求，保证采购人租用线路畅通及安全使用。</w:t>
            </w:r>
          </w:p>
          <w:p w14:paraId="47841173">
            <w:pPr>
              <w:spacing w:line="400" w:lineRule="exact"/>
              <w:rPr>
                <w:rFonts w:hint="eastAsia"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宋体" w:hAnsi="宋体"/>
                <w:highlight w:val="none"/>
              </w:rPr>
              <w:t>6.因成交供应商施工、网络割接等原因影响线路稳定运行的，应当提前一天通知采购人，并且尽快消除故障、恢复通信线路。</w:t>
            </w:r>
          </w:p>
          <w:p w14:paraId="0EF55C0B">
            <w:pPr>
              <w:widowControl/>
              <w:spacing w:line="360" w:lineRule="exac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7</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中标人在提供服务过程中，对所接触到的所有信息负有保密义务，并签署相关保密协议，如因服务商原因造成的信息泄露事件，采购方可</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追究其</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刑事责任；</w:t>
            </w:r>
          </w:p>
          <w:p w14:paraId="3CB8EEBF">
            <w:pPr>
              <w:widowControl/>
              <w:spacing w:line="360" w:lineRule="exac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8</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中标人需配备设备、系统和软件维保需要的常用检测设备工具及其它必要器具等。</w:t>
            </w:r>
          </w:p>
          <w:p w14:paraId="641813E0">
            <w:pPr>
              <w:spacing w:line="312"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在本项目服务期内，中标方应对因本项目服务内容出现的质量及安全问题负责处理解决并承担一切费用。</w:t>
            </w:r>
          </w:p>
          <w:p w14:paraId="07657487">
            <w:pPr>
              <w:spacing w:line="312" w:lineRule="auto"/>
              <w:jc w:val="left"/>
              <w:rPr>
                <w:rFonts w:hint="eastAsia" w:ascii="宋体" w:hAnsi="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10.（1）</w:t>
            </w:r>
            <w:r>
              <w:rPr>
                <w:rFonts w:hint="eastAsia" w:ascii="宋体" w:hAnsi="宋体" w:eastAsia="宋体" w:cs="宋体"/>
                <w:i w:val="0"/>
                <w:iCs w:val="0"/>
                <w:color w:val="auto"/>
                <w:kern w:val="0"/>
                <w:sz w:val="21"/>
                <w:szCs w:val="21"/>
                <w:highlight w:val="none"/>
                <w:u w:val="none"/>
                <w:lang w:val="en-US" w:eastAsia="zh-CN" w:bidi="ar"/>
              </w:rPr>
              <w:t>成交供应商须具备ISO 20000信息技术服务管理体系认证、ISO 27001信息安全管理体系认证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CCIA信息系统业务安全服务资质</w:t>
            </w:r>
            <w:r>
              <w:rPr>
                <w:rFonts w:hint="eastAsia" w:ascii="宋体" w:hAnsi="宋体" w:cs="宋体"/>
                <w:i w:val="0"/>
                <w:iCs w:val="0"/>
                <w:color w:val="auto"/>
                <w:kern w:val="0"/>
                <w:sz w:val="21"/>
                <w:szCs w:val="21"/>
                <w:highlight w:val="none"/>
                <w:u w:val="none"/>
                <w:lang w:val="en-US" w:eastAsia="zh-CN" w:bidi="ar"/>
              </w:rPr>
              <w:t>叁级证书及GB/T23793-2017供应商综合能力服务认证证书</w:t>
            </w:r>
            <w:r>
              <w:rPr>
                <w:rFonts w:hint="eastAsia" w:ascii="宋体" w:hAnsi="宋体" w:eastAsia="宋体" w:cs="宋体"/>
                <w:i w:val="0"/>
                <w:iCs w:val="0"/>
                <w:color w:val="auto"/>
                <w:kern w:val="0"/>
                <w:sz w:val="21"/>
                <w:szCs w:val="21"/>
                <w:highlight w:val="none"/>
                <w:u w:val="none"/>
                <w:lang w:val="en-US" w:eastAsia="zh-CN" w:bidi="ar"/>
              </w:rPr>
              <w:t>。（成交供应商须在成交公告之日起3个工作日内向采购人提供上述有效认证证书</w:t>
            </w:r>
            <w:r>
              <w:rPr>
                <w:rFonts w:hint="eastAsia" w:ascii="宋体" w:hAnsi="宋体" w:cs="宋体"/>
                <w:i w:val="0"/>
                <w:iCs w:val="0"/>
                <w:color w:val="auto"/>
                <w:kern w:val="0"/>
                <w:sz w:val="21"/>
                <w:szCs w:val="21"/>
                <w:highlight w:val="none"/>
                <w:u w:val="none"/>
                <w:lang w:val="en-US" w:eastAsia="zh-CN" w:bidi="ar"/>
              </w:rPr>
              <w:t>原件备查，提交</w:t>
            </w:r>
            <w:r>
              <w:rPr>
                <w:rFonts w:hint="eastAsia" w:ascii="宋体" w:hAnsi="宋体" w:eastAsia="宋体" w:cs="宋体"/>
                <w:i w:val="0"/>
                <w:iCs w:val="0"/>
                <w:color w:val="auto"/>
                <w:kern w:val="0"/>
                <w:sz w:val="21"/>
                <w:szCs w:val="21"/>
                <w:highlight w:val="none"/>
                <w:u w:val="none"/>
                <w:lang w:val="en-US" w:eastAsia="zh-CN" w:bidi="ar"/>
              </w:rPr>
              <w:t>复印件，无法提供则视为虚假应标，采购人有权取消成交供应商中标资格并追究该供应商相关法律责任）。</w:t>
            </w:r>
          </w:p>
          <w:p w14:paraId="109ABF04">
            <w:pPr>
              <w:spacing w:line="312"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（2）成交供应商须指定两名自有人员专职统筹项目管理及技术支持工作，</w:t>
            </w:r>
            <w:r>
              <w:rPr>
                <w:rFonts w:hint="eastAsia" w:ascii="宋体" w:hAnsi="宋体" w:cs="宋体"/>
                <w:b w:val="0"/>
                <w:bCs w:val="0"/>
                <w:color w:val="auto"/>
                <w:szCs w:val="21"/>
                <w:highlight w:val="none"/>
                <w:lang w:val="en-US" w:eastAsia="zh-CN"/>
              </w:rPr>
              <w:t>且需技术人员名录表，上述技术人员无特殊原因不得随意更换，确因客观情况需要更换的，供应商应提前3个工作日向采购人提交书面申请及拟定更换人员的资质证明，需满足</w:t>
            </w:r>
            <w:r>
              <w:rPr>
                <w:rFonts w:hint="eastAsia" w:cs="宋体" w:asciiTheme="minorEastAsia" w:hAnsiTheme="minorEastAsia" w:eastAsiaTheme="minorEastAsia"/>
                <w:b w:val="0"/>
                <w:bCs w:val="0"/>
                <w:color w:val="auto"/>
                <w:szCs w:val="21"/>
                <w:highlight w:val="none"/>
              </w:rPr>
              <w:t>职业素质要求</w:t>
            </w:r>
            <w:r>
              <w:rPr>
                <w:rFonts w:hint="eastAsia" w:cs="宋体" w:asciiTheme="minorEastAsia" w:hAnsiTheme="minorEastAsia" w:eastAsiaTheme="minorEastAsia"/>
                <w:b w:val="0"/>
                <w:bCs w:val="0"/>
                <w:color w:val="auto"/>
                <w:szCs w:val="21"/>
                <w:highlight w:val="none"/>
                <w:lang w:eastAsia="zh-CN"/>
              </w:rPr>
              <w:t>，</w:t>
            </w:r>
            <w:r>
              <w:rPr>
                <w:rFonts w:hint="eastAsia" w:cs="宋体" w:asciiTheme="minorEastAsia" w:hAnsiTheme="minorEastAsia" w:eastAsiaTheme="minorEastAsia"/>
                <w:b w:val="0"/>
                <w:bCs w:val="0"/>
                <w:color w:val="auto"/>
                <w:szCs w:val="21"/>
                <w:highlight w:val="none"/>
                <w:lang w:val="en-US" w:eastAsia="zh-CN"/>
              </w:rPr>
              <w:t>人员配比须为1名</w:t>
            </w:r>
            <w:r>
              <w:rPr>
                <w:rFonts w:hint="eastAsia" w:cs="Arial" w:asciiTheme="minorEastAsia" w:hAnsiTheme="minorEastAsia" w:eastAsiaTheme="minorEastAsia"/>
                <w:b w:val="0"/>
                <w:bCs w:val="0"/>
                <w:color w:val="auto"/>
                <w:szCs w:val="21"/>
                <w:highlight w:val="none"/>
              </w:rPr>
              <w:t>网络技术人员</w:t>
            </w:r>
            <w:r>
              <w:rPr>
                <w:rFonts w:hint="eastAsia" w:cs="Arial" w:asciiTheme="minorEastAsia" w:hAnsiTheme="minorEastAsia" w:eastAsiaTheme="minorEastAsia"/>
                <w:b w:val="0"/>
                <w:bCs w:val="0"/>
                <w:color w:val="auto"/>
                <w:szCs w:val="21"/>
                <w:highlight w:val="none"/>
                <w:lang w:eastAsia="zh-CN"/>
              </w:rPr>
              <w:t>，</w:t>
            </w:r>
            <w:r>
              <w:rPr>
                <w:rFonts w:hint="eastAsia" w:cs="Arial" w:asciiTheme="minorEastAsia" w:hAnsiTheme="minorEastAsia" w:eastAsiaTheme="minorEastAsia"/>
                <w:b w:val="0"/>
                <w:bCs w:val="0"/>
                <w:color w:val="auto"/>
                <w:szCs w:val="21"/>
                <w:highlight w:val="none"/>
                <w:lang w:val="en-US" w:eastAsia="zh-CN"/>
              </w:rPr>
              <w:t>1名</w:t>
            </w:r>
            <w:r>
              <w:rPr>
                <w:rFonts w:hint="eastAsia" w:cs="Arial" w:asciiTheme="minorEastAsia" w:hAnsiTheme="minorEastAsia" w:eastAsiaTheme="minorEastAsia"/>
                <w:b w:val="0"/>
                <w:bCs w:val="0"/>
                <w:color w:val="auto"/>
                <w:szCs w:val="21"/>
                <w:highlight w:val="none"/>
              </w:rPr>
              <w:t>软硬件技术人员</w:t>
            </w:r>
            <w:r>
              <w:rPr>
                <w:rFonts w:hint="eastAsia" w:cs="Arial" w:asciiTheme="minorEastAsia" w:hAnsiTheme="minorEastAsia" w:eastAsiaTheme="minorEastAsia"/>
                <w:b w:val="0"/>
                <w:bCs w:val="0"/>
                <w:color w:val="auto"/>
                <w:szCs w:val="21"/>
                <w:highlight w:val="none"/>
                <w:lang w:eastAsia="zh-CN"/>
              </w:rPr>
              <w:t>，</w:t>
            </w:r>
            <w:r>
              <w:rPr>
                <w:rFonts w:hint="eastAsia" w:ascii="宋体" w:hAnsi="宋体" w:cs="宋体"/>
                <w:b w:val="0"/>
                <w:bCs w:val="0"/>
                <w:color w:val="auto"/>
                <w:szCs w:val="21"/>
                <w:highlight w:val="none"/>
                <w:lang w:val="en-US" w:eastAsia="zh-CN"/>
              </w:rPr>
              <w:t>经书面同意后方可更换，该项目负责人</w:t>
            </w:r>
            <w:r>
              <w:rPr>
                <w:rFonts w:hint="eastAsia" w:ascii="宋体" w:hAnsi="宋体" w:cs="宋体"/>
                <w:color w:val="auto"/>
                <w:szCs w:val="21"/>
                <w:highlight w:val="none"/>
                <w:lang w:val="en-US" w:eastAsia="zh-CN"/>
              </w:rPr>
              <w:t>须同时</w:t>
            </w:r>
            <w:r>
              <w:rPr>
                <w:rFonts w:hint="eastAsia" w:ascii="宋体" w:hAnsi="宋体" w:eastAsia="宋体" w:cs="宋体"/>
                <w:i w:val="0"/>
                <w:iCs w:val="0"/>
                <w:color w:val="auto"/>
                <w:kern w:val="0"/>
                <w:sz w:val="21"/>
                <w:szCs w:val="21"/>
                <w:highlight w:val="none"/>
                <w:u w:val="none"/>
                <w:lang w:val="en-US" w:eastAsia="zh-CN" w:bidi="ar"/>
              </w:rPr>
              <w:t>具备计算机应用高级工程师、信息系统项目管理师（高级）、系统架构师（高级）以及系统分析师（高级）证书</w:t>
            </w:r>
            <w:r>
              <w:rPr>
                <w:rFonts w:hint="eastAsia" w:ascii="宋体" w:hAnsi="宋体" w:cs="宋体"/>
                <w:color w:val="auto"/>
                <w:szCs w:val="21"/>
                <w:highlight w:val="none"/>
                <w:lang w:val="en-US" w:eastAsia="zh-CN"/>
              </w:rPr>
              <w:t>，技术负责人须同时具备通信工程高级工程师证书、网络安全能力认证（网络安全技术I级）证书及注册信息安全工程师证书（成交供应商须在成交公告之日起3个工作日内向采购人提供成交供应商在本项目截标时间前半年内任意连续3个月内供应商为其缴纳社保证明材料以及上述有效认证证书原件</w:t>
            </w:r>
            <w:r>
              <w:rPr>
                <w:rFonts w:hint="eastAsia" w:ascii="宋体" w:hAnsi="宋体" w:cs="宋体"/>
                <w:i w:val="0"/>
                <w:iCs w:val="0"/>
                <w:color w:val="auto"/>
                <w:kern w:val="0"/>
                <w:sz w:val="21"/>
                <w:szCs w:val="21"/>
                <w:highlight w:val="none"/>
                <w:u w:val="none"/>
                <w:lang w:val="en-US" w:eastAsia="zh-CN" w:bidi="ar"/>
              </w:rPr>
              <w:t>备查，提交</w:t>
            </w:r>
            <w:r>
              <w:rPr>
                <w:rFonts w:hint="eastAsia" w:ascii="宋体" w:hAnsi="宋体" w:cs="宋体"/>
                <w:color w:val="auto"/>
                <w:szCs w:val="21"/>
                <w:highlight w:val="none"/>
                <w:lang w:val="en-US" w:eastAsia="zh-CN"/>
              </w:rPr>
              <w:t>复印件，无法提供则视为虚假应标，采购人有权取消成交供应商中标资格并追究该供应商相关法律责任）。</w:t>
            </w:r>
          </w:p>
          <w:p w14:paraId="2E3AE7D1">
            <w:pPr>
              <w:tabs>
                <w:tab w:val="left" w:pos="1050"/>
              </w:tabs>
              <w:spacing w:line="312"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11.中标运维服务供应商，须拥有不少于 1 家自有售后服务机构（自有指供应商自身持有、全资或控股，非合作或挂靠形式）。中标人须在中标通知书发出后、签订正式合同前，向招标人提交该售后服务机构的有效营业执照复印件（复印件需加盖供应商公章，确保与原件一致且在有效期内）。该条款为中标资格的必要依据，未按要求提供或提供材料不符合要求的，招标人有权取消其中标资格。</w:t>
            </w:r>
          </w:p>
          <w:p w14:paraId="668E3879">
            <w:pPr>
              <w:spacing w:line="312"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12.中标人签合同时与采购人签定《应标保密承诺书》。</w:t>
            </w:r>
          </w:p>
          <w:p w14:paraId="727E7472">
            <w:pPr>
              <w:spacing w:line="312"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七</w:t>
            </w:r>
            <w:r>
              <w:rPr>
                <w:rFonts w:hint="eastAsia" w:cs="宋体" w:asciiTheme="minorEastAsia" w:hAnsiTheme="minorEastAsia" w:eastAsiaTheme="minorEastAsia"/>
                <w:color w:val="auto"/>
                <w:kern w:val="0"/>
                <w:szCs w:val="21"/>
                <w:highlight w:val="none"/>
              </w:rPr>
              <w:t>、其他要求：</w:t>
            </w:r>
          </w:p>
          <w:p w14:paraId="528C3207">
            <w:pPr>
              <w:spacing w:line="312"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1.</w:t>
            </w:r>
            <w:r>
              <w:rPr>
                <w:rFonts w:hint="eastAsia" w:cs="宋体" w:asciiTheme="minorEastAsia" w:hAnsiTheme="minorEastAsia" w:eastAsiaTheme="minorEastAsia"/>
                <w:color w:val="auto"/>
                <w:kern w:val="0"/>
                <w:szCs w:val="21"/>
                <w:highlight w:val="none"/>
              </w:rPr>
              <w:t>报价必须含以下部分，包括：</w:t>
            </w:r>
          </w:p>
          <w:p w14:paraId="6CAAD66B">
            <w:pPr>
              <w:spacing w:line="312"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（1）服务的价格；</w:t>
            </w:r>
          </w:p>
          <w:p w14:paraId="56EBACCE">
            <w:pPr>
              <w:spacing w:line="312"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（2）必要的保险费用和各项税金；</w:t>
            </w:r>
          </w:p>
          <w:p w14:paraId="6A0BA58A">
            <w:pPr>
              <w:spacing w:line="312"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（3）其他：运输、装卸、安装、调试、专用工具、设备安装铺材、施工铺材、培训、技术支持、售后服务、更新升级等费用。</w:t>
            </w:r>
          </w:p>
          <w:p w14:paraId="33C0A939">
            <w:pPr>
              <w:pStyle w:val="3"/>
              <w:spacing w:after="0" w:line="360" w:lineRule="auto"/>
              <w:rPr>
                <w:highlight w:val="none"/>
              </w:rPr>
            </w:pP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2.</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付款方式：本项</w:t>
            </w:r>
            <w:r>
              <w:rPr>
                <w:rFonts w:hint="eastAsia" w:cs="宋体" w:asciiTheme="minorEastAsia" w:hAnsiTheme="minorEastAsia" w:eastAsiaTheme="minorEastAsia"/>
                <w:b w:val="0"/>
                <w:bCs w:val="0"/>
                <w:color w:val="000000" w:themeColor="text1"/>
                <w:kern w:val="0"/>
                <w:szCs w:val="21"/>
                <w:highlight w:val="none"/>
                <w14:textFill>
                  <w14:solidFill>
                    <w14:schemeClr w14:val="tx1"/>
                  </w14:solidFill>
                </w14:textFill>
              </w:rPr>
              <w:t>目无预付款，供应商</w:t>
            </w:r>
            <w:r>
              <w:rPr>
                <w:rFonts w:hint="eastAsia" w:cs="宋体" w:asciiTheme="minorEastAsia" w:hAnsiTheme="minorEastAsia" w:eastAsiaTheme="minorEastAsia"/>
                <w:b w:val="0"/>
                <w:bCs w:val="0"/>
                <w:color w:val="000000" w:themeColor="text1"/>
                <w:kern w:val="0"/>
                <w:szCs w:val="21"/>
                <w:highlight w:val="none"/>
                <w:lang w:val="en-US" w:eastAsia="zh-CN"/>
                <w14:textFill>
                  <w14:solidFill>
                    <w14:schemeClr w14:val="tx1"/>
                  </w14:solidFill>
                </w14:textFill>
              </w:rPr>
              <w:t>按要求完成服务后，经采购人验收合格</w:t>
            </w:r>
            <w:r>
              <w:rPr>
                <w:rFonts w:hint="eastAsia" w:cs="宋体" w:asciiTheme="minorEastAsia" w:hAnsiTheme="minorEastAsia" w:eastAsiaTheme="minorEastAsia"/>
                <w:b w:val="0"/>
                <w:bCs w:val="0"/>
                <w:color w:val="000000" w:themeColor="text1"/>
                <w:kern w:val="0"/>
                <w:szCs w:val="21"/>
                <w:highlight w:val="none"/>
                <w14:textFill>
                  <w14:solidFill>
                    <w14:schemeClr w14:val="tx1"/>
                  </w14:solidFill>
                </w14:textFill>
              </w:rPr>
              <w:t>，</w:t>
            </w:r>
            <w:r>
              <w:rPr>
                <w:rFonts w:hint="eastAsia" w:cs="宋体" w:asciiTheme="minorEastAsia" w:hAnsiTheme="minorEastAsia" w:eastAsiaTheme="minorEastAsia"/>
                <w:b w:val="0"/>
                <w:bCs w:val="0"/>
                <w:color w:val="000000" w:themeColor="text1"/>
                <w:kern w:val="0"/>
                <w:szCs w:val="21"/>
                <w:highlight w:val="none"/>
                <w:lang w:val="en-US" w:eastAsia="zh-CN"/>
                <w14:textFill>
                  <w14:solidFill>
                    <w14:schemeClr w14:val="tx1"/>
                  </w14:solidFill>
                </w14:textFill>
              </w:rPr>
              <w:t>应按合同约定一次性支付100%合同约定款项</w:t>
            </w:r>
            <w:r>
              <w:rPr>
                <w:rFonts w:hint="eastAsia" w:cs="宋体" w:asciiTheme="minorEastAsia" w:hAnsiTheme="minorEastAsia" w:eastAsiaTheme="minorEastAsia"/>
                <w:b/>
                <w:bCs/>
                <w:color w:val="000000" w:themeColor="text1"/>
                <w:kern w:val="0"/>
                <w:szCs w:val="21"/>
                <w:highlight w:val="none"/>
                <w:lang w:eastAsia="zh-CN"/>
                <w14:textFill>
                  <w14:solidFill>
                    <w14:schemeClr w14:val="tx1"/>
                  </w14:solidFill>
                </w14:textFill>
              </w:rPr>
              <w:t>，</w:t>
            </w:r>
            <w:r>
              <w:rPr>
                <w:rFonts w:hint="eastAsia" w:ascii="宋体" w:hAnsi="宋体" w:cs="宋体"/>
                <w:color w:val="000000"/>
                <w:kern w:val="0"/>
                <w:szCs w:val="21"/>
                <w:highlight w:val="none"/>
              </w:rPr>
              <w:t>并开具发票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w:t>
            </w:r>
          </w:p>
        </w:tc>
      </w:tr>
      <w:tr w14:paraId="28A5A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3C42BCB5">
            <w:pPr>
              <w:jc w:val="center"/>
              <w:rPr>
                <w:rFonts w:ascii="宋体" w:hAnsi="宋体"/>
                <w:highlight w:val="none"/>
              </w:rPr>
            </w:pPr>
            <w:r>
              <w:rPr>
                <w:rFonts w:hint="eastAsia" w:ascii="宋体" w:hAnsi="宋体"/>
                <w:highlight w:val="none"/>
              </w:rPr>
              <w:t>其他说明</w:t>
            </w:r>
          </w:p>
        </w:tc>
        <w:tc>
          <w:tcPr>
            <w:tcW w:w="10113" w:type="dxa"/>
            <w:gridSpan w:val="6"/>
            <w:tcBorders>
              <w:top w:val="single" w:color="auto" w:sz="4" w:space="0"/>
              <w:left w:val="single" w:color="auto" w:sz="4" w:space="0"/>
              <w:bottom w:val="single" w:color="auto" w:sz="4" w:space="0"/>
              <w:right w:val="single" w:color="auto" w:sz="4" w:space="0"/>
            </w:tcBorders>
          </w:tcPr>
          <w:p w14:paraId="1C7E4372">
            <w:pPr>
              <w:spacing w:line="360" w:lineRule="auto"/>
              <w:ind w:firstLine="420" w:firstLineChars="200"/>
              <w:jc w:val="left"/>
              <w:rPr>
                <w:rFonts w:ascii="宋体" w:hAnsi="宋体"/>
                <w:highlight w:val="none"/>
              </w:rPr>
            </w:pPr>
            <w:r>
              <w:rPr>
                <w:rFonts w:hint="eastAsia" w:ascii="宋体" w:hAnsi="宋体" w:cs="宋体"/>
                <w:szCs w:val="21"/>
                <w:highlight w:val="none"/>
              </w:rPr>
              <w:t>1.进口产品说明</w:t>
            </w:r>
            <w:r>
              <w:rPr>
                <w:rFonts w:hint="eastAsia" w:ascii="宋体" w:hAnsi="宋体" w:cs="宋体"/>
                <w:szCs w:val="21"/>
                <w:highlight w:val="none"/>
                <w:lang w:eastAsia="zh-CN"/>
              </w:rPr>
              <w:t>：</w:t>
            </w:r>
            <w:r>
              <w:rPr>
                <w:rFonts w:hint="eastAsia" w:ascii="宋体" w:hAnsi="宋体" w:cs="宋体"/>
                <w:szCs w:val="21"/>
                <w:highlight w:val="none"/>
              </w:rPr>
              <w:t>本分标服务所涉及的采购货物不接受进口产品（即通过中国海关报关验放进入中国境内且产自关境外的产品）参与投标，如有进口产品参与投标的作无效标处理。</w:t>
            </w:r>
          </w:p>
        </w:tc>
      </w:tr>
      <w:bookmarkEnd w:id="0"/>
    </w:tbl>
    <w:p w14:paraId="21E609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C3077"/>
    <w:multiLevelType w:val="singleLevel"/>
    <w:tmpl w:val="C52C3077"/>
    <w:lvl w:ilvl="0" w:tentative="0">
      <w:start w:val="5"/>
      <w:numFmt w:val="chineseCounting"/>
      <w:suff w:val="nothing"/>
      <w:lvlText w:val="%1、"/>
      <w:lvlJc w:val="left"/>
      <w:rPr>
        <w:rFonts w:hint="eastAsia"/>
      </w:rPr>
    </w:lvl>
  </w:abstractNum>
  <w:abstractNum w:abstractNumId="1">
    <w:nsid w:val="1FFBA5A1"/>
    <w:multiLevelType w:val="singleLevel"/>
    <w:tmpl w:val="1FFBA5A1"/>
    <w:lvl w:ilvl="0" w:tentative="0">
      <w:start w:val="1"/>
      <w:numFmt w:val="decimal"/>
      <w:lvlText w:val="%1."/>
      <w:lvlJc w:val="left"/>
      <w:pPr>
        <w:tabs>
          <w:tab w:val="left" w:pos="312"/>
        </w:tabs>
      </w:pPr>
    </w:lvl>
  </w:abstractNum>
  <w:abstractNum w:abstractNumId="2">
    <w:nsid w:val="2576A53D"/>
    <w:multiLevelType w:val="multilevel"/>
    <w:tmpl w:val="2576A5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24B0"/>
    <w:rsid w:val="033C1566"/>
    <w:rsid w:val="064C7016"/>
    <w:rsid w:val="06B60E32"/>
    <w:rsid w:val="09BE3952"/>
    <w:rsid w:val="09C90059"/>
    <w:rsid w:val="0C73425D"/>
    <w:rsid w:val="0D746A23"/>
    <w:rsid w:val="0EF8134A"/>
    <w:rsid w:val="0FDC711B"/>
    <w:rsid w:val="10782EE0"/>
    <w:rsid w:val="109C12E3"/>
    <w:rsid w:val="11501BEF"/>
    <w:rsid w:val="13342F0D"/>
    <w:rsid w:val="13941E9F"/>
    <w:rsid w:val="13FD1695"/>
    <w:rsid w:val="140777B4"/>
    <w:rsid w:val="14A81672"/>
    <w:rsid w:val="154F0566"/>
    <w:rsid w:val="15AE7B9F"/>
    <w:rsid w:val="1702249C"/>
    <w:rsid w:val="17523FE5"/>
    <w:rsid w:val="1A7D2376"/>
    <w:rsid w:val="1BEF0F8B"/>
    <w:rsid w:val="1D51319F"/>
    <w:rsid w:val="20036B1D"/>
    <w:rsid w:val="223E7944"/>
    <w:rsid w:val="280446A0"/>
    <w:rsid w:val="2A790E29"/>
    <w:rsid w:val="2DB91435"/>
    <w:rsid w:val="311C17EC"/>
    <w:rsid w:val="315470EB"/>
    <w:rsid w:val="331A0815"/>
    <w:rsid w:val="37097E5E"/>
    <w:rsid w:val="372028A9"/>
    <w:rsid w:val="37F63A38"/>
    <w:rsid w:val="38A04AB1"/>
    <w:rsid w:val="3B101EAB"/>
    <w:rsid w:val="3B5129DA"/>
    <w:rsid w:val="3EA370A9"/>
    <w:rsid w:val="3EDC3239"/>
    <w:rsid w:val="3FFA287A"/>
    <w:rsid w:val="4045219C"/>
    <w:rsid w:val="42305F85"/>
    <w:rsid w:val="439E6277"/>
    <w:rsid w:val="460B5B7D"/>
    <w:rsid w:val="46521BF3"/>
    <w:rsid w:val="47253D3B"/>
    <w:rsid w:val="4B5707B6"/>
    <w:rsid w:val="4C9D49A2"/>
    <w:rsid w:val="535712A2"/>
    <w:rsid w:val="56A31EE4"/>
    <w:rsid w:val="56B55AB1"/>
    <w:rsid w:val="58232ADB"/>
    <w:rsid w:val="5A2B53A0"/>
    <w:rsid w:val="5A545F85"/>
    <w:rsid w:val="5B7E4C77"/>
    <w:rsid w:val="5EE02C23"/>
    <w:rsid w:val="65E9231B"/>
    <w:rsid w:val="7344409B"/>
    <w:rsid w:val="745B2EA4"/>
    <w:rsid w:val="74F26B71"/>
    <w:rsid w:val="75445E5A"/>
    <w:rsid w:val="76D13A7D"/>
    <w:rsid w:val="79BC428D"/>
    <w:rsid w:val="7A31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5483</Words>
  <Characters>5632</Characters>
  <Lines>0</Lines>
  <Paragraphs>0</Paragraphs>
  <TotalTime>13</TotalTime>
  <ScaleCrop>false</ScaleCrop>
  <LinksUpToDate>false</LinksUpToDate>
  <CharactersWithSpaces>5671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2026-03-09T02:10:00Z</dcterms:created>
  <dc:creator>Administrator</dc:creator>
  <cp:lastModifiedBy>企业用户_608441523</cp:lastModifiedBy>
  <cp:lastPrinted>2026-05-07T00:25:00Z</cp:lastPrinted>
  <dcterms:modified xsi:type="dcterms:W3CDTF">2026-06-04T04:35:27Z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29E188F1D009495FB035AC5C2307CD6F_13</vt:lpwstr>
  </property>
  <property fmtid="{D5CDD505-2E9C-101B-9397-08002B2CF9AE}" pid="4" name="KSOTemplateDocerSaveRecord">
    <vt:lpwstr>eyJoZGlkIjoiMTVjYTViZTQ2NTNiY2ZlMTVmYjJiYjVkZGJjNWU5ZmIiLCJ1c2VySWQiOiIxNjI0MjkwNDkyIn0=</vt:lpwstr>
  </property>
</Properties>
</file>