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9DD1B">
      <w:pPr>
        <w:spacing w:line="360" w:lineRule="auto"/>
        <w:rPr>
          <w:rFonts w:hint="eastAsia" w:ascii="宋体" w:hAnsi="宋体" w:cs="宋体"/>
          <w:b/>
          <w:bCs/>
          <w:sz w:val="36"/>
          <w:szCs w:val="36"/>
        </w:rPr>
      </w:pPr>
    </w:p>
    <w:p w14:paraId="484419AB">
      <w:pPr>
        <w:pStyle w:val="2"/>
        <w:ind w:firstLine="0"/>
        <w:rPr>
          <w:rFonts w:hint="eastAsia" w:ascii="宋体" w:hAnsi="宋体" w:cs="宋体"/>
        </w:rPr>
      </w:pPr>
      <w:bookmarkStart w:id="0" w:name="_Toc5839"/>
      <w:r>
        <w:rPr>
          <w:rFonts w:hint="eastAsia" w:ascii="宋体" w:hAnsi="宋体" w:cs="宋体"/>
        </w:rPr>
        <w:t>采购需求</w:t>
      </w:r>
      <w:bookmarkEnd w:id="0"/>
    </w:p>
    <w:p w14:paraId="77998C2F">
      <w:pPr>
        <w:rPr>
          <w:rFonts w:hint="eastAsia" w:ascii="宋体" w:hAnsi="宋体" w:cs="宋体"/>
        </w:rPr>
      </w:pPr>
    </w:p>
    <w:tbl>
      <w:tblPr>
        <w:tblStyle w:val="20"/>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13"/>
        <w:gridCol w:w="914"/>
        <w:gridCol w:w="1378"/>
        <w:gridCol w:w="899"/>
        <w:gridCol w:w="814"/>
        <w:gridCol w:w="4758"/>
      </w:tblGrid>
      <w:tr w14:paraId="234E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tcPr>
          <w:p w14:paraId="58A3E9D3">
            <w:pPr>
              <w:jc w:val="center"/>
              <w:rPr>
                <w:rFonts w:hint="eastAsia" w:ascii="宋体" w:hAnsi="宋体" w:cs="宋体"/>
                <w:b/>
                <w:bCs/>
                <w:szCs w:val="21"/>
              </w:rPr>
            </w:pPr>
            <w:r>
              <w:rPr>
                <w:rFonts w:hint="eastAsia" w:ascii="宋体" w:hAnsi="宋体" w:cs="宋体"/>
                <w:b/>
                <w:bCs/>
                <w:sz w:val="24"/>
                <w:szCs w:val="24"/>
              </w:rPr>
              <w:t>采购需求表</w:t>
            </w:r>
          </w:p>
        </w:tc>
      </w:tr>
      <w:tr w14:paraId="2868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069A7EC7">
            <w:pPr>
              <w:rPr>
                <w:rFonts w:hint="eastAsia" w:ascii="宋体" w:hAnsi="宋体" w:cs="宋体"/>
                <w:b/>
                <w:bCs/>
                <w:szCs w:val="21"/>
              </w:rPr>
            </w:pPr>
            <w:r>
              <w:rPr>
                <w:rFonts w:hint="eastAsia" w:ascii="宋体" w:hAnsi="宋体" w:cs="宋体"/>
                <w:b/>
                <w:bCs/>
                <w:szCs w:val="21"/>
              </w:rPr>
              <w:t>注：</w:t>
            </w:r>
          </w:p>
          <w:p w14:paraId="6FFE48C5">
            <w:pPr>
              <w:numPr>
                <w:ilvl w:val="0"/>
                <w:numId w:val="1"/>
              </w:numPr>
              <w:rPr>
                <w:rFonts w:hint="eastAsia" w:ascii="宋体" w:hAnsi="宋体" w:cs="宋体"/>
                <w:b/>
                <w:bCs/>
                <w:szCs w:val="21"/>
              </w:rPr>
            </w:pPr>
            <w:r>
              <w:rPr>
                <w:rFonts w:hint="eastAsia" w:ascii="宋体" w:hAnsi="宋体" w:cs="宋体"/>
                <w:b/>
                <w:bCs/>
                <w:szCs w:val="21"/>
              </w:rPr>
              <w:t>本表所有要求均为实质性要求，供应商的任何负偏离响应均视为无效竞标。</w:t>
            </w:r>
          </w:p>
          <w:p w14:paraId="093A9B6A">
            <w:pPr>
              <w:numPr>
                <w:ilvl w:val="0"/>
                <w:numId w:val="1"/>
              </w:numPr>
              <w:rPr>
                <w:rFonts w:hint="eastAsia" w:ascii="宋体" w:hAnsi="宋体" w:cs="宋体"/>
                <w:szCs w:val="21"/>
              </w:rPr>
            </w:pPr>
            <w:r>
              <w:rPr>
                <w:rFonts w:hint="eastAsia" w:ascii="宋体" w:hAnsi="宋体" w:cs="宋体"/>
                <w:b/>
                <w:bCs/>
                <w:szCs w:val="21"/>
              </w:rPr>
              <w:t>本表价格单位为人民币元。</w:t>
            </w:r>
          </w:p>
        </w:tc>
      </w:tr>
      <w:tr w14:paraId="05F7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5CCED614">
            <w:pPr>
              <w:rPr>
                <w:rFonts w:hint="eastAsia" w:ascii="宋体" w:hAnsi="宋体" w:cs="宋体"/>
                <w:szCs w:val="21"/>
              </w:rPr>
            </w:pPr>
            <w:r>
              <w:rPr>
                <w:rFonts w:hint="eastAsia" w:ascii="宋体" w:hAnsi="宋体" w:cs="宋体"/>
                <w:szCs w:val="21"/>
              </w:rPr>
              <w:t>一、项目要求及技术需求</w:t>
            </w:r>
          </w:p>
        </w:tc>
      </w:tr>
      <w:tr w14:paraId="4453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30" w:type="pct"/>
            <w:vAlign w:val="center"/>
          </w:tcPr>
          <w:p w14:paraId="06F0F289">
            <w:pPr>
              <w:rPr>
                <w:rFonts w:hint="eastAsia" w:ascii="宋体" w:hAnsi="宋体" w:cs="宋体"/>
                <w:szCs w:val="21"/>
              </w:rPr>
            </w:pPr>
            <w:r>
              <w:rPr>
                <w:rFonts w:hint="eastAsia" w:ascii="宋体" w:hAnsi="宋体" w:cs="宋体"/>
                <w:szCs w:val="21"/>
              </w:rPr>
              <w:t>项号</w:t>
            </w:r>
          </w:p>
        </w:tc>
        <w:tc>
          <w:tcPr>
            <w:tcW w:w="568" w:type="pct"/>
            <w:vAlign w:val="center"/>
          </w:tcPr>
          <w:p w14:paraId="6495270B">
            <w:pPr>
              <w:jc w:val="center"/>
              <w:rPr>
                <w:rFonts w:hint="eastAsia" w:ascii="宋体" w:hAnsi="宋体" w:cs="宋体"/>
                <w:szCs w:val="21"/>
              </w:rPr>
            </w:pPr>
            <w:r>
              <w:rPr>
                <w:rFonts w:hint="eastAsia" w:ascii="宋体" w:hAnsi="宋体" w:cs="宋体"/>
                <w:szCs w:val="21"/>
              </w:rPr>
              <w:t>货物名称</w:t>
            </w:r>
          </w:p>
        </w:tc>
        <w:tc>
          <w:tcPr>
            <w:tcW w:w="428" w:type="pct"/>
            <w:vAlign w:val="center"/>
          </w:tcPr>
          <w:p w14:paraId="4907B074">
            <w:pPr>
              <w:jc w:val="center"/>
              <w:rPr>
                <w:rFonts w:hint="eastAsia" w:ascii="宋体" w:hAnsi="宋体" w:cs="宋体"/>
                <w:szCs w:val="21"/>
              </w:rPr>
            </w:pPr>
            <w:r>
              <w:rPr>
                <w:rFonts w:hint="eastAsia" w:ascii="宋体" w:hAnsi="宋体" w:cs="宋体"/>
                <w:szCs w:val="21"/>
              </w:rPr>
              <w:t>品牌</w:t>
            </w:r>
          </w:p>
        </w:tc>
        <w:tc>
          <w:tcPr>
            <w:tcW w:w="645" w:type="pct"/>
            <w:vAlign w:val="center"/>
          </w:tcPr>
          <w:p w14:paraId="47093BB7">
            <w:pPr>
              <w:jc w:val="center"/>
              <w:rPr>
                <w:rFonts w:hint="eastAsia" w:ascii="宋体" w:hAnsi="宋体" w:cs="宋体"/>
                <w:szCs w:val="21"/>
              </w:rPr>
            </w:pPr>
            <w:r>
              <w:rPr>
                <w:rFonts w:hint="eastAsia" w:ascii="宋体" w:hAnsi="宋体" w:cs="宋体"/>
                <w:szCs w:val="21"/>
              </w:rPr>
              <w:t>型号</w:t>
            </w:r>
          </w:p>
        </w:tc>
        <w:tc>
          <w:tcPr>
            <w:tcW w:w="421" w:type="pct"/>
            <w:vAlign w:val="center"/>
          </w:tcPr>
          <w:p w14:paraId="4844B2B2">
            <w:pPr>
              <w:jc w:val="center"/>
              <w:rPr>
                <w:rFonts w:hint="eastAsia" w:ascii="宋体" w:hAnsi="宋体" w:cs="宋体"/>
                <w:szCs w:val="21"/>
              </w:rPr>
            </w:pPr>
            <w:r>
              <w:rPr>
                <w:rFonts w:hint="eastAsia" w:ascii="宋体" w:hAnsi="宋体" w:cs="宋体"/>
                <w:szCs w:val="21"/>
              </w:rPr>
              <w:t>单位</w:t>
            </w:r>
          </w:p>
        </w:tc>
        <w:tc>
          <w:tcPr>
            <w:tcW w:w="381" w:type="pct"/>
            <w:vAlign w:val="center"/>
          </w:tcPr>
          <w:p w14:paraId="0E8840FE">
            <w:pPr>
              <w:jc w:val="center"/>
              <w:rPr>
                <w:rFonts w:hint="eastAsia" w:ascii="宋体" w:hAnsi="宋体" w:cs="宋体"/>
                <w:szCs w:val="21"/>
              </w:rPr>
            </w:pPr>
            <w:r>
              <w:rPr>
                <w:rFonts w:hint="eastAsia" w:ascii="宋体" w:hAnsi="宋体" w:cs="宋体"/>
                <w:szCs w:val="21"/>
              </w:rPr>
              <w:t>数量</w:t>
            </w:r>
          </w:p>
        </w:tc>
        <w:tc>
          <w:tcPr>
            <w:tcW w:w="2227" w:type="pct"/>
            <w:vAlign w:val="center"/>
          </w:tcPr>
          <w:p w14:paraId="1C31FA16">
            <w:pPr>
              <w:jc w:val="center"/>
              <w:rPr>
                <w:rFonts w:hint="eastAsia" w:ascii="宋体" w:hAnsi="宋体" w:cs="宋体"/>
                <w:szCs w:val="21"/>
              </w:rPr>
            </w:pPr>
            <w:r>
              <w:rPr>
                <w:rFonts w:hint="eastAsia" w:ascii="宋体" w:hAnsi="宋体" w:cs="宋体"/>
                <w:szCs w:val="21"/>
              </w:rPr>
              <w:t>技术参数及性能（配置）要求</w:t>
            </w:r>
          </w:p>
        </w:tc>
      </w:tr>
      <w:tr w14:paraId="5318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0E1CA4B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568" w:type="pct"/>
            <w:vAlign w:val="center"/>
          </w:tcPr>
          <w:p w14:paraId="7BE6B45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蓄电池</w:t>
            </w:r>
          </w:p>
        </w:tc>
        <w:tc>
          <w:tcPr>
            <w:tcW w:w="428" w:type="pct"/>
            <w:vAlign w:val="center"/>
          </w:tcPr>
          <w:p w14:paraId="5CA2A8CE">
            <w:pPr>
              <w:widowControl/>
              <w:jc w:val="center"/>
              <w:textAlignment w:val="center"/>
              <w:rPr>
                <w:rFonts w:hint="eastAsia" w:ascii="宋体" w:hAnsi="宋体" w:cs="宋体"/>
                <w:color w:val="000000"/>
                <w:kern w:val="0"/>
                <w:szCs w:val="21"/>
                <w:lang w:bidi="ar"/>
              </w:rPr>
            </w:pPr>
            <w:r>
              <w:rPr>
                <w:rFonts w:hint="eastAsia" w:ascii="宋体" w:hAnsi="宋体" w:cs="宋体"/>
                <w:kern w:val="0"/>
                <w:szCs w:val="21"/>
                <w:lang w:bidi="ar"/>
              </w:rPr>
              <w:t>理士</w:t>
            </w:r>
          </w:p>
        </w:tc>
        <w:tc>
          <w:tcPr>
            <w:tcW w:w="645" w:type="pct"/>
            <w:vAlign w:val="center"/>
          </w:tcPr>
          <w:p w14:paraId="6732D042">
            <w:pPr>
              <w:widowControl/>
              <w:jc w:val="center"/>
              <w:textAlignment w:val="center"/>
              <w:rPr>
                <w:rFonts w:hint="eastAsia" w:ascii="宋体" w:hAnsi="宋体" w:cs="宋体"/>
                <w:color w:val="000000"/>
                <w:kern w:val="0"/>
                <w:szCs w:val="21"/>
                <w:lang w:bidi="ar"/>
              </w:rPr>
            </w:pPr>
            <w:r>
              <w:rPr>
                <w:rFonts w:hint="eastAsia" w:ascii="宋体" w:hAnsi="宋体" w:cs="宋体"/>
                <w:kern w:val="0"/>
                <w:szCs w:val="21"/>
                <w:lang w:bidi="ar"/>
              </w:rPr>
              <w:t>DJM12100</w:t>
            </w:r>
          </w:p>
        </w:tc>
        <w:tc>
          <w:tcPr>
            <w:tcW w:w="421" w:type="pct"/>
            <w:vAlign w:val="center"/>
          </w:tcPr>
          <w:p w14:paraId="236C639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节</w:t>
            </w:r>
          </w:p>
        </w:tc>
        <w:tc>
          <w:tcPr>
            <w:tcW w:w="381" w:type="pct"/>
            <w:vAlign w:val="center"/>
          </w:tcPr>
          <w:p w14:paraId="103696F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64</w:t>
            </w:r>
          </w:p>
        </w:tc>
        <w:tc>
          <w:tcPr>
            <w:tcW w:w="2227" w:type="pct"/>
            <w:vAlign w:val="center"/>
          </w:tcPr>
          <w:p w14:paraId="194A512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详见《采购需求表》附件一。</w:t>
            </w:r>
          </w:p>
        </w:tc>
      </w:tr>
      <w:tr w14:paraId="72BA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pct"/>
            <w:gridSpan w:val="6"/>
            <w:vAlign w:val="center"/>
          </w:tcPr>
          <w:p w14:paraId="1065712F">
            <w:pPr>
              <w:widowControl/>
              <w:tabs>
                <w:tab w:val="left" w:pos="2132"/>
              </w:tabs>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采购预算</w:t>
            </w:r>
          </w:p>
        </w:tc>
        <w:tc>
          <w:tcPr>
            <w:tcW w:w="2227" w:type="pct"/>
            <w:vAlign w:val="center"/>
          </w:tcPr>
          <w:p w14:paraId="1EB3CC87">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127800</w:t>
            </w:r>
          </w:p>
        </w:tc>
      </w:tr>
      <w:tr w14:paraId="72C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670CD828">
            <w:pPr>
              <w:rPr>
                <w:rFonts w:hint="eastAsia" w:ascii="宋体" w:hAnsi="宋体" w:cs="宋体"/>
                <w:szCs w:val="21"/>
              </w:rPr>
            </w:pPr>
            <w:r>
              <w:rPr>
                <w:rFonts w:hint="eastAsia" w:ascii="宋体" w:hAnsi="宋体" w:cs="宋体"/>
                <w:szCs w:val="21"/>
              </w:rPr>
              <w:t>二、商务要求</w:t>
            </w:r>
          </w:p>
        </w:tc>
      </w:tr>
      <w:tr w14:paraId="51D6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4E53E759">
            <w:pPr>
              <w:rPr>
                <w:rFonts w:hint="eastAsia" w:ascii="宋体" w:hAnsi="宋体" w:cs="宋体"/>
                <w:szCs w:val="21"/>
              </w:rPr>
            </w:pPr>
            <w:r>
              <w:rPr>
                <w:rFonts w:hint="eastAsia" w:ascii="宋体" w:hAnsi="宋体" w:cs="宋体"/>
                <w:szCs w:val="21"/>
              </w:rPr>
              <w:t>竞标报价要求</w:t>
            </w:r>
          </w:p>
        </w:tc>
        <w:tc>
          <w:tcPr>
            <w:tcW w:w="4102" w:type="pct"/>
            <w:gridSpan w:val="5"/>
            <w:vAlign w:val="center"/>
          </w:tcPr>
          <w:p w14:paraId="08682A0D">
            <w:pPr>
              <w:rPr>
                <w:szCs w:val="21"/>
              </w:rPr>
            </w:pPr>
            <w:r>
              <w:rPr>
                <w:rFonts w:hint="eastAsia"/>
                <w:szCs w:val="21"/>
              </w:rPr>
              <w:t>投标报价为采购人指定地点的现场交货价，包括：</w:t>
            </w:r>
          </w:p>
          <w:p w14:paraId="71D309D6">
            <w:pPr>
              <w:rPr>
                <w:szCs w:val="21"/>
              </w:rPr>
            </w:pPr>
            <w:r>
              <w:rPr>
                <w:szCs w:val="21"/>
              </w:rPr>
              <w:t>1</w:t>
            </w:r>
            <w:r>
              <w:rPr>
                <w:rFonts w:hint="eastAsia"/>
                <w:szCs w:val="21"/>
              </w:rPr>
              <w:t>）货物的价格：包括货款、杂配件、安装调试费、验收费；</w:t>
            </w:r>
          </w:p>
          <w:p w14:paraId="0C736A6D">
            <w:pPr>
              <w:rPr>
                <w:szCs w:val="21"/>
              </w:rPr>
            </w:pPr>
            <w:r>
              <w:rPr>
                <w:szCs w:val="21"/>
              </w:rPr>
              <w:t>2</w:t>
            </w:r>
            <w:r>
              <w:rPr>
                <w:rFonts w:hint="eastAsia"/>
                <w:szCs w:val="21"/>
              </w:rPr>
              <w:t>）货物的标准附件、备品备件、专用工具的价格。</w:t>
            </w:r>
          </w:p>
          <w:p w14:paraId="56424488">
            <w:pPr>
              <w:rPr>
                <w:szCs w:val="21"/>
              </w:rPr>
            </w:pPr>
            <w:r>
              <w:rPr>
                <w:szCs w:val="21"/>
              </w:rPr>
              <w:t>3</w:t>
            </w:r>
            <w:r>
              <w:rPr>
                <w:rFonts w:hint="eastAsia"/>
                <w:szCs w:val="21"/>
              </w:rPr>
              <w:t>）运输、装卸、调试、培训、技术支持、售后服务费。</w:t>
            </w:r>
            <w:r>
              <w:rPr>
                <w:szCs w:val="21"/>
              </w:rPr>
              <w:t xml:space="preserve"> </w:t>
            </w:r>
          </w:p>
          <w:p w14:paraId="45FE02E1">
            <w:pPr>
              <w:rPr>
                <w:szCs w:val="21"/>
              </w:rPr>
            </w:pPr>
            <w:r>
              <w:rPr>
                <w:szCs w:val="21"/>
              </w:rPr>
              <w:t>4</w:t>
            </w:r>
            <w:r>
              <w:rPr>
                <w:rFonts w:hint="eastAsia"/>
                <w:szCs w:val="21"/>
              </w:rPr>
              <w:t>）各类软件、系统等的安装、集成、试运行等费用。</w:t>
            </w:r>
          </w:p>
          <w:p w14:paraId="5ECADAF2">
            <w:pPr>
              <w:rPr>
                <w:szCs w:val="21"/>
              </w:rPr>
            </w:pPr>
            <w:r>
              <w:rPr>
                <w:szCs w:val="21"/>
              </w:rPr>
              <w:t>5</w:t>
            </w:r>
            <w:r>
              <w:rPr>
                <w:rFonts w:hint="eastAsia"/>
                <w:szCs w:val="21"/>
              </w:rPr>
              <w:t>）保险费、参与竞标的成本、各项税金及利润。</w:t>
            </w:r>
          </w:p>
          <w:p w14:paraId="7FA0690A">
            <w:pPr>
              <w:rPr>
                <w:szCs w:val="21"/>
              </w:rPr>
            </w:pPr>
            <w:r>
              <w:rPr>
                <w:rFonts w:hint="eastAsia"/>
                <w:szCs w:val="21"/>
              </w:rPr>
              <w:t>注：</w:t>
            </w:r>
            <w:r>
              <w:rPr>
                <w:szCs w:val="21"/>
              </w:rPr>
              <w:t xml:space="preserve"> </w:t>
            </w:r>
            <w:r>
              <w:rPr>
                <w:rFonts w:hint="eastAsia"/>
                <w:szCs w:val="21"/>
              </w:rPr>
              <w:t>（</w:t>
            </w:r>
            <w:r>
              <w:rPr>
                <w:szCs w:val="21"/>
              </w:rPr>
              <w:t>1</w:t>
            </w:r>
            <w:r>
              <w:rPr>
                <w:rFonts w:hint="eastAsia"/>
                <w:szCs w:val="21"/>
              </w:rPr>
              <w:t>）竞标供应商自行考虑完成项目所需的辅材、杂配件等数量，投标报价中应包含全部内容，成交后采购人不再另行支付额外费用。</w:t>
            </w:r>
            <w:r>
              <w:rPr>
                <w:szCs w:val="21"/>
              </w:rPr>
              <w:t xml:space="preserve"> </w:t>
            </w:r>
          </w:p>
          <w:p w14:paraId="1550A501">
            <w:pPr>
              <w:rPr>
                <w:rFonts w:hint="eastAsia" w:ascii="宋体" w:hAnsi="宋体" w:cs="宋体"/>
                <w:szCs w:val="21"/>
              </w:rPr>
            </w:pPr>
            <w:r>
              <w:rPr>
                <w:rFonts w:hint="eastAsia"/>
                <w:szCs w:val="21"/>
              </w:rPr>
              <w:t>（</w:t>
            </w:r>
            <w:r>
              <w:rPr>
                <w:szCs w:val="21"/>
              </w:rPr>
              <w:t>2</w:t>
            </w:r>
            <w:r>
              <w:rPr>
                <w:rFonts w:hint="eastAsia"/>
                <w:szCs w:val="21"/>
              </w:rPr>
              <w:t>）竞标供应商的投标总报价≤采购预算。</w:t>
            </w:r>
          </w:p>
        </w:tc>
      </w:tr>
      <w:tr w14:paraId="6FEA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39CB84C9">
            <w:pPr>
              <w:rPr>
                <w:rFonts w:hint="eastAsia" w:ascii="宋体" w:hAnsi="宋体" w:cs="宋体"/>
                <w:szCs w:val="21"/>
              </w:rPr>
            </w:pPr>
            <w:r>
              <w:rPr>
                <w:rFonts w:hint="eastAsia" w:ascii="宋体" w:hAnsi="宋体" w:cs="宋体"/>
                <w:szCs w:val="21"/>
              </w:rPr>
              <w:t>合同签订期及地点</w:t>
            </w:r>
          </w:p>
        </w:tc>
        <w:tc>
          <w:tcPr>
            <w:tcW w:w="4102" w:type="pct"/>
            <w:gridSpan w:val="5"/>
            <w:vAlign w:val="center"/>
          </w:tcPr>
          <w:p w14:paraId="4FB1ED3C">
            <w:pPr>
              <w:rPr>
                <w:rFonts w:hint="eastAsia" w:ascii="宋体" w:hAnsi="宋体" w:cs="宋体"/>
                <w:szCs w:val="21"/>
              </w:rPr>
            </w:pPr>
            <w:r>
              <w:rPr>
                <w:rFonts w:hint="eastAsia" w:ascii="宋体" w:hAnsi="宋体" w:cs="宋体"/>
                <w:szCs w:val="21"/>
              </w:rPr>
              <w:t>1）合同签订期：自收到成交通知书之日起15日内。</w:t>
            </w:r>
          </w:p>
          <w:p w14:paraId="77E6E4F2">
            <w:pPr>
              <w:rPr>
                <w:rFonts w:hint="eastAsia" w:ascii="宋体" w:hAnsi="宋体" w:cs="宋体"/>
                <w:szCs w:val="21"/>
              </w:rPr>
            </w:pPr>
            <w:r>
              <w:rPr>
                <w:rFonts w:hint="eastAsia" w:ascii="宋体" w:hAnsi="宋体" w:cs="宋体"/>
                <w:szCs w:val="21"/>
              </w:rPr>
              <w:t>2）合同签订地点：采购人指定地点。</w:t>
            </w:r>
          </w:p>
        </w:tc>
      </w:tr>
      <w:tr w14:paraId="6BC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7F844D0F">
            <w:pPr>
              <w:rPr>
                <w:rFonts w:hint="eastAsia" w:ascii="宋体" w:hAnsi="宋体" w:cs="宋体"/>
                <w:szCs w:val="21"/>
              </w:rPr>
            </w:pPr>
            <w:r>
              <w:rPr>
                <w:rFonts w:hint="eastAsia" w:ascii="宋体" w:hAnsi="宋体" w:cs="宋体"/>
                <w:szCs w:val="21"/>
              </w:rPr>
              <w:t>交付使用期及交货地点</w:t>
            </w:r>
          </w:p>
        </w:tc>
        <w:tc>
          <w:tcPr>
            <w:tcW w:w="4102" w:type="pct"/>
            <w:gridSpan w:val="5"/>
            <w:vAlign w:val="center"/>
          </w:tcPr>
          <w:p w14:paraId="118D26F9">
            <w:pPr>
              <w:rPr>
                <w:rFonts w:hint="eastAsia" w:ascii="宋体" w:hAnsi="宋体" w:cs="宋体"/>
                <w:szCs w:val="21"/>
              </w:rPr>
            </w:pPr>
            <w:r>
              <w:rPr>
                <w:rFonts w:hint="eastAsia" w:ascii="宋体" w:hAnsi="宋体" w:cs="宋体"/>
                <w:szCs w:val="21"/>
              </w:rPr>
              <w:t>1）交货时间：自合同签订之日起7个日历日内交货。</w:t>
            </w:r>
          </w:p>
          <w:p w14:paraId="6F1CCEEF">
            <w:pPr>
              <w:rPr>
                <w:rFonts w:hint="eastAsia" w:ascii="宋体" w:hAnsi="宋体" w:cs="宋体"/>
                <w:szCs w:val="21"/>
              </w:rPr>
            </w:pPr>
            <w:r>
              <w:rPr>
                <w:rFonts w:hint="eastAsia" w:ascii="宋体" w:hAnsi="宋体" w:cs="宋体"/>
                <w:szCs w:val="21"/>
              </w:rPr>
              <w:t>2）交付使用时间：交货完成之日起3天内完成安装调试。</w:t>
            </w:r>
          </w:p>
          <w:p w14:paraId="3F3B94AB">
            <w:pPr>
              <w:rPr>
                <w:rFonts w:hint="eastAsia" w:ascii="宋体" w:hAnsi="宋体" w:cs="宋体"/>
                <w:szCs w:val="21"/>
              </w:rPr>
            </w:pPr>
            <w:r>
              <w:rPr>
                <w:rFonts w:hint="eastAsia" w:ascii="宋体" w:hAnsi="宋体" w:cs="宋体"/>
                <w:szCs w:val="21"/>
              </w:rPr>
              <w:t>3）交货地点：采购人指定地点。</w:t>
            </w:r>
          </w:p>
        </w:tc>
      </w:tr>
      <w:tr w14:paraId="3DE0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3DD644E6">
            <w:pPr>
              <w:rPr>
                <w:rFonts w:hint="eastAsia" w:ascii="宋体" w:hAnsi="宋体" w:cs="宋体"/>
                <w:szCs w:val="21"/>
              </w:rPr>
            </w:pPr>
            <w:r>
              <w:rPr>
                <w:rFonts w:hint="eastAsia" w:ascii="宋体" w:hAnsi="宋体" w:cs="宋体"/>
                <w:szCs w:val="21"/>
              </w:rPr>
              <w:t>售后服务要求</w:t>
            </w:r>
          </w:p>
        </w:tc>
        <w:tc>
          <w:tcPr>
            <w:tcW w:w="4102" w:type="pct"/>
            <w:gridSpan w:val="5"/>
            <w:vAlign w:val="center"/>
          </w:tcPr>
          <w:p w14:paraId="7A1CCC8C">
            <w:pPr>
              <w:rPr>
                <w:rFonts w:hint="eastAsia" w:ascii="宋体" w:hAnsi="宋体" w:cs="宋体"/>
                <w:szCs w:val="21"/>
              </w:rPr>
            </w:pPr>
            <w:r>
              <w:rPr>
                <w:szCs w:val="21"/>
              </w:rPr>
              <w:t>1</w:t>
            </w:r>
            <w:r>
              <w:rPr>
                <w:rFonts w:hint="eastAsia"/>
                <w:szCs w:val="21"/>
              </w:rPr>
              <w:t>）整机在质保期内由设备制造商提供原厂免费上门维修服务（节假日不休），终身移动和固定电话均可免费拨打的呼叫中心热线</w:t>
            </w:r>
            <w:r>
              <w:rPr>
                <w:szCs w:val="21"/>
              </w:rPr>
              <w:t>7</w:t>
            </w:r>
            <w:r>
              <w:rPr>
                <w:rFonts w:hint="eastAsia"/>
                <w:szCs w:val="21"/>
              </w:rPr>
              <w:t>×</w:t>
            </w:r>
            <w:r>
              <w:rPr>
                <w:szCs w:val="21"/>
              </w:rPr>
              <w:t>24</w:t>
            </w:r>
            <w:r>
              <w:rPr>
                <w:rFonts w:hint="eastAsia"/>
                <w:szCs w:val="21"/>
              </w:rPr>
              <w:t>小时免费技术支持服务，终身提供维护服务。</w:t>
            </w:r>
            <w:r>
              <w:rPr>
                <w:szCs w:val="21"/>
              </w:rPr>
              <w:t xml:space="preserve"> 2</w:t>
            </w:r>
            <w:r>
              <w:rPr>
                <w:rFonts w:hint="eastAsia"/>
                <w:szCs w:val="21"/>
              </w:rPr>
              <w:t>）其余按国家标准执行。</w:t>
            </w:r>
          </w:p>
        </w:tc>
      </w:tr>
      <w:tr w14:paraId="33FC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0741BA98">
            <w:pPr>
              <w:rPr>
                <w:rFonts w:hint="eastAsia" w:ascii="宋体" w:hAnsi="宋体" w:cs="宋体"/>
                <w:szCs w:val="21"/>
              </w:rPr>
            </w:pPr>
            <w:r>
              <w:rPr>
                <w:rFonts w:hint="eastAsia" w:ascii="宋体" w:hAnsi="宋体" w:cs="宋体"/>
                <w:szCs w:val="21"/>
              </w:rPr>
              <w:t>质保期</w:t>
            </w:r>
          </w:p>
        </w:tc>
        <w:tc>
          <w:tcPr>
            <w:tcW w:w="4102" w:type="pct"/>
            <w:gridSpan w:val="5"/>
            <w:vAlign w:val="center"/>
          </w:tcPr>
          <w:p w14:paraId="27243B1D">
            <w:pPr>
              <w:rPr>
                <w:rFonts w:hint="eastAsia" w:ascii="宋体" w:hAnsi="宋体" w:cs="宋体"/>
              </w:rPr>
            </w:pPr>
            <w:r>
              <w:rPr>
                <w:szCs w:val="21"/>
              </w:rPr>
              <w:t>1</w:t>
            </w:r>
            <w:r>
              <w:rPr>
                <w:rFonts w:hint="eastAsia"/>
                <w:szCs w:val="21"/>
              </w:rPr>
              <w:t>）自交货并验收合格之日起至少</w:t>
            </w:r>
            <w:r>
              <w:rPr>
                <w:szCs w:val="21"/>
              </w:rPr>
              <w:t>3</w:t>
            </w:r>
            <w:r>
              <w:rPr>
                <w:rFonts w:hint="eastAsia"/>
                <w:szCs w:val="21"/>
              </w:rPr>
              <w:t>年，若厂家免费质保期超过此年限的，按厂家规定执行，并提供终身维护支持。</w:t>
            </w:r>
            <w:r>
              <w:rPr>
                <w:szCs w:val="21"/>
              </w:rPr>
              <w:t xml:space="preserve"> 2</w:t>
            </w:r>
            <w:r>
              <w:rPr>
                <w:rFonts w:hint="eastAsia"/>
                <w:szCs w:val="21"/>
              </w:rPr>
              <w:t>）如“技术参数及性能（配置）要求”中有特殊要求的，按特殊要求。</w:t>
            </w:r>
            <w:r>
              <w:rPr>
                <w:szCs w:val="21"/>
              </w:rPr>
              <w:t xml:space="preserve"> 3</w:t>
            </w:r>
            <w:r>
              <w:rPr>
                <w:rFonts w:hint="eastAsia"/>
                <w:szCs w:val="21"/>
              </w:rPr>
              <w:t>）质保期内免费维修、更换损坏的设备和配件及对产品进行维护和保养，终身维修。</w:t>
            </w:r>
            <w:r>
              <w:rPr>
                <w:szCs w:val="21"/>
              </w:rPr>
              <w:t xml:space="preserve"> 4</w:t>
            </w:r>
            <w:r>
              <w:rPr>
                <w:rFonts w:hint="eastAsia"/>
                <w:szCs w:val="21"/>
              </w:rPr>
              <w:t>）按照国家有关规定实行“三包”，在规定的保修期内，凡货物质量事故和质量缺陷由成交供应商无偿保修</w:t>
            </w:r>
          </w:p>
        </w:tc>
      </w:tr>
      <w:tr w14:paraId="3E69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7D6BB5AF">
            <w:pPr>
              <w:rPr>
                <w:rFonts w:hint="eastAsia" w:ascii="宋体" w:hAnsi="宋体" w:cs="宋体"/>
                <w:szCs w:val="21"/>
              </w:rPr>
            </w:pPr>
            <w:r>
              <w:rPr>
                <w:rFonts w:hint="eastAsia" w:ascii="宋体" w:hAnsi="宋体" w:cs="宋体"/>
                <w:szCs w:val="21"/>
              </w:rPr>
              <w:t>付款条件（付款方式）</w:t>
            </w:r>
          </w:p>
        </w:tc>
        <w:tc>
          <w:tcPr>
            <w:tcW w:w="4102" w:type="pct"/>
            <w:gridSpan w:val="5"/>
            <w:vAlign w:val="center"/>
          </w:tcPr>
          <w:p w14:paraId="2825E4C0">
            <w:pPr>
              <w:numPr>
                <w:ilvl w:val="0"/>
                <w:numId w:val="2"/>
              </w:numPr>
              <w:rPr>
                <w:rFonts w:hint="eastAsia" w:ascii="宋体" w:hAnsi="宋体" w:cs="宋体"/>
                <w:szCs w:val="21"/>
              </w:rPr>
            </w:pPr>
            <w:r>
              <w:rPr>
                <w:rFonts w:hint="eastAsia" w:ascii="宋体" w:hAnsi="宋体" w:cs="宋体"/>
                <w:szCs w:val="21"/>
              </w:rPr>
              <w:t>在签订合同后，5个工作日内支付合同总金额的30%作为预付款，全部货物到货、安装调试完成并验收合格后10个工作日内支付合同总金额的70%；</w:t>
            </w:r>
          </w:p>
          <w:p w14:paraId="50C55C10">
            <w:pPr>
              <w:numPr>
                <w:ilvl w:val="0"/>
                <w:numId w:val="2"/>
              </w:numPr>
              <w:rPr>
                <w:rFonts w:hint="eastAsia" w:ascii="宋体" w:hAnsi="宋体" w:cs="宋体"/>
                <w:szCs w:val="21"/>
              </w:rPr>
            </w:pPr>
            <w:r>
              <w:rPr>
                <w:rFonts w:hint="eastAsia" w:ascii="宋体" w:hAnsi="宋体" w:cs="宋体"/>
                <w:szCs w:val="21"/>
              </w:rPr>
              <w:t>注：采购人支付货款前，成交供应商必须提供相应数额的有效发票。</w:t>
            </w:r>
          </w:p>
        </w:tc>
      </w:tr>
      <w:tr w14:paraId="36FE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gridSpan w:val="2"/>
            <w:vAlign w:val="center"/>
          </w:tcPr>
          <w:p w14:paraId="757DE7C3">
            <w:pPr>
              <w:rPr>
                <w:rFonts w:hint="eastAsia" w:ascii="宋体" w:hAnsi="宋体" w:cs="宋体"/>
                <w:szCs w:val="21"/>
              </w:rPr>
            </w:pPr>
            <w:r>
              <w:rPr>
                <w:rFonts w:hint="eastAsia" w:ascii="宋体" w:hAnsi="宋体" w:cs="宋体"/>
                <w:szCs w:val="21"/>
              </w:rPr>
              <w:t>其他要求</w:t>
            </w:r>
          </w:p>
        </w:tc>
        <w:tc>
          <w:tcPr>
            <w:tcW w:w="4102" w:type="pct"/>
            <w:gridSpan w:val="5"/>
            <w:vAlign w:val="center"/>
          </w:tcPr>
          <w:p w14:paraId="7A3115E1">
            <w:pPr>
              <w:rPr>
                <w:rFonts w:hint="eastAsia" w:ascii="宋体" w:hAnsi="宋体" w:cs="宋体"/>
                <w:szCs w:val="21"/>
              </w:rPr>
            </w:pPr>
            <w:r>
              <w:rPr>
                <w:rFonts w:hint="eastAsia" w:ascii="宋体" w:hAnsi="宋体" w:cs="宋体"/>
                <w:szCs w:val="21"/>
              </w:rPr>
              <w:t>1）本项目不接受进口产品竞标（即通过中国海关报关验放进入中国境内且产自关境外的产品）。</w:t>
            </w:r>
          </w:p>
          <w:p w14:paraId="48214443">
            <w:pPr>
              <w:rPr>
                <w:rFonts w:hint="eastAsia" w:ascii="宋体" w:hAnsi="宋体" w:cs="宋体"/>
                <w:szCs w:val="21"/>
              </w:rPr>
            </w:pPr>
            <w:r>
              <w:rPr>
                <w:rFonts w:hint="eastAsia" w:ascii="宋体" w:hAnsi="宋体" w:cs="宋体"/>
                <w:szCs w:val="21"/>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乙方赔偿经济损失。</w:t>
            </w:r>
          </w:p>
          <w:p w14:paraId="3F448AFE">
            <w:pPr>
              <w:rPr>
                <w:rFonts w:hint="eastAsia" w:ascii="宋体" w:hAnsi="宋体" w:cs="宋体"/>
                <w:szCs w:val="21"/>
              </w:rPr>
            </w:pPr>
            <w:r>
              <w:rPr>
                <w:rFonts w:hint="eastAsia" w:ascii="宋体" w:hAnsi="宋体" w:cs="宋体"/>
                <w:szCs w:val="21"/>
              </w:rPr>
              <w:t>3）成交供应商提供的货物及服务不满足采购要求而导致验收不合格的，采购人有权解除合同并追究成交供应商的法律责任。</w:t>
            </w:r>
          </w:p>
          <w:p w14:paraId="43950525">
            <w:pPr>
              <w:rPr>
                <w:rFonts w:hint="eastAsia" w:ascii="宋体" w:hAnsi="宋体" w:cs="宋体"/>
                <w:szCs w:val="21"/>
              </w:rPr>
            </w:pPr>
            <w:r>
              <w:rPr>
                <w:rFonts w:hint="eastAsia" w:ascii="宋体" w:hAnsi="宋体" w:cs="宋体"/>
                <w:szCs w:val="21"/>
              </w:rPr>
              <w:t>4）成交供应商交货时应提供设备操作手册、使用指南、维修指南、服务手册和示意图等。严格按照用户指定的位置进行安装，成交供应商在施工、安装、调试等全过程中接受用户的监督。</w:t>
            </w:r>
          </w:p>
          <w:p w14:paraId="46F3323C">
            <w:pPr>
              <w:rPr>
                <w:rFonts w:hint="eastAsia" w:ascii="宋体" w:hAnsi="宋体" w:cs="宋体"/>
                <w:szCs w:val="21"/>
              </w:rPr>
            </w:pPr>
            <w:r>
              <w:rPr>
                <w:rFonts w:hint="eastAsia" w:ascii="宋体" w:hAnsi="宋体" w:cs="宋体"/>
                <w:szCs w:val="21"/>
              </w:rPr>
              <w:t>5）在成交供应商承诺的保修期内，设备保修包换所需要的配件均是原厂原装，不得使用兼容产品。</w:t>
            </w:r>
          </w:p>
          <w:p w14:paraId="7ADB00CF">
            <w:pPr>
              <w:rPr>
                <w:rFonts w:hint="eastAsia" w:ascii="宋体" w:hAnsi="宋体" w:cs="宋体"/>
                <w:szCs w:val="21"/>
              </w:rPr>
            </w:pPr>
            <w:r>
              <w:rPr>
                <w:rFonts w:hint="eastAsia" w:ascii="宋体" w:hAnsi="宋体" w:cs="宋体"/>
                <w:szCs w:val="21"/>
              </w:rPr>
              <w:t>6）竞标供应商应保证参与本次政府采购项目时其按要求所提供的所有证明材料和资质文件真实，如出现虚假应标情况，竞标供应商除了应接受有关部门的处罚外，还应依据《中华人民共和国政府采购法》及其实施条例的相关条款来确定赔偿金额。</w:t>
            </w:r>
          </w:p>
          <w:p w14:paraId="3EBAFD4F">
            <w:pPr>
              <w:rPr>
                <w:rFonts w:hint="eastAsia" w:ascii="宋体" w:hAnsi="宋体" w:cs="宋体"/>
                <w:szCs w:val="21"/>
              </w:rPr>
            </w:pPr>
            <w:r>
              <w:rPr>
                <w:rFonts w:hint="eastAsia" w:ascii="宋体" w:hAnsi="宋体" w:cs="宋体"/>
                <w:szCs w:val="21"/>
              </w:rPr>
              <w:t>7）设备到货后，成交供应商和采购人应在现场进行清点，清点过程中如果发现因包装或运输不当引起的产品外观或内部的损坏，成交供应商应负责更换，若发现错发/漏发情况，成交供应商应负责更换和补发。</w:t>
            </w:r>
          </w:p>
          <w:p w14:paraId="2694A022">
            <w:pPr>
              <w:rPr>
                <w:rFonts w:hint="eastAsia" w:ascii="宋体" w:hAnsi="宋体" w:cs="宋体"/>
                <w:szCs w:val="21"/>
                <w:highlight w:val="yellow"/>
              </w:rPr>
            </w:pPr>
            <w:r>
              <w:rPr>
                <w:rFonts w:hint="eastAsia" w:ascii="宋体" w:hAnsi="宋体" w:cs="宋体"/>
                <w:szCs w:val="21"/>
              </w:rPr>
              <w:t>8）项目设备在安装前，成交供应商要与采购单位共同协商实施方案，两方同意后才能安装。</w:t>
            </w:r>
          </w:p>
          <w:p w14:paraId="2ED0096D">
            <w:pPr>
              <w:rPr>
                <w:rFonts w:hint="eastAsia" w:ascii="宋体" w:hAnsi="宋体" w:cs="宋体"/>
                <w:szCs w:val="21"/>
              </w:rPr>
            </w:pPr>
            <w:r>
              <w:rPr>
                <w:rFonts w:hint="eastAsia" w:ascii="宋体" w:hAnsi="宋体" w:cs="宋体"/>
                <w:szCs w:val="21"/>
              </w:rPr>
              <w:t>9）竞标供应商应保证针对本项目的货物和服务涉及到的知识产权和所提供的相关技术资料是合法取得，并享有完整的知识产权，不会因为采购人的使用而被责令停止使用、追偿或要求赔偿损失，如出现此情况，一切经济和法律责任均由竞标供应商承担。成交供应商需在采购合同中书面承诺采购方免受第三方提出侵犯其著作权、专利权、商标权或设计权的纠纷。</w:t>
            </w:r>
          </w:p>
          <w:p w14:paraId="7E06629A">
            <w:pPr>
              <w:rPr>
                <w:rFonts w:hint="eastAsia" w:ascii="宋体" w:hAnsi="宋体" w:cs="宋体"/>
                <w:szCs w:val="21"/>
              </w:rPr>
            </w:pPr>
            <w:r>
              <w:rPr>
                <w:rFonts w:hint="eastAsia" w:ascii="宋体" w:hAnsi="宋体" w:cs="宋体"/>
                <w:szCs w:val="21"/>
              </w:rPr>
              <w:t>10）供应商在竞标时应在响应附件中上传加盖其单位公章的《竞价响应文件》pdf电子扫描件，《竞价响应文件》[格式详见“第二章 竞价响应文件（格式）”]应包含以下内容，否则按废标处理：</w:t>
            </w:r>
          </w:p>
          <w:p w14:paraId="56019D23">
            <w:pPr>
              <w:rPr>
                <w:rFonts w:hint="eastAsia" w:ascii="宋体" w:hAnsi="宋体" w:cs="宋体"/>
                <w:szCs w:val="21"/>
                <w:u w:val="single"/>
              </w:rPr>
            </w:pPr>
            <w:r>
              <w:rPr>
                <w:rFonts w:hint="eastAsia" w:ascii="宋体" w:hAnsi="宋体" w:cs="宋体"/>
                <w:szCs w:val="21"/>
                <w:u w:val="single"/>
              </w:rPr>
              <w:t>（1）《竞价响应表》。</w:t>
            </w:r>
          </w:p>
          <w:p w14:paraId="16F636D6">
            <w:pPr>
              <w:rPr>
                <w:rFonts w:hint="eastAsia" w:ascii="宋体" w:hAnsi="宋体" w:cs="宋体"/>
                <w:szCs w:val="21"/>
                <w:u w:val="single"/>
              </w:rPr>
            </w:pPr>
            <w:r>
              <w:rPr>
                <w:rFonts w:hint="eastAsia" w:ascii="宋体" w:hAnsi="宋体" w:cs="宋体"/>
                <w:szCs w:val="21"/>
                <w:u w:val="single"/>
              </w:rPr>
              <w:t>（2）《技术参数及性能（配置）要求》中要求提供的相关材料（必须提供）。</w:t>
            </w:r>
          </w:p>
          <w:p w14:paraId="7EA27187">
            <w:pPr>
              <w:rPr>
                <w:rFonts w:hint="eastAsia" w:ascii="宋体" w:hAnsi="宋体" w:cs="宋体"/>
              </w:rPr>
            </w:pPr>
            <w:r>
              <w:rPr>
                <w:rFonts w:hint="eastAsia" w:ascii="宋体" w:hAnsi="宋体" w:cs="宋体"/>
                <w:szCs w:val="21"/>
              </w:rPr>
              <w:t>12）★拟成交供应商应当在</w:t>
            </w:r>
            <w:r>
              <w:rPr>
                <w:rFonts w:hint="eastAsia" w:ascii="宋体" w:hAnsi="宋体" w:cs="宋体"/>
              </w:rPr>
              <w:t>预中标三日内,所有纸质材料移交给甲方,若报价单位提供虚假材料,将作无效响应处理</w:t>
            </w:r>
            <w:bookmarkStart w:id="5" w:name="_GoBack"/>
            <w:bookmarkEnd w:id="5"/>
            <w:r>
              <w:rPr>
                <w:rFonts w:hint="eastAsia" w:ascii="宋体" w:hAnsi="宋体" w:cs="宋体"/>
              </w:rPr>
              <w:t>。</w:t>
            </w:r>
          </w:p>
          <w:p w14:paraId="38EA3451">
            <w:pPr>
              <w:rPr>
                <w:rFonts w:hint="eastAsia" w:ascii="宋体" w:hAnsi="宋体" w:cs="宋体"/>
                <w:szCs w:val="21"/>
              </w:rPr>
            </w:pPr>
            <w:r>
              <w:rPr>
                <w:rFonts w:hint="eastAsia" w:ascii="宋体" w:hAnsi="宋体" w:cs="宋体"/>
                <w:szCs w:val="21"/>
              </w:rPr>
              <w:t>13）供应商供应商未按上述要求提交符合要求的资料或产品的，竞标无效。</w:t>
            </w:r>
          </w:p>
          <w:p w14:paraId="0BE5CD0A">
            <w:pPr>
              <w:rPr>
                <w:rFonts w:hint="eastAsia" w:ascii="宋体" w:hAnsi="宋体" w:cs="宋体"/>
                <w:szCs w:val="21"/>
              </w:rPr>
            </w:pPr>
            <w:r>
              <w:rPr>
                <w:rFonts w:hint="eastAsia" w:ascii="宋体" w:hAnsi="宋体" w:cs="宋体"/>
                <w:szCs w:val="21"/>
              </w:rPr>
              <w:t>14）供应商不能满足参数要求而进行虚假响应，或者供应商无法按要求签订合同、无法正常交货影响采购人办公使用的，采购人取消成交结果，并按规定对供应商予以处罚并进行通报处理。采购人应依法向广西政府采购云平台及政府采购管理部门进行举报并予以禁止报价、扣除诚信分等处罚。</w:t>
            </w:r>
          </w:p>
          <w:p w14:paraId="09F7A24C">
            <w:pPr>
              <w:rPr>
                <w:rFonts w:hint="eastAsia" w:ascii="宋体" w:hAnsi="宋体" w:cs="宋体"/>
                <w:szCs w:val="21"/>
              </w:rPr>
            </w:pPr>
            <w:r>
              <w:rPr>
                <w:rFonts w:hint="eastAsia" w:ascii="宋体" w:hAnsi="宋体" w:cs="宋体"/>
                <w:szCs w:val="21"/>
              </w:rPr>
              <w:t>15）★成交供应商必须按采购需求中所列明产品品牌、型号来供货，供应商提供的报价材料与实际报价不符，在竞标结束后，按废标处理。</w:t>
            </w:r>
          </w:p>
          <w:p w14:paraId="7C19F0C8">
            <w:pPr>
              <w:rPr>
                <w:rFonts w:hint="eastAsia" w:ascii="宋体" w:hAnsi="宋体" w:cs="宋体"/>
                <w:szCs w:val="21"/>
              </w:rPr>
            </w:pPr>
            <w:r>
              <w:rPr>
                <w:rFonts w:hint="eastAsia" w:ascii="宋体" w:hAnsi="宋体" w:cs="宋体"/>
                <w:szCs w:val="21"/>
              </w:rPr>
              <w:t>16）为确保采购人的合法权益，采购人将对所提供产品参数的真实性和实际效果进行验证，成交供应商必须配合采购人进行测试，通过测试方可供货。在测试过程中如出现所提供样品不符技术参数要求或无法提供所有样品，均视为虚假响应货物要求处理并追究法律责任。</w:t>
            </w:r>
          </w:p>
          <w:p w14:paraId="0A372B2F">
            <w:pPr>
              <w:rPr>
                <w:rFonts w:hint="eastAsia" w:ascii="宋体" w:hAnsi="宋体" w:cs="宋体"/>
                <w:szCs w:val="21"/>
              </w:rPr>
            </w:pPr>
            <w:r>
              <w:rPr>
                <w:rFonts w:hint="eastAsia" w:ascii="宋体" w:hAnsi="宋体" w:cs="宋体"/>
                <w:szCs w:val="21"/>
              </w:rPr>
              <w:t>17）投标供应商必须提供生产厂家营业执照及生产厂家出具的供货证明，否则按废标处理。</w:t>
            </w:r>
          </w:p>
          <w:p w14:paraId="01806DBD">
            <w:pPr>
              <w:rPr>
                <w:rFonts w:hint="eastAsia" w:ascii="宋体" w:hAnsi="宋体" w:cs="宋体"/>
                <w:szCs w:val="21"/>
              </w:rPr>
            </w:pPr>
            <w:r>
              <w:rPr>
                <w:rFonts w:hint="eastAsia" w:ascii="宋体" w:hAnsi="宋体" w:cs="宋体"/>
                <w:szCs w:val="21"/>
              </w:rPr>
              <w:t>★未满足商务要求中任一条款,本次投标视为无效。</w:t>
            </w:r>
          </w:p>
        </w:tc>
      </w:tr>
    </w:tbl>
    <w:p w14:paraId="614B71F7">
      <w:pPr>
        <w:outlineLvl w:val="1"/>
        <w:rPr>
          <w:rFonts w:hint="eastAsia" w:ascii="宋体" w:hAnsi="宋体" w:cs="宋体"/>
        </w:rPr>
      </w:pPr>
      <w:r>
        <w:rPr>
          <w:rFonts w:hint="eastAsia" w:ascii="宋体" w:hAnsi="宋体" w:cs="宋体"/>
        </w:rPr>
        <w:br w:type="page"/>
      </w:r>
      <w:bookmarkStart w:id="1" w:name="_Toc18075"/>
      <w:r>
        <w:rPr>
          <w:rStyle w:val="42"/>
          <w:rFonts w:hint="eastAsia" w:ascii="宋体" w:hAnsi="宋体" w:eastAsia="宋体" w:cs="宋体"/>
        </w:rPr>
        <w:t>附件一、UPS电源设备的主要技术性能</w:t>
      </w:r>
      <w:bookmarkEnd w:id="1"/>
    </w:p>
    <w:p w14:paraId="265FEE9E">
      <w:pPr>
        <w:pStyle w:val="2"/>
        <w:spacing w:line="360" w:lineRule="auto"/>
        <w:rPr>
          <w:rFonts w:hint="eastAsia" w:ascii="宋体" w:hAnsi="宋体" w:cs="宋体"/>
          <w:sz w:val="32"/>
          <w:szCs w:val="32"/>
        </w:rPr>
      </w:pPr>
      <w:bookmarkStart w:id="2" w:name="_Toc12191"/>
      <w:r>
        <w:rPr>
          <w:rStyle w:val="42"/>
          <w:rFonts w:hint="eastAsia" w:ascii="宋体" w:hAnsi="宋体" w:eastAsia="宋体" w:cs="宋体"/>
          <w:b/>
        </w:rPr>
        <w:t>UPS电源</w:t>
      </w:r>
      <w:r>
        <w:rPr>
          <w:rFonts w:hint="eastAsia" w:ascii="宋体" w:hAnsi="宋体" w:cs="宋体"/>
          <w:sz w:val="32"/>
          <w:szCs w:val="32"/>
        </w:rPr>
        <w:t>设备的主要技术性能</w:t>
      </w:r>
      <w:bookmarkEnd w:id="2"/>
    </w:p>
    <w:tbl>
      <w:tblPr>
        <w:tblStyle w:val="20"/>
        <w:tblW w:w="10537" w:type="dxa"/>
        <w:jc w:val="center"/>
        <w:tblLayout w:type="fixed"/>
        <w:tblCellMar>
          <w:top w:w="0" w:type="dxa"/>
          <w:left w:w="108" w:type="dxa"/>
          <w:bottom w:w="0" w:type="dxa"/>
          <w:right w:w="108" w:type="dxa"/>
        </w:tblCellMar>
      </w:tblPr>
      <w:tblGrid>
        <w:gridCol w:w="456"/>
        <w:gridCol w:w="882"/>
        <w:gridCol w:w="734"/>
        <w:gridCol w:w="900"/>
        <w:gridCol w:w="524"/>
        <w:gridCol w:w="599"/>
        <w:gridCol w:w="6442"/>
      </w:tblGrid>
      <w:tr w14:paraId="5CA2F353">
        <w:tblPrEx>
          <w:tblCellMar>
            <w:top w:w="0" w:type="dxa"/>
            <w:left w:w="108" w:type="dxa"/>
            <w:bottom w:w="0" w:type="dxa"/>
            <w:right w:w="108" w:type="dxa"/>
          </w:tblCellMar>
        </w:tblPrEx>
        <w:trPr>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951EDBA">
            <w:pPr>
              <w:widowControl/>
              <w:jc w:val="center"/>
              <w:textAlignment w:val="center"/>
              <w:rPr>
                <w:rFonts w:hint="eastAsia" w:ascii="宋体" w:hAnsi="宋体" w:cs="宋体"/>
                <w:b/>
                <w:bCs/>
                <w:color w:val="000000"/>
                <w:sz w:val="24"/>
                <w:szCs w:val="24"/>
              </w:rPr>
            </w:pPr>
            <w:bookmarkStart w:id="3" w:name="_Toc21066"/>
            <w:r>
              <w:rPr>
                <w:rFonts w:hint="eastAsia" w:ascii="宋体" w:hAnsi="宋体" w:cs="宋体"/>
                <w:b/>
                <w:bCs/>
                <w:color w:val="000000"/>
                <w:kern w:val="0"/>
                <w:sz w:val="24"/>
                <w:szCs w:val="24"/>
                <w:lang w:bidi="ar"/>
              </w:rPr>
              <w:t>序号</w:t>
            </w:r>
          </w:p>
        </w:tc>
        <w:tc>
          <w:tcPr>
            <w:tcW w:w="882" w:type="dxa"/>
            <w:tcBorders>
              <w:top w:val="single" w:color="000000" w:sz="4" w:space="0"/>
              <w:left w:val="single" w:color="000000" w:sz="4" w:space="0"/>
              <w:bottom w:val="single" w:color="000000" w:sz="4" w:space="0"/>
              <w:right w:val="single" w:color="000000" w:sz="4" w:space="0"/>
            </w:tcBorders>
            <w:vAlign w:val="center"/>
          </w:tcPr>
          <w:p w14:paraId="6719D99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货物名称</w:t>
            </w:r>
          </w:p>
        </w:tc>
        <w:tc>
          <w:tcPr>
            <w:tcW w:w="734" w:type="dxa"/>
            <w:tcBorders>
              <w:top w:val="single" w:color="000000" w:sz="4" w:space="0"/>
              <w:left w:val="single" w:color="000000" w:sz="4" w:space="0"/>
              <w:bottom w:val="single" w:color="000000" w:sz="4" w:space="0"/>
              <w:right w:val="single" w:color="000000" w:sz="4" w:space="0"/>
            </w:tcBorders>
            <w:vAlign w:val="center"/>
          </w:tcPr>
          <w:p w14:paraId="65BDCB6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品牌</w:t>
            </w:r>
          </w:p>
        </w:tc>
        <w:tc>
          <w:tcPr>
            <w:tcW w:w="900" w:type="dxa"/>
            <w:tcBorders>
              <w:top w:val="single" w:color="000000" w:sz="4" w:space="0"/>
              <w:left w:val="single" w:color="000000" w:sz="4" w:space="0"/>
              <w:bottom w:val="single" w:color="000000" w:sz="4" w:space="0"/>
              <w:right w:val="single" w:color="000000" w:sz="4" w:space="0"/>
            </w:tcBorders>
            <w:vAlign w:val="center"/>
          </w:tcPr>
          <w:p w14:paraId="3D30FBD2">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型号</w:t>
            </w:r>
          </w:p>
        </w:tc>
        <w:tc>
          <w:tcPr>
            <w:tcW w:w="524" w:type="dxa"/>
            <w:tcBorders>
              <w:top w:val="single" w:color="000000" w:sz="4" w:space="0"/>
              <w:left w:val="single" w:color="000000" w:sz="4" w:space="0"/>
              <w:bottom w:val="single" w:color="000000" w:sz="4" w:space="0"/>
              <w:right w:val="single" w:color="000000" w:sz="4" w:space="0"/>
            </w:tcBorders>
            <w:vAlign w:val="center"/>
          </w:tcPr>
          <w:p w14:paraId="1B39731E">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599" w:type="dxa"/>
            <w:tcBorders>
              <w:top w:val="single" w:color="000000" w:sz="4" w:space="0"/>
              <w:left w:val="single" w:color="000000" w:sz="4" w:space="0"/>
              <w:bottom w:val="single" w:color="000000" w:sz="4" w:space="0"/>
              <w:right w:val="single" w:color="000000" w:sz="4" w:space="0"/>
            </w:tcBorders>
            <w:vAlign w:val="center"/>
          </w:tcPr>
          <w:p w14:paraId="060218D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6442" w:type="dxa"/>
            <w:tcBorders>
              <w:top w:val="single" w:color="000000" w:sz="4" w:space="0"/>
              <w:left w:val="single" w:color="000000" w:sz="4" w:space="0"/>
              <w:bottom w:val="single" w:color="000000" w:sz="4" w:space="0"/>
              <w:right w:val="single" w:color="000000" w:sz="4" w:space="0"/>
            </w:tcBorders>
            <w:vAlign w:val="center"/>
          </w:tcPr>
          <w:p w14:paraId="197FF33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技术参数</w:t>
            </w:r>
          </w:p>
        </w:tc>
      </w:tr>
      <w:tr w14:paraId="755BA165">
        <w:tblPrEx>
          <w:tblCellMar>
            <w:top w:w="0" w:type="dxa"/>
            <w:left w:w="108" w:type="dxa"/>
            <w:bottom w:w="0" w:type="dxa"/>
            <w:right w:w="108" w:type="dxa"/>
          </w:tblCellMar>
        </w:tblPrEx>
        <w:trPr>
          <w:jc w:val="center"/>
        </w:trPr>
        <w:tc>
          <w:tcPr>
            <w:tcW w:w="456" w:type="dxa"/>
            <w:tcBorders>
              <w:top w:val="single" w:color="000000" w:sz="4" w:space="0"/>
              <w:left w:val="single" w:color="000000" w:sz="4" w:space="0"/>
              <w:bottom w:val="nil"/>
              <w:right w:val="single" w:color="000000" w:sz="4" w:space="0"/>
            </w:tcBorders>
            <w:shd w:val="clear" w:color="auto" w:fill="FFFFFF"/>
            <w:vAlign w:val="center"/>
          </w:tcPr>
          <w:p w14:paraId="0BFD74D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882" w:type="dxa"/>
            <w:tcBorders>
              <w:top w:val="single" w:color="000000" w:sz="4" w:space="0"/>
              <w:left w:val="single" w:color="000000" w:sz="4" w:space="0"/>
              <w:bottom w:val="nil"/>
              <w:right w:val="single" w:color="000000" w:sz="4" w:space="0"/>
            </w:tcBorders>
            <w:shd w:val="clear" w:color="auto" w:fill="FFFFFF"/>
            <w:vAlign w:val="center"/>
          </w:tcPr>
          <w:p w14:paraId="1578192D">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蓄电池</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883F">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理士</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9BBDF">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DJM12100</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90B7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节</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9A99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64</w:t>
            </w:r>
          </w:p>
        </w:tc>
        <w:tc>
          <w:tcPr>
            <w:tcW w:w="6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0FC40">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★1.单只蓄电池标准电压 12V，电池容量≥100Ah（C20容量不低于100Ah）。 </w:t>
            </w:r>
          </w:p>
          <w:p w14:paraId="1C2A2541">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★2.蓄电池抗震加固应符合YD/T 5096-2016《通信用电源设备抗地震性能检测规范》的要求。需满足8、9烈度抗震性能检测要求。</w:t>
            </w:r>
          </w:p>
          <w:p w14:paraId="17E3E7C9">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★3.容量一致性：蓄电池容量以环境温度25℃、单体放电终止电压1.80V条件下的10h率额定容量表示；各单体电池容量偏差要求不超过1.2％（10小时率容量最大和最小的差值/平均值）</w:t>
            </w:r>
          </w:p>
          <w:p w14:paraId="1D3FD433">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★4.容量保存率：蓄电池静置28天后其容量保存率不低于99％。</w:t>
            </w:r>
          </w:p>
          <w:p w14:paraId="34BC7BA0">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★5.密封反应效率：蓄电池密封反应效率应不低于99%</w:t>
            </w:r>
          </w:p>
          <w:p w14:paraId="3DDF6D76">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★6.电池连接条压降：蓄电池按1h率电流放电，在两只电池极柱根部测量的电池之间的连接条压降≤4.6mV。</w:t>
            </w:r>
          </w:p>
          <w:p w14:paraId="3F771485">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7.防酸雾性能：蓄电池在正常浮充工作过程中应无酸雾逸出。</w:t>
            </w:r>
          </w:p>
          <w:p w14:paraId="565B0530">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8.防爆性能：蓄电池在充电过程中遇有明火，内部应不引燃、不引爆。</w:t>
            </w:r>
          </w:p>
          <w:p w14:paraId="7CE2D83A">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9.阻燃性能：蓄电池壳、盖、连接条保护罩应符合GB/T 2408-2021《塑料燃烧性能的测定水平法和垂直法》中第8.4.2条HB（水平级）和第9.4条V-0（垂直级）的要求。</w:t>
            </w:r>
          </w:p>
          <w:p w14:paraId="258E2873">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10.气密性：蓄电池应能承受50kPa的正压或负压而不破裂、不开胶，压力释放后壳体无残余变形。</w:t>
            </w:r>
          </w:p>
          <w:p w14:paraId="59B29586">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11.安全阀要求：蓄电池安全阀应具有自动开启和自动关闭的功能，其开阀压应是10 kPa～35 kPa，闭阀压应是3 kPa～30 kPa。</w:t>
            </w:r>
          </w:p>
          <w:p w14:paraId="331F160A">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12．蓄电池外观不得有变形、漏液、裂纹及污迹，标志要清晰。</w:t>
            </w:r>
          </w:p>
          <w:p w14:paraId="4A9D47BD">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★13．蓄电池寿命：12V电池单体循环耐久性寿命测试数据不少于400次。</w:t>
            </w:r>
          </w:p>
          <w:p w14:paraId="0ED5E9CA">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14．过度放电性能要求：蓄电池按YD/T 799-2024中规定的方法试验，其容量恢复值应≥90%。</w:t>
            </w:r>
          </w:p>
          <w:p w14:paraId="3F76B2D7">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15. 大电流放电：蓄电池以30I10（A）放电3min，极柱、内部汇流排不应熔断，其外观不得出现异常。</w:t>
            </w:r>
          </w:p>
          <w:p w14:paraId="47B7AE62">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16. 耐过充电能力：蓄电池按YD/T 799-2024《通信用阀控式密封铅酸蓄电池》标准试验后，其外观应无明显变形及渗液。</w:t>
            </w:r>
          </w:p>
          <w:p w14:paraId="6CA9BBFE">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★17．100%DOD循环寿命要求：以I10电流放电进行 C10率容量检测，再以2.35V/单体恒压限流I10充电24h ,连续循环280次，检测C10容量应不低于80%标称容量。（放出100％额定容量，再充满电为一次循环；终止条件为：在终止电压为1.8V时放出的容量低于80％额定容量时，循环结束。）</w:t>
            </w:r>
          </w:p>
          <w:p w14:paraId="469DE9AC">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18.生产蓄电池用的原料铅应采用Pb99.994牌号电解铅［满足《铅锭》（GB/T 469-2023）要求］，铅锭的铅纯度应不低于99.994%。</w:t>
            </w:r>
          </w:p>
          <w:p w14:paraId="331A42A1">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★19.蓄电池生产厂家应具备自制隔板能力，保证蓄电池的质量稳定性及一致性（供货时提供证明材料复印件，原件备查）。</w:t>
            </w:r>
          </w:p>
          <w:p w14:paraId="117AD77C">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★20.蓄电池生产企业应具有《排放污染物许可证》、《危险废物经营许可证》。蓄电池生产企业必须具备废旧电池回收资质（供货时提供产品加盖公章的证书扫描件或复印件）。</w:t>
            </w:r>
          </w:p>
          <w:p w14:paraId="30A95DFB">
            <w:pPr>
              <w:spacing w:line="400" w:lineRule="exact"/>
              <w:rPr>
                <w:rFonts w:ascii="宋体" w:hAnsi="宋体" w:cs="宋体"/>
                <w:color w:val="000000"/>
                <w:kern w:val="0"/>
                <w:sz w:val="24"/>
                <w:szCs w:val="24"/>
                <w:lang w:bidi="ar"/>
              </w:rPr>
            </w:pPr>
            <w:r>
              <w:rPr>
                <w:rFonts w:hint="eastAsia" w:ascii="宋体" w:hAnsi="宋体" w:cs="宋体"/>
                <w:color w:val="000000"/>
                <w:kern w:val="0"/>
                <w:sz w:val="24"/>
                <w:szCs w:val="24"/>
                <w:lang w:bidi="ar"/>
              </w:rPr>
              <w:t>★21.为保证产品质量，蓄电池生产企业必须具有产品检测实验室，且有实验室须通过CNAS或或国家认证认可的其他相关机构资格认证（供货时提供产品加盖公章的证书扫描件或复印件）。</w:t>
            </w:r>
          </w:p>
          <w:p w14:paraId="3DEAD78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★22.为保证原装正品，供货时需提供产品制造商（或生产厂家）针对本项目出具的授权函、售后服务承诺函。</w:t>
            </w:r>
          </w:p>
        </w:tc>
      </w:tr>
      <w:bookmarkEnd w:id="3"/>
    </w:tbl>
    <w:p w14:paraId="4B09BF90">
      <w:pPr>
        <w:spacing w:line="340" w:lineRule="exact"/>
        <w:rPr>
          <w:rFonts w:hint="eastAsia" w:ascii="宋体" w:hAnsi="宋体" w:cs="宋体"/>
          <w:color w:val="000000"/>
          <w:sz w:val="24"/>
          <w:szCs w:val="24"/>
        </w:rPr>
      </w:pPr>
      <w:r>
        <w:rPr>
          <w:rFonts w:hint="eastAsia" w:ascii="宋体" w:hAnsi="宋体" w:cs="宋体"/>
        </w:rPr>
        <w:br w:type="page"/>
      </w:r>
    </w:p>
    <w:p w14:paraId="5006DA98">
      <w:pPr>
        <w:pStyle w:val="2"/>
        <w:rPr>
          <w:rFonts w:hint="eastAsia" w:ascii="宋体" w:hAnsi="宋体" w:cs="宋体"/>
        </w:rPr>
      </w:pPr>
      <w:bookmarkStart w:id="4" w:name="_Toc10444"/>
      <w:r>
        <w:rPr>
          <w:rFonts w:hint="eastAsia" w:ascii="宋体" w:hAnsi="宋体" w:cs="宋体"/>
        </w:rPr>
        <w:t>第二章 竞价响应文件（格式）</w:t>
      </w:r>
      <w:bookmarkEnd w:id="4"/>
    </w:p>
    <w:p w14:paraId="31FCC68C">
      <w:pPr>
        <w:rPr>
          <w:rFonts w:hint="eastAsia" w:ascii="宋体" w:hAnsi="宋体" w:cs="宋体"/>
        </w:rPr>
      </w:pPr>
    </w:p>
    <w:tbl>
      <w:tblPr>
        <w:tblStyle w:val="20"/>
        <w:tblpPr w:leftFromText="180" w:rightFromText="180" w:vertAnchor="text" w:horzAnchor="page" w:tblpX="718" w:tblpY="-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470"/>
        <w:gridCol w:w="1284"/>
        <w:gridCol w:w="6164"/>
        <w:gridCol w:w="1389"/>
      </w:tblGrid>
      <w:tr w14:paraId="106A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959ADB8">
            <w:pPr>
              <w:spacing w:line="480" w:lineRule="auto"/>
              <w:jc w:val="center"/>
              <w:rPr>
                <w:rFonts w:hint="eastAsia" w:ascii="宋体" w:hAnsi="宋体" w:cs="宋体"/>
                <w:szCs w:val="21"/>
              </w:rPr>
            </w:pPr>
            <w:r>
              <w:rPr>
                <w:rFonts w:hint="eastAsia" w:ascii="宋体" w:hAnsi="宋体" w:cs="宋体"/>
                <w:b/>
                <w:bCs/>
                <w:sz w:val="32"/>
                <w:szCs w:val="36"/>
              </w:rPr>
              <w:t>竞价响应表</w:t>
            </w:r>
          </w:p>
        </w:tc>
      </w:tr>
      <w:tr w14:paraId="4941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795C108">
            <w:pPr>
              <w:spacing w:line="480" w:lineRule="auto"/>
              <w:jc w:val="left"/>
              <w:rPr>
                <w:rFonts w:hint="eastAsia" w:ascii="宋体" w:hAnsi="宋体" w:cs="宋体"/>
                <w:sz w:val="24"/>
                <w:szCs w:val="28"/>
              </w:rPr>
            </w:pPr>
            <w:r>
              <w:rPr>
                <w:rFonts w:hint="eastAsia" w:ascii="宋体" w:hAnsi="宋体" w:cs="宋体"/>
                <w:sz w:val="24"/>
                <w:szCs w:val="28"/>
              </w:rPr>
              <w:t>项目名称：</w:t>
            </w:r>
          </w:p>
          <w:p w14:paraId="271B2853">
            <w:pPr>
              <w:spacing w:line="480" w:lineRule="auto"/>
              <w:jc w:val="left"/>
              <w:rPr>
                <w:rFonts w:hint="eastAsia" w:ascii="宋体" w:hAnsi="宋体" w:cs="宋体"/>
                <w:sz w:val="24"/>
                <w:szCs w:val="28"/>
              </w:rPr>
            </w:pPr>
            <w:r>
              <w:rPr>
                <w:rFonts w:hint="eastAsia" w:ascii="宋体" w:hAnsi="宋体" w:cs="宋体"/>
                <w:sz w:val="24"/>
                <w:szCs w:val="28"/>
              </w:rPr>
              <w:t>项目编号：</w:t>
            </w:r>
          </w:p>
          <w:p w14:paraId="57E6B884">
            <w:pPr>
              <w:spacing w:line="480" w:lineRule="auto"/>
              <w:jc w:val="left"/>
              <w:rPr>
                <w:rFonts w:hint="eastAsia" w:ascii="宋体" w:hAnsi="宋体" w:cs="宋体"/>
                <w:sz w:val="24"/>
                <w:szCs w:val="28"/>
              </w:rPr>
            </w:pPr>
            <w:r>
              <w:rPr>
                <w:rFonts w:hint="eastAsia" w:ascii="宋体" w:hAnsi="宋体" w:cs="宋体"/>
                <w:sz w:val="24"/>
                <w:szCs w:val="28"/>
              </w:rPr>
              <w:t>采购人（采购人）名称：</w:t>
            </w:r>
          </w:p>
        </w:tc>
      </w:tr>
      <w:tr w14:paraId="556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7015507A">
            <w:pPr>
              <w:spacing w:line="480" w:lineRule="auto"/>
              <w:jc w:val="left"/>
              <w:rPr>
                <w:rFonts w:hint="eastAsia" w:ascii="宋体" w:hAnsi="宋体" w:cs="宋体"/>
                <w:sz w:val="24"/>
                <w:szCs w:val="28"/>
                <w:u w:val="single"/>
              </w:rPr>
            </w:pPr>
            <w:r>
              <w:rPr>
                <w:rFonts w:hint="eastAsia" w:ascii="宋体" w:hAnsi="宋体" w:cs="宋体"/>
                <w:sz w:val="24"/>
                <w:szCs w:val="28"/>
              </w:rPr>
              <w:t>联系人：</w:t>
            </w:r>
            <w:r>
              <w:rPr>
                <w:rFonts w:hint="eastAsia" w:ascii="宋体" w:hAnsi="宋体" w:cs="宋体"/>
                <w:sz w:val="24"/>
                <w:szCs w:val="28"/>
                <w:u w:val="single"/>
              </w:rPr>
              <w:t xml:space="preserve">                    </w:t>
            </w:r>
          </w:p>
          <w:p w14:paraId="7CBD409E">
            <w:pPr>
              <w:spacing w:line="480" w:lineRule="auto"/>
              <w:jc w:val="left"/>
              <w:rPr>
                <w:rFonts w:hint="eastAsia" w:ascii="宋体" w:hAnsi="宋体" w:cs="宋体"/>
                <w:sz w:val="24"/>
                <w:szCs w:val="28"/>
                <w:u w:val="single"/>
              </w:rPr>
            </w:pPr>
            <w:r>
              <w:rPr>
                <w:rFonts w:hint="eastAsia" w:ascii="宋体" w:hAnsi="宋体" w:cs="宋体"/>
                <w:sz w:val="24"/>
                <w:szCs w:val="28"/>
              </w:rPr>
              <w:t>联系方式：</w:t>
            </w:r>
            <w:r>
              <w:rPr>
                <w:rFonts w:hint="eastAsia" w:ascii="宋体" w:hAnsi="宋体" w:cs="宋体"/>
                <w:sz w:val="24"/>
                <w:szCs w:val="28"/>
                <w:u w:val="single"/>
              </w:rPr>
              <w:t xml:space="preserve">                  </w:t>
            </w:r>
          </w:p>
          <w:p w14:paraId="0364E79C">
            <w:pPr>
              <w:spacing w:line="480" w:lineRule="auto"/>
              <w:jc w:val="left"/>
              <w:rPr>
                <w:rFonts w:hint="eastAsia" w:ascii="宋体" w:hAnsi="宋体" w:cs="宋体"/>
                <w:sz w:val="24"/>
                <w:szCs w:val="28"/>
                <w:u w:val="single"/>
              </w:rPr>
            </w:pPr>
            <w:r>
              <w:rPr>
                <w:rFonts w:hint="eastAsia" w:ascii="宋体" w:hAnsi="宋体" w:cs="宋体"/>
                <w:sz w:val="24"/>
                <w:szCs w:val="28"/>
              </w:rPr>
              <w:t>竞标供应商名称（加盖公章）：</w:t>
            </w:r>
            <w:r>
              <w:rPr>
                <w:rFonts w:hint="eastAsia" w:ascii="宋体" w:hAnsi="宋体" w:cs="宋体"/>
                <w:sz w:val="24"/>
                <w:szCs w:val="28"/>
                <w:u w:val="single"/>
              </w:rPr>
              <w:t xml:space="preserve">                 </w:t>
            </w:r>
          </w:p>
          <w:p w14:paraId="5116090A">
            <w:pPr>
              <w:spacing w:line="480" w:lineRule="auto"/>
              <w:jc w:val="left"/>
              <w:rPr>
                <w:rFonts w:hint="eastAsia" w:ascii="宋体" w:hAnsi="宋体" w:cs="宋体"/>
              </w:rPr>
            </w:pPr>
            <w:r>
              <w:rPr>
                <w:rFonts w:hint="eastAsia" w:ascii="宋体" w:hAnsi="宋体" w:cs="宋体"/>
                <w:sz w:val="24"/>
                <w:szCs w:val="28"/>
              </w:rPr>
              <w:t>竞标日期：</w:t>
            </w:r>
            <w:r>
              <w:rPr>
                <w:rFonts w:hint="eastAsia" w:ascii="宋体" w:hAnsi="宋体" w:cs="宋体"/>
                <w:sz w:val="24"/>
                <w:szCs w:val="28"/>
                <w:u w:val="single"/>
              </w:rPr>
              <w:t>202</w:t>
            </w:r>
            <w:r>
              <w:rPr>
                <w:rFonts w:hint="eastAsia" w:ascii="宋体" w:hAnsi="宋体" w:cs="宋体"/>
                <w:sz w:val="24"/>
                <w:szCs w:val="28"/>
                <w:u w:val="single"/>
                <w:lang w:val="en-US" w:eastAsia="zh-CN"/>
              </w:rPr>
              <w:t>6</w:t>
            </w:r>
            <w:r>
              <w:rPr>
                <w:rFonts w:hint="eastAsia" w:ascii="宋体" w:hAnsi="宋体" w:cs="宋体"/>
                <w:sz w:val="24"/>
                <w:szCs w:val="28"/>
                <w:u w:val="single"/>
              </w:rPr>
              <w:t>年    月   日</w:t>
            </w:r>
          </w:p>
        </w:tc>
      </w:tr>
      <w:tr w14:paraId="278F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35218947">
            <w:pPr>
              <w:spacing w:line="360" w:lineRule="auto"/>
              <w:jc w:val="left"/>
              <w:rPr>
                <w:rFonts w:hint="eastAsia" w:ascii="宋体" w:hAnsi="宋体" w:cs="宋体"/>
                <w:sz w:val="24"/>
                <w:szCs w:val="28"/>
              </w:rPr>
            </w:pPr>
            <w:r>
              <w:rPr>
                <w:rFonts w:hint="eastAsia" w:ascii="宋体" w:hAnsi="宋体" w:cs="宋体"/>
                <w:sz w:val="24"/>
                <w:szCs w:val="28"/>
              </w:rPr>
              <w:t>注：</w:t>
            </w:r>
          </w:p>
          <w:p w14:paraId="629C421B">
            <w:pPr>
              <w:spacing w:line="360" w:lineRule="auto"/>
              <w:jc w:val="left"/>
              <w:rPr>
                <w:rFonts w:hint="eastAsia" w:ascii="宋体" w:hAnsi="宋体" w:cs="宋体"/>
                <w:sz w:val="24"/>
                <w:szCs w:val="28"/>
              </w:rPr>
            </w:pPr>
            <w:r>
              <w:rPr>
                <w:rFonts w:hint="eastAsia" w:ascii="宋体" w:hAnsi="宋体" w:cs="宋体"/>
                <w:sz w:val="24"/>
                <w:szCs w:val="28"/>
              </w:rPr>
              <w:t>1）《竞价响应表》应按要求填写完整，不得留空。</w:t>
            </w:r>
          </w:p>
          <w:p w14:paraId="1FA0F36E">
            <w:pPr>
              <w:spacing w:line="360" w:lineRule="auto"/>
              <w:jc w:val="left"/>
              <w:rPr>
                <w:rFonts w:hint="eastAsia" w:ascii="宋体" w:hAnsi="宋体" w:cs="宋体"/>
                <w:sz w:val="24"/>
                <w:szCs w:val="28"/>
              </w:rPr>
            </w:pPr>
            <w:r>
              <w:rPr>
                <w:rFonts w:hint="eastAsia" w:ascii="宋体" w:hAnsi="宋体" w:cs="宋体"/>
                <w:sz w:val="24"/>
                <w:szCs w:val="28"/>
              </w:rPr>
              <w:t>2）响应情况分为：①完全响应（正偏离）、②完全响应（无偏离）及③部分响应（负偏离）三类，供应商必须根据竞标实际情况填写响应情况并对表格每一页加盖单位公章。</w:t>
            </w:r>
          </w:p>
          <w:p w14:paraId="7CA792D5">
            <w:pPr>
              <w:spacing w:line="360" w:lineRule="auto"/>
              <w:jc w:val="left"/>
              <w:rPr>
                <w:rFonts w:hint="eastAsia" w:ascii="宋体" w:hAnsi="宋体" w:cs="宋体"/>
                <w:sz w:val="24"/>
                <w:szCs w:val="28"/>
              </w:rPr>
            </w:pPr>
            <w:r>
              <w:rPr>
                <w:rFonts w:hint="eastAsia" w:ascii="宋体" w:hAnsi="宋体" w:cs="宋体"/>
                <w:sz w:val="24"/>
                <w:szCs w:val="28"/>
              </w:rPr>
              <w:t>3）若属于①完全响应（正偏离）或③部分响应（负偏离）的，则必须响应情况列内写明具体偏离情况。</w:t>
            </w:r>
          </w:p>
          <w:p w14:paraId="43B8E758">
            <w:pPr>
              <w:spacing w:line="360" w:lineRule="auto"/>
              <w:jc w:val="left"/>
              <w:rPr>
                <w:rFonts w:hint="eastAsia" w:ascii="宋体" w:hAnsi="宋体" w:cs="宋体"/>
              </w:rPr>
            </w:pPr>
            <w:r>
              <w:rPr>
                <w:rFonts w:hint="eastAsia" w:ascii="宋体" w:hAnsi="宋体" w:cs="宋体"/>
                <w:sz w:val="24"/>
                <w:szCs w:val="28"/>
              </w:rPr>
              <w:t>4）未按上述要求填报《竞价响应表》并按采购文件要求在竞价时提供的，视为无效竞标。</w:t>
            </w:r>
          </w:p>
        </w:tc>
      </w:tr>
      <w:tr w14:paraId="68D7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 w:type="pct"/>
            <w:vAlign w:val="center"/>
          </w:tcPr>
          <w:p w14:paraId="5A47A881">
            <w:pPr>
              <w:spacing w:line="480" w:lineRule="auto"/>
              <w:jc w:val="center"/>
              <w:rPr>
                <w:rFonts w:hint="eastAsia" w:ascii="宋体" w:hAnsi="宋体" w:cs="宋体"/>
                <w:sz w:val="24"/>
                <w:szCs w:val="24"/>
              </w:rPr>
            </w:pPr>
            <w:r>
              <w:rPr>
                <w:rFonts w:hint="eastAsia" w:ascii="宋体" w:hAnsi="宋体" w:cs="宋体"/>
                <w:sz w:val="24"/>
                <w:szCs w:val="24"/>
              </w:rPr>
              <w:t>项号</w:t>
            </w:r>
          </w:p>
        </w:tc>
        <w:tc>
          <w:tcPr>
            <w:tcW w:w="688" w:type="pct"/>
            <w:vAlign w:val="center"/>
          </w:tcPr>
          <w:p w14:paraId="0A1852E1">
            <w:pPr>
              <w:spacing w:line="480" w:lineRule="auto"/>
              <w:jc w:val="center"/>
              <w:rPr>
                <w:rFonts w:hint="eastAsia" w:ascii="宋体" w:hAnsi="宋体" w:cs="宋体"/>
                <w:sz w:val="24"/>
                <w:szCs w:val="24"/>
              </w:rPr>
            </w:pPr>
            <w:r>
              <w:rPr>
                <w:rFonts w:hint="eastAsia" w:ascii="宋体" w:hAnsi="宋体" w:cs="宋体"/>
                <w:sz w:val="24"/>
                <w:szCs w:val="24"/>
              </w:rPr>
              <w:t>产品名称、品牌型号</w:t>
            </w:r>
          </w:p>
        </w:tc>
        <w:tc>
          <w:tcPr>
            <w:tcW w:w="601" w:type="pct"/>
            <w:vAlign w:val="center"/>
          </w:tcPr>
          <w:p w14:paraId="6230386F">
            <w:pPr>
              <w:spacing w:line="480" w:lineRule="auto"/>
              <w:jc w:val="center"/>
              <w:rPr>
                <w:rFonts w:hint="eastAsia" w:ascii="宋体" w:hAnsi="宋体" w:cs="宋体"/>
                <w:sz w:val="24"/>
                <w:szCs w:val="24"/>
              </w:rPr>
            </w:pPr>
            <w:r>
              <w:rPr>
                <w:rFonts w:hint="eastAsia" w:ascii="宋体" w:hAnsi="宋体" w:cs="宋体"/>
                <w:sz w:val="24"/>
                <w:szCs w:val="24"/>
              </w:rPr>
              <w:t>数量</w:t>
            </w:r>
          </w:p>
        </w:tc>
        <w:tc>
          <w:tcPr>
            <w:tcW w:w="2885" w:type="pct"/>
            <w:vAlign w:val="center"/>
          </w:tcPr>
          <w:p w14:paraId="6EF1EB17">
            <w:pPr>
              <w:spacing w:line="480" w:lineRule="auto"/>
              <w:jc w:val="center"/>
              <w:rPr>
                <w:rFonts w:hint="eastAsia" w:ascii="宋体" w:hAnsi="宋体" w:cs="宋体"/>
                <w:sz w:val="24"/>
                <w:szCs w:val="24"/>
              </w:rPr>
            </w:pPr>
            <w:r>
              <w:rPr>
                <w:rFonts w:hint="eastAsia" w:ascii="宋体" w:hAnsi="宋体" w:cs="宋体"/>
                <w:sz w:val="24"/>
                <w:szCs w:val="24"/>
              </w:rPr>
              <w:t>技术参数及性能配置要求具体响应</w:t>
            </w:r>
          </w:p>
        </w:tc>
        <w:tc>
          <w:tcPr>
            <w:tcW w:w="649" w:type="pct"/>
            <w:vAlign w:val="center"/>
          </w:tcPr>
          <w:p w14:paraId="51D4B95B">
            <w:pPr>
              <w:spacing w:line="480" w:lineRule="auto"/>
              <w:jc w:val="center"/>
              <w:rPr>
                <w:rFonts w:hint="eastAsia" w:ascii="宋体" w:hAnsi="宋体" w:cs="宋体"/>
                <w:sz w:val="24"/>
                <w:szCs w:val="24"/>
              </w:rPr>
            </w:pPr>
            <w:r>
              <w:rPr>
                <w:rFonts w:hint="eastAsia" w:ascii="宋体" w:hAnsi="宋体" w:cs="宋体"/>
                <w:sz w:val="24"/>
                <w:szCs w:val="24"/>
              </w:rPr>
              <w:t>响应情况</w:t>
            </w:r>
          </w:p>
        </w:tc>
      </w:tr>
      <w:tr w14:paraId="36C9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76" w:type="pct"/>
            <w:vAlign w:val="center"/>
          </w:tcPr>
          <w:p w14:paraId="367D0E78">
            <w:pPr>
              <w:jc w:val="center"/>
              <w:rPr>
                <w:rFonts w:hint="eastAsia" w:ascii="宋体" w:hAnsi="宋体" w:cs="宋体"/>
                <w:sz w:val="24"/>
                <w:szCs w:val="24"/>
              </w:rPr>
            </w:pPr>
            <w:r>
              <w:rPr>
                <w:rFonts w:hint="eastAsia" w:ascii="宋体" w:hAnsi="宋体" w:cs="宋体"/>
                <w:szCs w:val="21"/>
              </w:rPr>
              <w:t>1</w:t>
            </w:r>
          </w:p>
        </w:tc>
        <w:tc>
          <w:tcPr>
            <w:tcW w:w="688" w:type="pct"/>
            <w:vAlign w:val="center"/>
          </w:tcPr>
          <w:p w14:paraId="76A0D9E6">
            <w:pPr>
              <w:spacing w:line="480" w:lineRule="auto"/>
              <w:jc w:val="center"/>
              <w:rPr>
                <w:rFonts w:hint="eastAsia" w:ascii="宋体" w:hAnsi="宋体" w:cs="宋体"/>
                <w:sz w:val="24"/>
                <w:szCs w:val="28"/>
              </w:rPr>
            </w:pPr>
          </w:p>
        </w:tc>
        <w:tc>
          <w:tcPr>
            <w:tcW w:w="601" w:type="pct"/>
            <w:vAlign w:val="center"/>
          </w:tcPr>
          <w:p w14:paraId="13D43143">
            <w:pPr>
              <w:spacing w:line="480" w:lineRule="auto"/>
              <w:jc w:val="center"/>
              <w:rPr>
                <w:rFonts w:hint="eastAsia" w:ascii="宋体" w:hAnsi="宋体" w:cs="宋体"/>
                <w:sz w:val="24"/>
                <w:szCs w:val="28"/>
              </w:rPr>
            </w:pPr>
            <w:r>
              <w:rPr>
                <w:rFonts w:hint="eastAsia" w:ascii="宋体" w:hAnsi="宋体" w:cs="宋体"/>
                <w:sz w:val="24"/>
                <w:szCs w:val="28"/>
              </w:rPr>
              <w:t xml:space="preserve"> </w:t>
            </w:r>
          </w:p>
        </w:tc>
        <w:tc>
          <w:tcPr>
            <w:tcW w:w="2885" w:type="pct"/>
          </w:tcPr>
          <w:p w14:paraId="4E728F9C">
            <w:pPr>
              <w:spacing w:line="480" w:lineRule="auto"/>
              <w:jc w:val="left"/>
              <w:rPr>
                <w:rFonts w:hint="eastAsia" w:ascii="宋体" w:hAnsi="宋体" w:cs="宋体"/>
                <w:sz w:val="24"/>
                <w:szCs w:val="24"/>
              </w:rPr>
            </w:pPr>
          </w:p>
        </w:tc>
        <w:tc>
          <w:tcPr>
            <w:tcW w:w="649" w:type="pct"/>
            <w:vAlign w:val="center"/>
          </w:tcPr>
          <w:p w14:paraId="1BFC3D53">
            <w:pPr>
              <w:widowControl/>
              <w:spacing w:line="480" w:lineRule="auto"/>
              <w:jc w:val="left"/>
              <w:textAlignment w:val="center"/>
              <w:rPr>
                <w:rFonts w:hint="eastAsia" w:ascii="宋体" w:hAnsi="宋体" w:cs="宋体"/>
                <w:sz w:val="24"/>
                <w:szCs w:val="24"/>
              </w:rPr>
            </w:pPr>
          </w:p>
        </w:tc>
      </w:tr>
      <w:tr w14:paraId="1216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76" w:type="pct"/>
            <w:vAlign w:val="center"/>
          </w:tcPr>
          <w:p w14:paraId="643446A8">
            <w:pPr>
              <w:jc w:val="center"/>
              <w:rPr>
                <w:rFonts w:hint="eastAsia" w:ascii="宋体" w:hAnsi="宋体" w:cs="宋体"/>
                <w:szCs w:val="21"/>
              </w:rPr>
            </w:pPr>
            <w:r>
              <w:rPr>
                <w:rFonts w:hint="eastAsia" w:ascii="宋体" w:hAnsi="宋体" w:cs="宋体"/>
                <w:szCs w:val="21"/>
              </w:rPr>
              <w:t>2</w:t>
            </w:r>
          </w:p>
        </w:tc>
        <w:tc>
          <w:tcPr>
            <w:tcW w:w="688" w:type="pct"/>
            <w:vAlign w:val="center"/>
          </w:tcPr>
          <w:p w14:paraId="448791F1">
            <w:pPr>
              <w:spacing w:line="480" w:lineRule="auto"/>
              <w:jc w:val="center"/>
              <w:rPr>
                <w:rFonts w:hint="eastAsia" w:ascii="宋体" w:hAnsi="宋体" w:cs="宋体"/>
                <w:sz w:val="24"/>
                <w:szCs w:val="28"/>
              </w:rPr>
            </w:pPr>
          </w:p>
        </w:tc>
        <w:tc>
          <w:tcPr>
            <w:tcW w:w="601" w:type="pct"/>
            <w:vAlign w:val="center"/>
          </w:tcPr>
          <w:p w14:paraId="1FF6AE82">
            <w:pPr>
              <w:spacing w:line="480" w:lineRule="auto"/>
              <w:jc w:val="center"/>
              <w:rPr>
                <w:rFonts w:hint="eastAsia" w:ascii="宋体" w:hAnsi="宋体" w:cs="宋体"/>
                <w:sz w:val="24"/>
                <w:szCs w:val="28"/>
              </w:rPr>
            </w:pPr>
          </w:p>
        </w:tc>
        <w:tc>
          <w:tcPr>
            <w:tcW w:w="2885" w:type="pct"/>
          </w:tcPr>
          <w:p w14:paraId="5591708A">
            <w:pPr>
              <w:spacing w:line="480" w:lineRule="auto"/>
              <w:jc w:val="left"/>
              <w:rPr>
                <w:rFonts w:hint="eastAsia" w:ascii="宋体" w:hAnsi="宋体" w:cs="宋体"/>
                <w:sz w:val="24"/>
                <w:szCs w:val="24"/>
              </w:rPr>
            </w:pPr>
          </w:p>
        </w:tc>
        <w:tc>
          <w:tcPr>
            <w:tcW w:w="649" w:type="pct"/>
            <w:vAlign w:val="center"/>
          </w:tcPr>
          <w:p w14:paraId="47974AA1">
            <w:pPr>
              <w:widowControl/>
              <w:spacing w:line="480" w:lineRule="auto"/>
              <w:jc w:val="left"/>
              <w:textAlignment w:val="center"/>
              <w:rPr>
                <w:rFonts w:hint="eastAsia" w:ascii="宋体" w:hAnsi="宋体" w:cs="宋体"/>
                <w:sz w:val="24"/>
                <w:szCs w:val="24"/>
              </w:rPr>
            </w:pPr>
          </w:p>
        </w:tc>
      </w:tr>
      <w:tr w14:paraId="305F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5000" w:type="pct"/>
            <w:gridSpan w:val="5"/>
            <w:vAlign w:val="center"/>
          </w:tcPr>
          <w:p w14:paraId="6350DDF3">
            <w:pPr>
              <w:widowControl/>
              <w:spacing w:line="480" w:lineRule="auto"/>
              <w:jc w:val="left"/>
              <w:textAlignment w:val="center"/>
              <w:rPr>
                <w:rFonts w:hint="eastAsia" w:ascii="宋体" w:hAnsi="宋体" w:cs="宋体"/>
                <w:sz w:val="24"/>
                <w:szCs w:val="24"/>
              </w:rPr>
            </w:pPr>
          </w:p>
        </w:tc>
      </w:tr>
    </w:tbl>
    <w:p w14:paraId="612AB63A">
      <w:pPr>
        <w:rPr>
          <w:rFonts w:hint="eastAsia" w:ascii="宋体" w:hAnsi="宋体" w:cs="宋体"/>
        </w:rPr>
      </w:pPr>
    </w:p>
    <w:sectPr>
      <w:footerReference r:id="rId3" w:type="default"/>
      <w:pgSz w:w="11906" w:h="16838"/>
      <w:pgMar w:top="720" w:right="720" w:bottom="720" w:left="72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sz w:val="21"/>
        <w:szCs w:val="21"/>
      </w:rPr>
      <w:id w:val="1876422653"/>
    </w:sdtPr>
    <w:sdtEndPr>
      <w:rPr>
        <w:rFonts w:hint="eastAsia" w:ascii="宋体" w:hAnsi="宋体" w:cs="宋体"/>
        <w:sz w:val="21"/>
        <w:szCs w:val="21"/>
      </w:rPr>
    </w:sdtEndPr>
    <w:sdtContent>
      <w:sdt>
        <w:sdtPr>
          <w:rPr>
            <w:rFonts w:hint="eastAsia" w:ascii="宋体" w:hAnsi="宋体" w:cs="宋体"/>
            <w:sz w:val="21"/>
            <w:szCs w:val="21"/>
          </w:rPr>
          <w:id w:val="680238593"/>
        </w:sdtPr>
        <w:sdtEndPr>
          <w:rPr>
            <w:rFonts w:hint="eastAsia" w:ascii="宋体" w:hAnsi="宋体" w:cs="宋体"/>
            <w:sz w:val="21"/>
            <w:szCs w:val="21"/>
          </w:rPr>
        </w:sdtEndPr>
        <w:sdtContent>
          <w:p w14:paraId="326ACD84">
            <w:pPr>
              <w:pStyle w:val="11"/>
              <w:jc w:val="center"/>
            </w:pPr>
            <w:r>
              <w:rPr>
                <w:rFonts w:hint="eastAsia" w:ascii="宋体" w:hAnsi="宋体" w:cs="宋体"/>
                <w:sz w:val="21"/>
                <w:szCs w:val="21"/>
                <w:lang w:val="zh-CN"/>
              </w:rPr>
              <w:t xml:space="preserve"> </w:t>
            </w:r>
            <w:r>
              <w:rPr>
                <w:rFonts w:hint="eastAsia" w:ascii="宋体" w:hAnsi="宋体" w:cs="宋体"/>
                <w:b/>
                <w:bCs/>
                <w:sz w:val="32"/>
                <w:szCs w:val="32"/>
              </w:rPr>
              <w:fldChar w:fldCharType="begin"/>
            </w:r>
            <w:r>
              <w:rPr>
                <w:rFonts w:hint="eastAsia" w:ascii="宋体" w:hAnsi="宋体" w:cs="宋体"/>
                <w:b/>
                <w:bCs/>
                <w:sz w:val="21"/>
                <w:szCs w:val="21"/>
              </w:rPr>
              <w:instrText xml:space="preserve">PAGE</w:instrText>
            </w:r>
            <w:r>
              <w:rPr>
                <w:rFonts w:hint="eastAsia" w:ascii="宋体" w:hAnsi="宋体" w:cs="宋体"/>
                <w:b/>
                <w:bCs/>
                <w:sz w:val="32"/>
                <w:szCs w:val="32"/>
              </w:rPr>
              <w:fldChar w:fldCharType="separate"/>
            </w:r>
            <w:r>
              <w:rPr>
                <w:rFonts w:ascii="宋体" w:hAnsi="宋体" w:cs="宋体"/>
                <w:b/>
                <w:bCs/>
                <w:sz w:val="21"/>
                <w:szCs w:val="21"/>
              </w:rPr>
              <w:t>9</w:t>
            </w:r>
            <w:r>
              <w:rPr>
                <w:rFonts w:hint="eastAsia" w:ascii="宋体" w:hAnsi="宋体" w:cs="宋体"/>
                <w:b/>
                <w:bCs/>
                <w:sz w:val="32"/>
                <w:szCs w:val="32"/>
              </w:rPr>
              <w:fldChar w:fldCharType="end"/>
            </w:r>
            <w:r>
              <w:rPr>
                <w:rFonts w:hint="eastAsia" w:ascii="宋体" w:hAnsi="宋体" w:cs="宋体"/>
                <w:sz w:val="21"/>
                <w:szCs w:val="21"/>
                <w:lang w:val="zh-CN"/>
              </w:rPr>
              <w:t xml:space="preserve"> / </w:t>
            </w:r>
            <w:r>
              <w:rPr>
                <w:rFonts w:hint="eastAsia" w:ascii="宋体" w:hAnsi="宋体" w:cs="宋体"/>
                <w:b/>
                <w:bCs/>
                <w:sz w:val="32"/>
                <w:szCs w:val="32"/>
              </w:rPr>
              <w:fldChar w:fldCharType="begin"/>
            </w:r>
            <w:r>
              <w:rPr>
                <w:rFonts w:hint="eastAsia" w:ascii="宋体" w:hAnsi="宋体" w:cs="宋体"/>
                <w:b/>
                <w:bCs/>
                <w:sz w:val="21"/>
                <w:szCs w:val="21"/>
              </w:rPr>
              <w:instrText xml:space="preserve">NUMPAGES</w:instrText>
            </w:r>
            <w:r>
              <w:rPr>
                <w:rFonts w:hint="eastAsia" w:ascii="宋体" w:hAnsi="宋体" w:cs="宋体"/>
                <w:b/>
                <w:bCs/>
                <w:sz w:val="32"/>
                <w:szCs w:val="32"/>
              </w:rPr>
              <w:fldChar w:fldCharType="separate"/>
            </w:r>
            <w:r>
              <w:rPr>
                <w:rFonts w:ascii="宋体" w:hAnsi="宋体" w:cs="宋体"/>
                <w:b/>
                <w:bCs/>
                <w:sz w:val="21"/>
                <w:szCs w:val="21"/>
              </w:rPr>
              <w:t>13</w:t>
            </w:r>
            <w:r>
              <w:rPr>
                <w:rFonts w:hint="eastAsia" w:ascii="宋体" w:hAnsi="宋体" w:cs="宋体"/>
                <w:b/>
                <w:bCs/>
                <w:sz w:val="32"/>
                <w:szCs w:val="32"/>
              </w:rPr>
              <w:fldChar w:fldCharType="end"/>
            </w:r>
          </w:p>
        </w:sdtContent>
      </w:sdt>
    </w:sdtContent>
  </w:sdt>
  <w:p w14:paraId="465AFF8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0C86"/>
    <w:multiLevelType w:val="multilevel"/>
    <w:tmpl w:val="38240C8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CBFDDE"/>
    <w:multiLevelType w:val="singleLevel"/>
    <w:tmpl w:val="66CBFD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NGUzMDQ2ZGVhYmFkNWU1ZmY2NjA3OTRhNGZlNDQifQ=="/>
  </w:docVars>
  <w:rsids>
    <w:rsidRoot w:val="00954254"/>
    <w:rsid w:val="0002394F"/>
    <w:rsid w:val="000330C6"/>
    <w:rsid w:val="000522AA"/>
    <w:rsid w:val="00056EAD"/>
    <w:rsid w:val="00060431"/>
    <w:rsid w:val="00092596"/>
    <w:rsid w:val="000A23B0"/>
    <w:rsid w:val="000B0BC6"/>
    <w:rsid w:val="000B2309"/>
    <w:rsid w:val="000B263A"/>
    <w:rsid w:val="000C4563"/>
    <w:rsid w:val="000C4F3D"/>
    <w:rsid w:val="000D3133"/>
    <w:rsid w:val="000F6372"/>
    <w:rsid w:val="0013514F"/>
    <w:rsid w:val="00143840"/>
    <w:rsid w:val="001450EE"/>
    <w:rsid w:val="00151395"/>
    <w:rsid w:val="00152064"/>
    <w:rsid w:val="00171FA2"/>
    <w:rsid w:val="001724E8"/>
    <w:rsid w:val="001732C0"/>
    <w:rsid w:val="001A5639"/>
    <w:rsid w:val="001B4111"/>
    <w:rsid w:val="001B433D"/>
    <w:rsid w:val="001B5CEE"/>
    <w:rsid w:val="001C6FB5"/>
    <w:rsid w:val="001D27CC"/>
    <w:rsid w:val="001E7E01"/>
    <w:rsid w:val="00202E4C"/>
    <w:rsid w:val="002125B1"/>
    <w:rsid w:val="00220D92"/>
    <w:rsid w:val="0022240E"/>
    <w:rsid w:val="00227DDF"/>
    <w:rsid w:val="002447BD"/>
    <w:rsid w:val="0024637B"/>
    <w:rsid w:val="002519E2"/>
    <w:rsid w:val="002879F5"/>
    <w:rsid w:val="00290A0E"/>
    <w:rsid w:val="002C36F8"/>
    <w:rsid w:val="002D0632"/>
    <w:rsid w:val="002F3A3F"/>
    <w:rsid w:val="003055A9"/>
    <w:rsid w:val="003122D0"/>
    <w:rsid w:val="00331248"/>
    <w:rsid w:val="00335C74"/>
    <w:rsid w:val="00350511"/>
    <w:rsid w:val="0035315E"/>
    <w:rsid w:val="00353823"/>
    <w:rsid w:val="00354CBB"/>
    <w:rsid w:val="003612F1"/>
    <w:rsid w:val="00364DD1"/>
    <w:rsid w:val="003655E6"/>
    <w:rsid w:val="00370895"/>
    <w:rsid w:val="00375353"/>
    <w:rsid w:val="00377C87"/>
    <w:rsid w:val="003A2EDD"/>
    <w:rsid w:val="003B3DB0"/>
    <w:rsid w:val="003B76EE"/>
    <w:rsid w:val="003C341A"/>
    <w:rsid w:val="003C5580"/>
    <w:rsid w:val="00401439"/>
    <w:rsid w:val="004029E5"/>
    <w:rsid w:val="00402E14"/>
    <w:rsid w:val="00407172"/>
    <w:rsid w:val="004220D4"/>
    <w:rsid w:val="00431A01"/>
    <w:rsid w:val="00465CCD"/>
    <w:rsid w:val="00481C4E"/>
    <w:rsid w:val="00486151"/>
    <w:rsid w:val="004A33B3"/>
    <w:rsid w:val="004D2F80"/>
    <w:rsid w:val="004F1054"/>
    <w:rsid w:val="004F73A7"/>
    <w:rsid w:val="005136C3"/>
    <w:rsid w:val="005205B9"/>
    <w:rsid w:val="00524C8A"/>
    <w:rsid w:val="00531180"/>
    <w:rsid w:val="005439CE"/>
    <w:rsid w:val="00551FAD"/>
    <w:rsid w:val="00572ABF"/>
    <w:rsid w:val="005751D8"/>
    <w:rsid w:val="00582AF4"/>
    <w:rsid w:val="00597B69"/>
    <w:rsid w:val="005A3ED2"/>
    <w:rsid w:val="005B083D"/>
    <w:rsid w:val="005B5AE0"/>
    <w:rsid w:val="005C0014"/>
    <w:rsid w:val="005C63ED"/>
    <w:rsid w:val="0061184F"/>
    <w:rsid w:val="006162FB"/>
    <w:rsid w:val="00653996"/>
    <w:rsid w:val="00665DB5"/>
    <w:rsid w:val="00670122"/>
    <w:rsid w:val="006974E9"/>
    <w:rsid w:val="00697E41"/>
    <w:rsid w:val="006A29F5"/>
    <w:rsid w:val="006C1B20"/>
    <w:rsid w:val="006D15AA"/>
    <w:rsid w:val="006D5C24"/>
    <w:rsid w:val="006F4233"/>
    <w:rsid w:val="006F74A3"/>
    <w:rsid w:val="006F775A"/>
    <w:rsid w:val="0070781B"/>
    <w:rsid w:val="00707995"/>
    <w:rsid w:val="0072451D"/>
    <w:rsid w:val="00737F97"/>
    <w:rsid w:val="007447F3"/>
    <w:rsid w:val="0076252E"/>
    <w:rsid w:val="00795B02"/>
    <w:rsid w:val="007A0DF5"/>
    <w:rsid w:val="007A4976"/>
    <w:rsid w:val="007B4FC7"/>
    <w:rsid w:val="007C0133"/>
    <w:rsid w:val="007C4AE0"/>
    <w:rsid w:val="007D11BB"/>
    <w:rsid w:val="007D25F7"/>
    <w:rsid w:val="007D345A"/>
    <w:rsid w:val="007D462E"/>
    <w:rsid w:val="007E046F"/>
    <w:rsid w:val="007E3DB5"/>
    <w:rsid w:val="0081270A"/>
    <w:rsid w:val="0084152C"/>
    <w:rsid w:val="00862AC2"/>
    <w:rsid w:val="00892B89"/>
    <w:rsid w:val="008D31C6"/>
    <w:rsid w:val="008D7728"/>
    <w:rsid w:val="008E4874"/>
    <w:rsid w:val="008E709F"/>
    <w:rsid w:val="0090464C"/>
    <w:rsid w:val="00913FDA"/>
    <w:rsid w:val="009223D8"/>
    <w:rsid w:val="00934488"/>
    <w:rsid w:val="00941DEA"/>
    <w:rsid w:val="00954254"/>
    <w:rsid w:val="00981688"/>
    <w:rsid w:val="009A4CBF"/>
    <w:rsid w:val="009B3DBA"/>
    <w:rsid w:val="009C4371"/>
    <w:rsid w:val="00A15CA1"/>
    <w:rsid w:val="00A21930"/>
    <w:rsid w:val="00A5493A"/>
    <w:rsid w:val="00A5538D"/>
    <w:rsid w:val="00A668CA"/>
    <w:rsid w:val="00A66A52"/>
    <w:rsid w:val="00A912C7"/>
    <w:rsid w:val="00A93F56"/>
    <w:rsid w:val="00A97B92"/>
    <w:rsid w:val="00A97FE1"/>
    <w:rsid w:val="00AA6605"/>
    <w:rsid w:val="00AB22FE"/>
    <w:rsid w:val="00AB2F3A"/>
    <w:rsid w:val="00AD5EF4"/>
    <w:rsid w:val="00AF0961"/>
    <w:rsid w:val="00AF26AD"/>
    <w:rsid w:val="00B05047"/>
    <w:rsid w:val="00B1365E"/>
    <w:rsid w:val="00B40B1B"/>
    <w:rsid w:val="00B46032"/>
    <w:rsid w:val="00B728C5"/>
    <w:rsid w:val="00B748B2"/>
    <w:rsid w:val="00B77D99"/>
    <w:rsid w:val="00B8101F"/>
    <w:rsid w:val="00B815E2"/>
    <w:rsid w:val="00B96082"/>
    <w:rsid w:val="00BD05C2"/>
    <w:rsid w:val="00BE1A14"/>
    <w:rsid w:val="00BE1A80"/>
    <w:rsid w:val="00BF271E"/>
    <w:rsid w:val="00BF38B4"/>
    <w:rsid w:val="00BF79BB"/>
    <w:rsid w:val="00C0314F"/>
    <w:rsid w:val="00C11345"/>
    <w:rsid w:val="00C4090B"/>
    <w:rsid w:val="00C40AC8"/>
    <w:rsid w:val="00C44511"/>
    <w:rsid w:val="00C44616"/>
    <w:rsid w:val="00C71BED"/>
    <w:rsid w:val="00C74BBD"/>
    <w:rsid w:val="00CA4C80"/>
    <w:rsid w:val="00CB5B50"/>
    <w:rsid w:val="00CB6CCB"/>
    <w:rsid w:val="00CD494B"/>
    <w:rsid w:val="00CD6EA9"/>
    <w:rsid w:val="00D246B8"/>
    <w:rsid w:val="00D324C0"/>
    <w:rsid w:val="00D3335E"/>
    <w:rsid w:val="00D60DF0"/>
    <w:rsid w:val="00D703EF"/>
    <w:rsid w:val="00D72540"/>
    <w:rsid w:val="00D873F5"/>
    <w:rsid w:val="00D97456"/>
    <w:rsid w:val="00DB572B"/>
    <w:rsid w:val="00DC74C6"/>
    <w:rsid w:val="00DD240C"/>
    <w:rsid w:val="00DD4FC5"/>
    <w:rsid w:val="00DD71B2"/>
    <w:rsid w:val="00DE7545"/>
    <w:rsid w:val="00DF1F17"/>
    <w:rsid w:val="00DF5FEF"/>
    <w:rsid w:val="00E0793E"/>
    <w:rsid w:val="00E36055"/>
    <w:rsid w:val="00E36556"/>
    <w:rsid w:val="00E46B42"/>
    <w:rsid w:val="00E57A1E"/>
    <w:rsid w:val="00E6315E"/>
    <w:rsid w:val="00E63169"/>
    <w:rsid w:val="00E64D3A"/>
    <w:rsid w:val="00E6537C"/>
    <w:rsid w:val="00E75D53"/>
    <w:rsid w:val="00E82F0F"/>
    <w:rsid w:val="00EB25B4"/>
    <w:rsid w:val="00EB6FE9"/>
    <w:rsid w:val="00EC1C99"/>
    <w:rsid w:val="00EC6662"/>
    <w:rsid w:val="00EE5B71"/>
    <w:rsid w:val="00F00C3C"/>
    <w:rsid w:val="00F017B1"/>
    <w:rsid w:val="00F03260"/>
    <w:rsid w:val="00F3724F"/>
    <w:rsid w:val="00F444AB"/>
    <w:rsid w:val="00F8465B"/>
    <w:rsid w:val="00F91DE6"/>
    <w:rsid w:val="00FA412C"/>
    <w:rsid w:val="00FA41EB"/>
    <w:rsid w:val="00FA774C"/>
    <w:rsid w:val="00FE3BD1"/>
    <w:rsid w:val="00FE7BA6"/>
    <w:rsid w:val="00FF19A6"/>
    <w:rsid w:val="038A3DB2"/>
    <w:rsid w:val="03CF6398"/>
    <w:rsid w:val="057F550E"/>
    <w:rsid w:val="07151BB6"/>
    <w:rsid w:val="0B7E3D58"/>
    <w:rsid w:val="0B953250"/>
    <w:rsid w:val="0DB9612E"/>
    <w:rsid w:val="0F365C66"/>
    <w:rsid w:val="0F8B17DA"/>
    <w:rsid w:val="0FFD6D26"/>
    <w:rsid w:val="103E13EF"/>
    <w:rsid w:val="128645DC"/>
    <w:rsid w:val="14CB0FDB"/>
    <w:rsid w:val="183E76F7"/>
    <w:rsid w:val="187C0FC8"/>
    <w:rsid w:val="1B362654"/>
    <w:rsid w:val="1C076BD6"/>
    <w:rsid w:val="1F6B09F5"/>
    <w:rsid w:val="21002DB3"/>
    <w:rsid w:val="21773899"/>
    <w:rsid w:val="22ED55D2"/>
    <w:rsid w:val="234565C3"/>
    <w:rsid w:val="25994F24"/>
    <w:rsid w:val="25C63370"/>
    <w:rsid w:val="27734537"/>
    <w:rsid w:val="27837DE7"/>
    <w:rsid w:val="27E45419"/>
    <w:rsid w:val="28C10586"/>
    <w:rsid w:val="2945771C"/>
    <w:rsid w:val="2B2F01E6"/>
    <w:rsid w:val="334761E7"/>
    <w:rsid w:val="335951FB"/>
    <w:rsid w:val="34957CBF"/>
    <w:rsid w:val="34C27E5A"/>
    <w:rsid w:val="396A27C0"/>
    <w:rsid w:val="3A062607"/>
    <w:rsid w:val="3DD10209"/>
    <w:rsid w:val="3EE85942"/>
    <w:rsid w:val="45630C4A"/>
    <w:rsid w:val="47E0326A"/>
    <w:rsid w:val="493E42BA"/>
    <w:rsid w:val="499A108F"/>
    <w:rsid w:val="4BF844D4"/>
    <w:rsid w:val="4D4C0CB9"/>
    <w:rsid w:val="515D0F8A"/>
    <w:rsid w:val="54B9794F"/>
    <w:rsid w:val="55740711"/>
    <w:rsid w:val="55F83AEC"/>
    <w:rsid w:val="5849666B"/>
    <w:rsid w:val="597D050C"/>
    <w:rsid w:val="597E0936"/>
    <w:rsid w:val="59FB6C39"/>
    <w:rsid w:val="5DE12FF0"/>
    <w:rsid w:val="5EB4205F"/>
    <w:rsid w:val="5EC21376"/>
    <w:rsid w:val="621B6B3C"/>
    <w:rsid w:val="621D7965"/>
    <w:rsid w:val="6A967B01"/>
    <w:rsid w:val="6B6660E9"/>
    <w:rsid w:val="6D0C3A39"/>
    <w:rsid w:val="6D620771"/>
    <w:rsid w:val="6DCD48A2"/>
    <w:rsid w:val="702154C6"/>
    <w:rsid w:val="705E5813"/>
    <w:rsid w:val="73196529"/>
    <w:rsid w:val="7A1F51BA"/>
    <w:rsid w:val="7C983161"/>
    <w:rsid w:val="7E02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spacing w:line="440" w:lineRule="atLeast"/>
      <w:ind w:firstLine="206"/>
      <w:jc w:val="center"/>
      <w:outlineLvl w:val="0"/>
    </w:pPr>
    <w:rPr>
      <w:b/>
      <w:sz w:val="30"/>
    </w:rPr>
  </w:style>
  <w:style w:type="paragraph" w:styleId="3">
    <w:name w:val="heading 2"/>
    <w:basedOn w:val="1"/>
    <w:next w:val="1"/>
    <w:link w:val="42"/>
    <w:unhideWhenUsed/>
    <w:qFormat/>
    <w:uiPriority w:val="9"/>
    <w:pPr>
      <w:keepNext/>
      <w:keepLines/>
      <w:spacing w:before="260" w:after="260" w:line="413" w:lineRule="auto"/>
      <w:outlineLvl w:val="1"/>
    </w:pPr>
    <w:rPr>
      <w:rFonts w:ascii="Arial" w:hAnsi="Arial" w:eastAsia="黑体"/>
      <w:b/>
      <w:sz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unhideWhenUsed/>
    <w:qFormat/>
    <w:uiPriority w:val="99"/>
    <w:pPr>
      <w:jc w:val="left"/>
    </w:pPr>
  </w:style>
  <w:style w:type="paragraph" w:styleId="5">
    <w:name w:val="Body Text"/>
    <w:basedOn w:val="1"/>
    <w:next w:val="1"/>
    <w:autoRedefine/>
    <w:qFormat/>
    <w:uiPriority w:val="0"/>
    <w:pPr>
      <w:spacing w:after="120"/>
    </w:pPr>
  </w:style>
  <w:style w:type="paragraph" w:styleId="6">
    <w:name w:val="Body Text Indent"/>
    <w:basedOn w:val="1"/>
    <w:next w:val="7"/>
    <w:link w:val="26"/>
    <w:autoRedefine/>
    <w:qFormat/>
    <w:uiPriority w:val="0"/>
    <w:pPr>
      <w:ind w:firstLine="830" w:firstLineChars="352"/>
    </w:pPr>
    <w:rPr>
      <w:rFonts w:ascii="仿宋_GB2312" w:hAnsi="Times New Roman" w:eastAsia="仿宋_GB2312"/>
      <w:sz w:val="32"/>
      <w:szCs w:val="20"/>
    </w:rPr>
  </w:style>
  <w:style w:type="paragraph" w:customStyle="1" w:styleId="7">
    <w:name w:val="Default"/>
    <w:autoRedefine/>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8">
    <w:name w:val="toc 3"/>
    <w:basedOn w:val="1"/>
    <w:next w:val="1"/>
    <w:autoRedefine/>
    <w:unhideWhenUsed/>
    <w:qFormat/>
    <w:uiPriority w:val="39"/>
    <w:pPr>
      <w:ind w:left="840" w:leftChars="400"/>
    </w:pPr>
  </w:style>
  <w:style w:type="paragraph" w:styleId="9">
    <w:name w:val="Body Text Indent 2"/>
    <w:basedOn w:val="1"/>
    <w:autoRedefine/>
    <w:qFormat/>
    <w:uiPriority w:val="0"/>
    <w:pPr>
      <w:spacing w:line="300" w:lineRule="auto"/>
      <w:ind w:firstLine="420"/>
    </w:pPr>
  </w:style>
  <w:style w:type="paragraph" w:styleId="10">
    <w:name w:val="Balloon Text"/>
    <w:basedOn w:val="1"/>
    <w:link w:val="31"/>
    <w:autoRedefine/>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snapToGrid w:val="0"/>
      <w:jc w:val="left"/>
    </w:pPr>
    <w:rPr>
      <w:sz w:val="18"/>
      <w:szCs w:val="18"/>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Indent 3"/>
    <w:basedOn w:val="1"/>
    <w:link w:val="34"/>
    <w:autoRedefine/>
    <w:qFormat/>
    <w:uiPriority w:val="99"/>
    <w:pPr>
      <w:spacing w:after="120"/>
      <w:ind w:left="420" w:leftChars="200"/>
    </w:pPr>
    <w:rPr>
      <w:sz w:val="16"/>
      <w:szCs w:val="16"/>
    </w:rPr>
  </w:style>
  <w:style w:type="paragraph" w:styleId="15">
    <w:name w:val="toc 2"/>
    <w:basedOn w:val="1"/>
    <w:next w:val="1"/>
    <w:autoRedefine/>
    <w:unhideWhenUsed/>
    <w:qFormat/>
    <w:uiPriority w:val="39"/>
    <w:pPr>
      <w:ind w:left="420" w:leftChars="200"/>
    </w:pPr>
  </w:style>
  <w:style w:type="paragraph" w:styleId="1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27"/>
    <w:autoRedefine/>
    <w:unhideWhenUsed/>
    <w:qFormat/>
    <w:uiPriority w:val="99"/>
    <w:rPr>
      <w:b/>
      <w:bCs/>
    </w:rPr>
  </w:style>
  <w:style w:type="paragraph" w:styleId="18">
    <w:name w:val="Body Text First Indent"/>
    <w:basedOn w:val="5"/>
    <w:autoRedefine/>
    <w:qFormat/>
    <w:uiPriority w:val="0"/>
    <w:pPr>
      <w:ind w:firstLine="420" w:firstLineChars="100"/>
    </w:pPr>
    <w:rPr>
      <w:rFonts w:ascii="Times New Roman"/>
      <w:szCs w:val="24"/>
    </w:rPr>
  </w:style>
  <w:style w:type="paragraph" w:styleId="19">
    <w:name w:val="Body Text First Indent 2"/>
    <w:basedOn w:val="6"/>
    <w:autoRedefine/>
    <w:qFormat/>
    <w:uiPriority w:val="0"/>
    <w:pPr>
      <w:spacing w:line="360" w:lineRule="auto"/>
      <w:ind w:firstLine="200" w:firstLineChars="200"/>
    </w:pPr>
    <w:rPr>
      <w:rFonts w:ascii="宋体" w:eastAsia="宋体"/>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Hyperlink"/>
    <w:autoRedefine/>
    <w:unhideWhenUsed/>
    <w:qFormat/>
    <w:uiPriority w:val="99"/>
    <w:rPr>
      <w:color w:val="0000FF"/>
      <w:u w:val="single"/>
    </w:rPr>
  </w:style>
  <w:style w:type="character" w:styleId="25">
    <w:name w:val="annotation reference"/>
    <w:autoRedefine/>
    <w:unhideWhenUsed/>
    <w:qFormat/>
    <w:uiPriority w:val="99"/>
    <w:rPr>
      <w:sz w:val="21"/>
      <w:szCs w:val="21"/>
    </w:rPr>
  </w:style>
  <w:style w:type="character" w:customStyle="1" w:styleId="26">
    <w:name w:val="正文文本缩进 字符"/>
    <w:link w:val="6"/>
    <w:autoRedefine/>
    <w:qFormat/>
    <w:uiPriority w:val="0"/>
    <w:rPr>
      <w:rFonts w:ascii="仿宋_GB2312" w:eastAsia="仿宋_GB2312"/>
      <w:kern w:val="2"/>
      <w:sz w:val="32"/>
    </w:rPr>
  </w:style>
  <w:style w:type="character" w:customStyle="1" w:styleId="27">
    <w:name w:val="批注主题 字符"/>
    <w:link w:val="17"/>
    <w:autoRedefine/>
    <w:semiHidden/>
    <w:qFormat/>
    <w:uiPriority w:val="99"/>
    <w:rPr>
      <w:rFonts w:ascii="Calibri" w:hAnsi="Calibri"/>
      <w:b/>
      <w:bCs/>
      <w:kern w:val="2"/>
      <w:sz w:val="21"/>
      <w:szCs w:val="22"/>
    </w:rPr>
  </w:style>
  <w:style w:type="character" w:customStyle="1" w:styleId="28">
    <w:name w:val="页脚 字符"/>
    <w:link w:val="11"/>
    <w:autoRedefine/>
    <w:qFormat/>
    <w:uiPriority w:val="99"/>
    <w:rPr>
      <w:rFonts w:ascii="Calibri" w:hAnsi="Calibri"/>
      <w:kern w:val="2"/>
      <w:sz w:val="18"/>
      <w:szCs w:val="18"/>
    </w:rPr>
  </w:style>
  <w:style w:type="character" w:customStyle="1" w:styleId="29">
    <w:name w:val="页眉 字符"/>
    <w:link w:val="12"/>
    <w:autoRedefine/>
    <w:qFormat/>
    <w:uiPriority w:val="99"/>
    <w:rPr>
      <w:rFonts w:ascii="Calibri" w:hAnsi="Calibri"/>
      <w:kern w:val="2"/>
      <w:sz w:val="18"/>
      <w:szCs w:val="18"/>
    </w:rPr>
  </w:style>
  <w:style w:type="character" w:customStyle="1" w:styleId="30">
    <w:name w:val="批注文字 字符"/>
    <w:link w:val="4"/>
    <w:autoRedefine/>
    <w:qFormat/>
    <w:uiPriority w:val="99"/>
    <w:rPr>
      <w:rFonts w:ascii="Calibri" w:hAnsi="Calibri"/>
      <w:kern w:val="2"/>
      <w:sz w:val="21"/>
      <w:szCs w:val="22"/>
    </w:rPr>
  </w:style>
  <w:style w:type="character" w:customStyle="1" w:styleId="31">
    <w:name w:val="批注框文本 字符"/>
    <w:link w:val="10"/>
    <w:autoRedefine/>
    <w:semiHidden/>
    <w:qFormat/>
    <w:uiPriority w:val="99"/>
    <w:rPr>
      <w:rFonts w:ascii="Calibri" w:hAnsi="Calibri"/>
      <w:kern w:val="2"/>
      <w:sz w:val="18"/>
      <w:szCs w:val="18"/>
    </w:rPr>
  </w:style>
  <w:style w:type="paragraph" w:customStyle="1" w:styleId="32">
    <w:name w:val="detail-info"/>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列出段落1"/>
    <w:basedOn w:val="1"/>
    <w:autoRedefine/>
    <w:qFormat/>
    <w:uiPriority w:val="34"/>
    <w:pPr>
      <w:ind w:firstLine="420" w:firstLineChars="200"/>
    </w:pPr>
  </w:style>
  <w:style w:type="character" w:customStyle="1" w:styleId="34">
    <w:name w:val="正文文本缩进 3 字符"/>
    <w:basedOn w:val="22"/>
    <w:link w:val="14"/>
    <w:autoRedefine/>
    <w:qFormat/>
    <w:uiPriority w:val="99"/>
    <w:rPr>
      <w:rFonts w:ascii="Calibri" w:hAnsi="Calibri"/>
      <w:kern w:val="2"/>
      <w:sz w:val="16"/>
      <w:szCs w:val="16"/>
    </w:rPr>
  </w:style>
  <w:style w:type="character" w:customStyle="1" w:styleId="35">
    <w:name w:val="hps"/>
    <w:basedOn w:val="22"/>
    <w:autoRedefine/>
    <w:qFormat/>
    <w:uiPriority w:val="0"/>
  </w:style>
  <w:style w:type="character" w:customStyle="1" w:styleId="36">
    <w:name w:val="short_text"/>
    <w:basedOn w:val="22"/>
    <w:autoRedefine/>
    <w:qFormat/>
    <w:uiPriority w:val="0"/>
  </w:style>
  <w:style w:type="paragraph" w:customStyle="1" w:styleId="37">
    <w:name w:val="Char1"/>
    <w:basedOn w:val="1"/>
    <w:autoRedefine/>
    <w:qFormat/>
    <w:uiPriority w:val="0"/>
    <w:rPr>
      <w:szCs w:val="21"/>
    </w:rPr>
  </w:style>
  <w:style w:type="character" w:customStyle="1" w:styleId="38">
    <w:name w:val="NormalCharacter"/>
    <w:autoRedefine/>
    <w:semiHidden/>
    <w:qFormat/>
    <w:uiPriority w:val="0"/>
    <w:rPr>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42">
    <w:name w:val="标题 2 字符"/>
    <w:link w:val="3"/>
    <w:autoRedefine/>
    <w:qFormat/>
    <w:uiPriority w:val="0"/>
    <w:rPr>
      <w:rFonts w:ascii="Arial" w:hAnsi="Arial" w:eastAsia="黑体"/>
      <w:b/>
      <w:sz w:val="32"/>
    </w:rPr>
  </w:style>
  <w:style w:type="paragraph" w:styleId="4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3723</Words>
  <Characters>3965</Characters>
  <Lines>30</Lines>
  <Paragraphs>8</Paragraphs>
  <TotalTime>35</TotalTime>
  <ScaleCrop>false</ScaleCrop>
  <LinksUpToDate>false</LinksUpToDate>
  <CharactersWithSpaces>4052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2020-08-25T08:51:00Z</dcterms:created>
  <dc:creator>广西工业职业技术学院</dc:creator>
  <cp:lastModifiedBy>生命之光</cp:lastModifiedBy>
  <dcterms:modified xsi:type="dcterms:W3CDTF">2026-06-15T08:17:48Z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970539CD63654AB38AA4977D0737AB7E_13</vt:lpwstr>
  </property>
  <property fmtid="{D5CDD505-2E9C-101B-9397-08002B2CF9AE}" pid="4" name="KSOTemplateDocerSaveRecord">
    <vt:lpwstr>eyJoZGlkIjoiOGRiMmU2NTdmMmIwOTRlMTBkYWRmM2JmZGFjZTFiNTMiLCJ1c2VySWQiOiI2OTkyNzYzNzgifQ==</vt:lpwstr>
  </property>
</Properties>
</file>