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cstheme="minorEastAsia"/>
          <w:b/>
          <w:bCs/>
          <w:color w:val="auto"/>
          <w:sz w:val="32"/>
          <w:szCs w:val="32"/>
          <w:lang w:val="en-US" w:eastAsia="zh-CN"/>
        </w:rPr>
      </w:pPr>
      <w:r>
        <w:rPr>
          <w:rFonts w:hint="eastAsia" w:asciiTheme="minorEastAsia" w:hAnsiTheme="minorEastAsia" w:cstheme="minorEastAsia"/>
          <w:b/>
          <w:bCs/>
          <w:color w:val="auto"/>
          <w:sz w:val="32"/>
          <w:szCs w:val="32"/>
          <w:lang w:val="en-US" w:eastAsia="zh-CN"/>
        </w:rPr>
        <w:t>在线询价公告采购需求信息表</w:t>
      </w:r>
    </w:p>
    <w:p>
      <w:pPr>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在线询价</w:t>
      </w:r>
      <w:r>
        <w:rPr>
          <w:rFonts w:hint="eastAsia" w:asciiTheme="minorEastAsia" w:hAnsiTheme="minorEastAsia" w:eastAsiaTheme="minorEastAsia" w:cstheme="minorEastAsia"/>
          <w:b/>
          <w:bCs/>
          <w:sz w:val="28"/>
          <w:szCs w:val="28"/>
          <w:lang w:val="en-US" w:eastAsia="zh-CN"/>
        </w:rPr>
        <w:t>项目名称：</w:t>
      </w:r>
      <w:r>
        <w:rPr>
          <w:rFonts w:hint="eastAsia" w:asciiTheme="minorEastAsia" w:hAnsiTheme="minorEastAsia" w:cstheme="minorEastAsia"/>
          <w:b/>
          <w:bCs/>
          <w:sz w:val="28"/>
          <w:szCs w:val="28"/>
          <w:lang w:val="en-US" w:eastAsia="zh-CN"/>
        </w:rPr>
        <w:t>人工智能实验室建设项目（计算机设备及家具类）</w:t>
      </w:r>
    </w:p>
    <w:p>
      <w:pPr>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联系人：</w:t>
      </w:r>
      <w:r>
        <w:rPr>
          <w:rFonts w:hint="eastAsia" w:asciiTheme="minorEastAsia" w:hAnsiTheme="minorEastAsia" w:cstheme="minorEastAsia"/>
          <w:b/>
          <w:bCs/>
          <w:sz w:val="28"/>
          <w:szCs w:val="28"/>
          <w:lang w:val="en-US" w:eastAsia="zh-CN"/>
        </w:rPr>
        <w:t xml:space="preserve">银文通  </w:t>
      </w:r>
      <w:r>
        <w:rPr>
          <w:rFonts w:hint="eastAsia" w:asciiTheme="minorEastAsia" w:hAnsiTheme="minorEastAsia" w:eastAsiaTheme="minorEastAsia" w:cstheme="minorEastAsia"/>
          <w:b/>
          <w:bCs/>
          <w:sz w:val="28"/>
          <w:szCs w:val="28"/>
          <w:lang w:val="en-US" w:eastAsia="zh-CN"/>
        </w:rPr>
        <w:t>，电话：</w:t>
      </w:r>
      <w:r>
        <w:rPr>
          <w:rFonts w:hint="eastAsia" w:asciiTheme="minorEastAsia" w:hAnsiTheme="minorEastAsia" w:cstheme="minorEastAsia"/>
          <w:b/>
          <w:bCs/>
          <w:sz w:val="28"/>
          <w:szCs w:val="28"/>
          <w:lang w:val="en-US" w:eastAsia="zh-CN"/>
        </w:rPr>
        <w:t>15878262778</w:t>
      </w:r>
      <w:r>
        <w:rPr>
          <w:rFonts w:hint="eastAsia" w:asciiTheme="minorEastAsia" w:hAnsiTheme="minorEastAsia" w:cstheme="minorEastAsia"/>
          <w:b w:val="0"/>
          <w:bCs w:val="0"/>
          <w:color w:val="FF0000"/>
          <w:sz w:val="28"/>
          <w:szCs w:val="28"/>
          <w:lang w:val="en-US" w:eastAsia="zh-CN"/>
        </w:rPr>
        <w:t xml:space="preserve"> </w:t>
      </w:r>
      <w:r>
        <w:rPr>
          <w:rFonts w:hint="eastAsia" w:asciiTheme="minorEastAsia" w:hAnsiTheme="minorEastAsia" w:cstheme="minorEastAsia"/>
          <w:b/>
          <w:bCs/>
          <w:sz w:val="28"/>
          <w:szCs w:val="28"/>
          <w:lang w:val="en-US" w:eastAsia="zh-CN"/>
        </w:rPr>
        <w:t xml:space="preserve">           </w:t>
      </w:r>
    </w:p>
    <w:p>
      <w:pPr>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预算总价：</w:t>
      </w:r>
      <w:r>
        <w:rPr>
          <w:rFonts w:hint="eastAsia" w:asciiTheme="minorEastAsia" w:hAnsiTheme="minorEastAsia" w:cstheme="minorEastAsia"/>
          <w:b/>
          <w:bCs/>
          <w:sz w:val="28"/>
          <w:szCs w:val="28"/>
          <w:lang w:val="en-US" w:eastAsia="zh-CN"/>
        </w:rPr>
        <w:t>281800.00</w:t>
      </w:r>
      <w:bookmarkStart w:id="0" w:name="_GoBack"/>
      <w:bookmarkEnd w:id="0"/>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采购需求清单：供应商需上传盖章扫描的报价清单，详见报价清单。</w:t>
      </w:r>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供应商响应附件要求：</w:t>
      </w:r>
      <w:r>
        <w:rPr>
          <w:rFonts w:hint="eastAsia" w:asciiTheme="minorEastAsia" w:hAnsiTheme="minorEastAsia" w:cstheme="minorEastAsia"/>
          <w:b/>
          <w:bCs/>
          <w:sz w:val="28"/>
          <w:szCs w:val="28"/>
          <w:lang w:val="en-US" w:eastAsia="zh-CN"/>
        </w:rPr>
        <w:sym w:font="Wingdings 2" w:char="0052"/>
      </w:r>
      <w:r>
        <w:rPr>
          <w:rFonts w:hint="eastAsia" w:asciiTheme="minorEastAsia" w:hAnsiTheme="minorEastAsia" w:cstheme="minorEastAsia"/>
          <w:b/>
          <w:bCs/>
          <w:sz w:val="28"/>
          <w:szCs w:val="28"/>
          <w:lang w:val="en-US" w:eastAsia="zh-CN"/>
        </w:rPr>
        <w:t xml:space="preserve"> 必须上传；</w:t>
      </w:r>
      <w:r>
        <w:rPr>
          <w:rFonts w:hint="eastAsia" w:asciiTheme="minorEastAsia" w:hAnsiTheme="minorEastAsia" w:cstheme="minorEastAsia"/>
          <w:b/>
          <w:bCs/>
          <w:sz w:val="28"/>
          <w:szCs w:val="28"/>
          <w:lang w:val="en-US" w:eastAsia="zh-CN"/>
        </w:rPr>
        <w:sym w:font="Wingdings 2" w:char="00A3"/>
      </w:r>
      <w:r>
        <w:rPr>
          <w:rFonts w:hint="eastAsia" w:asciiTheme="minorEastAsia" w:hAnsiTheme="minorEastAsia" w:cstheme="minorEastAsia"/>
          <w:b/>
          <w:bCs/>
          <w:sz w:val="28"/>
          <w:szCs w:val="28"/>
          <w:lang w:val="en-US" w:eastAsia="zh-CN"/>
        </w:rPr>
        <w:t xml:space="preserve"> 可不上传</w:t>
      </w:r>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所需上传的附件：供应商盖章的报价清单、报价商品详细信息、供应商营业执照，不提供相关材料扫描件即报价无效。</w:t>
      </w:r>
    </w:p>
    <w:p>
      <w:pPr>
        <w:rPr>
          <w:rFonts w:hint="eastAsia" w:asciiTheme="minorEastAsia" w:hAnsiTheme="minorEastAsia" w:cstheme="minorEastAsia"/>
          <w:b w:val="0"/>
          <w:bCs w:val="0"/>
          <w:color w:val="FF0000"/>
          <w:sz w:val="24"/>
          <w:szCs w:val="24"/>
          <w:lang w:val="en-US" w:eastAsia="zh-CN"/>
        </w:rPr>
      </w:pPr>
      <w:r>
        <w:rPr>
          <w:rFonts w:hint="eastAsia" w:asciiTheme="minorEastAsia" w:hAnsiTheme="minorEastAsia" w:cstheme="minorEastAsia"/>
          <w:b/>
          <w:bCs/>
          <w:sz w:val="28"/>
          <w:szCs w:val="28"/>
          <w:lang w:val="en-US" w:eastAsia="zh-CN"/>
        </w:rPr>
        <w:t>竞价开始时间：竞价信息发布日。</w:t>
      </w:r>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竞价截止时间：竞价开始后</w:t>
      </w:r>
      <w:r>
        <w:rPr>
          <w:rFonts w:hint="eastAsia" w:asciiTheme="minorEastAsia" w:hAnsiTheme="minorEastAsia" w:cstheme="minorEastAsia"/>
          <w:b/>
          <w:bCs/>
          <w:sz w:val="28"/>
          <w:szCs w:val="28"/>
          <w:u w:val="single"/>
          <w:lang w:val="en-US" w:eastAsia="zh-CN"/>
        </w:rPr>
        <w:t xml:space="preserve">  3  </w:t>
      </w:r>
      <w:r>
        <w:rPr>
          <w:rFonts w:hint="eastAsia" w:asciiTheme="minorEastAsia" w:hAnsiTheme="minorEastAsia" w:cstheme="minorEastAsia"/>
          <w:b/>
          <w:bCs/>
          <w:sz w:val="28"/>
          <w:szCs w:val="28"/>
          <w:lang w:val="en-US" w:eastAsia="zh-CN"/>
        </w:rPr>
        <w:t>个工作日。</w:t>
      </w:r>
    </w:p>
    <w:p>
      <w:pPr>
        <w:rPr>
          <w:rFonts w:hint="eastAsia" w:asciiTheme="minorEastAsia" w:hAnsiTheme="minorEastAsia" w:cstheme="minorEastAsia"/>
          <w:b w:val="0"/>
          <w:bCs w:val="0"/>
          <w:color w:val="FF0000"/>
          <w:sz w:val="28"/>
          <w:szCs w:val="28"/>
          <w:lang w:val="en-US" w:eastAsia="zh-CN"/>
        </w:rPr>
      </w:pPr>
      <w:r>
        <w:rPr>
          <w:rFonts w:hint="eastAsia" w:asciiTheme="minorEastAsia" w:hAnsiTheme="minorEastAsia" w:cstheme="minorEastAsia"/>
          <w:b/>
          <w:bCs/>
          <w:sz w:val="28"/>
          <w:szCs w:val="28"/>
          <w:lang w:val="en-US" w:eastAsia="zh-CN"/>
        </w:rPr>
        <w:t>有效竞价标准：有效报价供应商不少于</w:t>
      </w:r>
      <w:r>
        <w:rPr>
          <w:rFonts w:hint="eastAsia" w:asciiTheme="minorEastAsia" w:hAnsiTheme="minorEastAsia" w:cstheme="minorEastAsia"/>
          <w:b/>
          <w:bCs/>
          <w:sz w:val="28"/>
          <w:szCs w:val="28"/>
          <w:u w:val="single"/>
          <w:lang w:val="en-US" w:eastAsia="zh-CN"/>
        </w:rPr>
        <w:t xml:space="preserve"> 3  </w:t>
      </w:r>
      <w:r>
        <w:rPr>
          <w:rFonts w:hint="eastAsia" w:asciiTheme="minorEastAsia" w:hAnsiTheme="minorEastAsia" w:cstheme="minorEastAsia"/>
          <w:b/>
          <w:bCs/>
          <w:sz w:val="28"/>
          <w:szCs w:val="28"/>
          <w:lang w:val="en-US" w:eastAsia="zh-CN"/>
        </w:rPr>
        <w:t>家。</w:t>
      </w:r>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成交规则：采购人在有效报价的供应商中，手动确认成交供应商。</w:t>
      </w:r>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供应商报价方式：对采购需求报价，无需选择商品。</w:t>
      </w:r>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结果确认时间：竞价结束后</w:t>
      </w:r>
      <w:r>
        <w:rPr>
          <w:rFonts w:hint="eastAsia" w:asciiTheme="minorEastAsia" w:hAnsiTheme="minorEastAsia" w:cstheme="minorEastAsia"/>
          <w:b/>
          <w:bCs/>
          <w:sz w:val="28"/>
          <w:szCs w:val="28"/>
          <w:u w:val="single"/>
          <w:lang w:val="en-US" w:eastAsia="zh-CN"/>
        </w:rPr>
        <w:t xml:space="preserve">  3   </w:t>
      </w:r>
      <w:r>
        <w:rPr>
          <w:rFonts w:hint="eastAsia" w:asciiTheme="minorEastAsia" w:hAnsiTheme="minorEastAsia" w:cstheme="minorEastAsia"/>
          <w:b/>
          <w:bCs/>
          <w:sz w:val="28"/>
          <w:szCs w:val="28"/>
          <w:lang w:val="en-US" w:eastAsia="zh-CN"/>
        </w:rPr>
        <w:t>个工作日内。</w:t>
      </w:r>
    </w:p>
    <w:p>
      <w:pP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推荐成交供应商：最低报价。</w:t>
      </w:r>
    </w:p>
    <w:p>
      <w:pPr>
        <w:rPr>
          <w:rFonts w:hint="eastAsia" w:asciiTheme="minorEastAsia" w:hAnsiTheme="minorEastAsia" w:eastAsiaTheme="minorEastAsia" w:cstheme="minorEastAsia"/>
          <w:b/>
          <w:bCs/>
          <w:color w:val="FF0000"/>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商务要求：</w:t>
      </w:r>
    </w:p>
    <w:p>
      <w:pPr>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交货时间及地点：</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自合同签订之日起</w:t>
      </w:r>
      <w:r>
        <w:rPr>
          <w:rFonts w:hint="eastAsia" w:asciiTheme="minorEastAsia" w:hAnsi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lang w:val="en-US" w:eastAsia="zh-CN"/>
        </w:rPr>
        <w:t>0天内到货并安装调试完毕。</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交货地点：</w:t>
      </w:r>
      <w:r>
        <w:rPr>
          <w:rFonts w:hint="eastAsia" w:asciiTheme="minorEastAsia" w:hAnsiTheme="minorEastAsia" w:cstheme="minorEastAsia"/>
          <w:sz w:val="28"/>
          <w:szCs w:val="28"/>
          <w:highlight w:val="none"/>
          <w:lang w:val="en-US" w:eastAsia="zh-CN"/>
        </w:rPr>
        <w:t>广西来宾市广西科技师范学院实验实训中心5楼。</w:t>
      </w:r>
      <w:r>
        <w:rPr>
          <w:rFonts w:hint="eastAsia" w:asciiTheme="minorEastAsia" w:hAnsiTheme="minorEastAsia" w:eastAsiaTheme="minorEastAsia" w:cstheme="minorEastAsia"/>
          <w:sz w:val="28"/>
          <w:szCs w:val="28"/>
          <w:highlight w:val="none"/>
          <w:lang w:val="en-US" w:eastAsia="zh-CN"/>
        </w:rPr>
        <w:tab/>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质量保证期：自安装、调试验收合格并交付使用之日起提供不少于2年的免费保修。</w:t>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p>
    <w:p>
      <w:pPr>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报价要求：</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1.以上所有货物报价含随配标准附件、备品备件、专用工具、包装费、运输费、运抵指定交货地点、装卸费、安装调试费、技术服务费、质保、保险、税金及其他所有成本费用的总和。</w:t>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p>
    <w:p>
      <w:pPr>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售后服务要求：</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按照国家有关法律法规和“三包”规定，提供24小时的急修服务，一旦出现故障，接到报修电话后30分钟内有维修人员到达现场排除故障；一般故障修复时间不超过2小时，重大故障修复时间不超过24小时；质保期内发生故障需更换零配件的，必须保证零配件为原厂配件；质保期满后，需提供维护保养服务，并承诺以优于市场价格收取维保费。</w:t>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p>
    <w:p>
      <w:pPr>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验收要求：</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完成供货及安装调试后，经采购人验收合格。</w:t>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实施和安装要求：</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1.安装过程中的所有安全保障由成交人自行负责，并服从采购人现场负责人的指挥，按指定地点进行安装；</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2.严格按产品的安装规范要求进行安装，确保安全。</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付款方式：</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成交供应商将设备运至安装现场并经采购人验收确认后支付合同金额的100%。</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【注：每次付款前成交人均需要向采购人提供的合法合规的报销票据，采购人在15个工作日内向成交人支付款项。发票必须开具增值税专用发票】</w:t>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r>
        <w:rPr>
          <w:rFonts w:hint="eastAsia" w:asciiTheme="minorEastAsia" w:hAnsiTheme="minorEastAsia" w:eastAsiaTheme="minorEastAsia" w:cstheme="minorEastAsia"/>
          <w:sz w:val="28"/>
          <w:szCs w:val="28"/>
          <w:highlight w:val="none"/>
          <w:lang w:val="en-US" w:eastAsia="zh-CN"/>
        </w:rPr>
        <w:tab/>
      </w:r>
    </w:p>
    <w:p>
      <w:pPr>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报价时需提交的相关资料：</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1.有效三证合一的营业执照副本复印件或营业执照复印件、税务登记证复印件、组织机构代码证副本复印件</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lang w:val="en-US" w:eastAsia="zh-CN"/>
        </w:rPr>
        <w:t>.报价响应文件，包含报价单、商务响应偏离表等。</w:t>
      </w:r>
    </w:p>
    <w:p>
      <w:pP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 xml:space="preserve">（以上材料必须加盖单位公章，必须提供，否则报价无效）  </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供应商要求</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基本要求：</w:t>
      </w:r>
    </w:p>
    <w:p>
      <w:pPr>
        <w:numPr>
          <w:ilvl w:val="0"/>
          <w:numId w:val="1"/>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符合《中华人民共和国政府采购法》第二十二条的规定。</w:t>
      </w:r>
    </w:p>
    <w:p>
      <w:pPr>
        <w:numPr>
          <w:ilvl w:val="0"/>
          <w:numId w:val="1"/>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符合《关于规范政府采购供应商资格设定及资格审查的通知》第六条规定。 </w:t>
      </w:r>
    </w:p>
    <w:p>
      <w:pPr>
        <w:numPr>
          <w:ilvl w:val="0"/>
          <w:numId w:val="1"/>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已在本系统注册并通过资质初审的供应商。</w:t>
      </w:r>
    </w:p>
    <w:p>
      <w:pPr>
        <w:numPr>
          <w:ilvl w:val="0"/>
          <w:numId w:val="0"/>
        </w:numPr>
        <w:ind w:leftChars="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企业规模：</w:t>
      </w:r>
    </w:p>
    <w:p>
      <w:pPr>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1" w:shapeid="_x0000_i1025"/>
        </w:object>
      </w:r>
      <w:r>
        <w:rPr>
          <w:rFonts w:hint="eastAsia" w:asciiTheme="minorEastAsia" w:hAnsiTheme="minorEastAsia" w:cstheme="minorEastAsia"/>
          <w:sz w:val="28"/>
          <w:szCs w:val="28"/>
          <w:lang w:val="en-US" w:eastAsia="zh-CN"/>
        </w:rPr>
        <w:t>大型企业 </w:t>
      </w:r>
      <w:r>
        <w:rPr>
          <w:rFonts w:hint="eastAsia" w:asciiTheme="minorEastAsia" w:hAnsiTheme="minorEastAsia" w:cstheme="minorEastAsia"/>
          <w:sz w:val="28"/>
          <w:szCs w:val="28"/>
          <w:lang w:val="en-US" w:eastAsia="zh-CN"/>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12" w:shapeid="_x0000_i1026"/>
        </w:object>
      </w:r>
      <w:r>
        <w:rPr>
          <w:rFonts w:hint="eastAsia" w:asciiTheme="minorEastAsia" w:hAnsiTheme="minorEastAsia" w:cstheme="minorEastAsia"/>
          <w:sz w:val="28"/>
          <w:szCs w:val="28"/>
          <w:lang w:val="en-US" w:eastAsia="zh-CN"/>
        </w:rPr>
        <w:t>中型企业 </w:t>
      </w:r>
      <w:r>
        <w:rPr>
          <w:rFonts w:hint="eastAsia" w:asciiTheme="minorEastAsia" w:hAnsiTheme="minorEastAsia" w:cstheme="minorEastAsia"/>
          <w:sz w:val="28"/>
          <w:szCs w:val="28"/>
          <w:lang w:val="en-US" w:eastAsia="zh-CN"/>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Control 13" w:shapeid="_x0000_i1027"/>
        </w:object>
      </w:r>
      <w:r>
        <w:rPr>
          <w:rFonts w:hint="eastAsia" w:asciiTheme="minorEastAsia" w:hAnsiTheme="minorEastAsia" w:cstheme="minorEastAsia"/>
          <w:sz w:val="28"/>
          <w:szCs w:val="28"/>
          <w:lang w:val="en-US" w:eastAsia="zh-CN"/>
        </w:rPr>
        <w:t>小型企业 </w:t>
      </w:r>
      <w:r>
        <w:rPr>
          <w:rFonts w:hint="eastAsia" w:asciiTheme="minorEastAsia" w:hAnsiTheme="minorEastAsia" w:cstheme="minorEastAsia"/>
          <w:sz w:val="28"/>
          <w:szCs w:val="28"/>
          <w:lang w:val="en-US" w:eastAsia="zh-CN"/>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8" w:name="Control 14" w:shapeid="_x0000_i1028"/>
        </w:object>
      </w:r>
      <w:r>
        <w:rPr>
          <w:rFonts w:hint="eastAsia" w:asciiTheme="minorEastAsia" w:hAnsiTheme="minorEastAsia" w:cstheme="minorEastAsia"/>
          <w:sz w:val="28"/>
          <w:szCs w:val="28"/>
          <w:lang w:val="en-US" w:eastAsia="zh-CN"/>
        </w:rPr>
        <w:t>微型企业</w:t>
      </w:r>
    </w:p>
    <w:p>
      <w:pPr>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sz w:val="28"/>
          <w:szCs w:val="28"/>
          <w:lang w:val="en-US" w:eastAsia="zh-CN"/>
        </w:rPr>
        <w:t>邀请供应商：若邀请，至少邀请3家， 最多邀请 100 家。</w:t>
      </w:r>
      <w:r>
        <w:rPr>
          <w:rFonts w:hint="eastAsia" w:asciiTheme="minorEastAsia" w:hAnsiTheme="minorEastAsia" w:cstheme="minorEastAsia"/>
          <w:color w:val="FF0000"/>
          <w:sz w:val="28"/>
          <w:szCs w:val="28"/>
          <w:lang w:val="en-US" w:eastAsia="zh-CN"/>
        </w:rPr>
        <w:t>（</w:t>
      </w:r>
      <w:r>
        <w:rPr>
          <w:rFonts w:ascii="Helvetica" w:hAnsi="Helvetica" w:eastAsia="Helvetica" w:cs="Helvetica"/>
          <w:i w:val="0"/>
          <w:iCs w:val="0"/>
          <w:caps w:val="0"/>
          <w:color w:val="FF0000"/>
          <w:spacing w:val="0"/>
          <w:sz w:val="21"/>
          <w:szCs w:val="21"/>
          <w:shd w:val="clear" w:fill="F7F7F7"/>
        </w:rPr>
        <w:t>最少需邀请</w:t>
      </w:r>
      <w:r>
        <w:rPr>
          <w:rFonts w:hint="default" w:ascii="Helvetica" w:hAnsi="Helvetica" w:eastAsia="Helvetica" w:cs="Helvetica"/>
          <w:i w:val="0"/>
          <w:iCs w:val="0"/>
          <w:caps w:val="0"/>
          <w:color w:val="FF0000"/>
          <w:spacing w:val="0"/>
          <w:sz w:val="21"/>
          <w:szCs w:val="21"/>
          <w:shd w:val="clear" w:fill="F7F7F7"/>
        </w:rPr>
        <w:t> 3 家供应商报价， 最多可手动选择 100 家，系统将以短信+待办消息方式给受邀供应商发送竞价邀请通知， 未受邀的供应商若满足资格要求，也可参与报价</w:t>
      </w:r>
      <w:r>
        <w:rPr>
          <w:rFonts w:hint="eastAsia" w:asciiTheme="minorEastAsia" w:hAnsiTheme="minorEastAsia" w:cstheme="minorEastAsia"/>
          <w:color w:val="FF0000"/>
          <w:sz w:val="28"/>
          <w:szCs w:val="28"/>
          <w:lang w:val="en-US" w:eastAsia="zh-CN"/>
        </w:rPr>
        <w:t>）</w:t>
      </w:r>
    </w:p>
    <w:p>
      <w:pPr>
        <w:rPr>
          <w:rFonts w:hint="eastAsia" w:asciiTheme="minorEastAsia" w:hAnsiTheme="minorEastAsia" w:cstheme="minorEastAsia"/>
          <w:sz w:val="28"/>
          <w:szCs w:val="28"/>
          <w:lang w:val="en-US" w:eastAsia="zh-CN"/>
        </w:rPr>
      </w:pPr>
    </w:p>
    <w:p>
      <w:pPr>
        <w:rPr>
          <w:rFonts w:hint="eastAsia" w:asciiTheme="minorEastAsia" w:hAnsiTheme="minorEastAsia" w:cstheme="minorEastAsia"/>
          <w:sz w:val="28"/>
          <w:szCs w:val="28"/>
          <w:lang w:val="en-US" w:eastAsia="zh-CN"/>
        </w:rPr>
      </w:pPr>
    </w:p>
    <w:p>
      <w:pPr>
        <w:rPr>
          <w:rFonts w:hint="eastAsia" w:asciiTheme="minorEastAsia" w:hAnsiTheme="minorEastAsia" w:cstheme="minorEastAsia"/>
          <w:sz w:val="28"/>
          <w:szCs w:val="28"/>
          <w:lang w:val="en-US" w:eastAsia="zh-CN"/>
        </w:rPr>
      </w:pPr>
    </w:p>
    <w:p>
      <w:pPr>
        <w:rPr>
          <w:rFonts w:hint="eastAsia" w:asciiTheme="minorEastAsia" w:hAnsiTheme="minorEastAsia" w:cstheme="minorEastAsia"/>
          <w:sz w:val="28"/>
          <w:szCs w:val="28"/>
          <w:lang w:val="en-US" w:eastAsia="zh-CN"/>
        </w:rPr>
      </w:pPr>
    </w:p>
    <w:p>
      <w:pPr>
        <w:rPr>
          <w:rFonts w:hint="eastAsia" w:asciiTheme="minorEastAsia" w:hAnsiTheme="minorEastAsia" w:cstheme="minorEastAsia"/>
          <w:sz w:val="28"/>
          <w:szCs w:val="28"/>
          <w:lang w:val="en-US" w:eastAsia="zh-CN"/>
        </w:rPr>
      </w:pPr>
    </w:p>
    <w:p>
      <w:pPr>
        <w:rPr>
          <w:rFonts w:hint="eastAsia" w:asciiTheme="minorEastAsia" w:hAnsiTheme="minorEastAsia" w:cstheme="minorEastAsia"/>
          <w:sz w:val="28"/>
          <w:szCs w:val="28"/>
          <w:lang w:val="en-US" w:eastAsia="zh-CN"/>
        </w:rPr>
      </w:pPr>
    </w:p>
    <w:p>
      <w:pPr>
        <w:rPr>
          <w:rFonts w:hint="eastAsia" w:asciiTheme="minorEastAsia" w:hAnsiTheme="minorEastAsia" w:cstheme="minorEastAsia"/>
          <w:sz w:val="28"/>
          <w:szCs w:val="28"/>
          <w:lang w:val="en-US" w:eastAsia="zh-CN"/>
        </w:rPr>
      </w:pP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附件：</w:t>
      </w:r>
    </w:p>
    <w:tbl>
      <w:tblPr>
        <w:tblStyle w:val="3"/>
        <w:tblW w:w="9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3"/>
        <w:gridCol w:w="712"/>
        <w:gridCol w:w="838"/>
        <w:gridCol w:w="4587"/>
        <w:gridCol w:w="513"/>
        <w:gridCol w:w="475"/>
        <w:gridCol w:w="712"/>
        <w:gridCol w:w="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9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广西科技师范学院人工智能实验室建设项目（</w:t>
            </w:r>
            <w:r>
              <w:rPr>
                <w:rFonts w:hint="eastAsia" w:asciiTheme="minorEastAsia" w:hAnsiTheme="minorEastAsia" w:cstheme="minorEastAsia"/>
                <w:b/>
                <w:bCs/>
                <w:sz w:val="28"/>
                <w:szCs w:val="28"/>
                <w:lang w:val="en-US" w:eastAsia="zh-CN"/>
              </w:rPr>
              <w:t>计算机设备及家具类</w:t>
            </w:r>
            <w:r>
              <w:rPr>
                <w:rFonts w:hint="eastAsia" w:ascii="宋体" w:hAnsi="宋体" w:eastAsia="宋体" w:cs="宋体"/>
                <w:b/>
                <w:bCs/>
                <w:i w:val="0"/>
                <w:iCs w:val="0"/>
                <w:color w:val="000000"/>
                <w:kern w:val="0"/>
                <w:sz w:val="28"/>
                <w:szCs w:val="28"/>
                <w:u w:val="none"/>
                <w:lang w:val="en-US" w:eastAsia="zh-CN" w:bidi="ar"/>
              </w:rPr>
              <w:t>）</w:t>
            </w:r>
          </w:p>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8"/>
                <w:szCs w:val="28"/>
                <w:u w:val="none"/>
                <w:lang w:val="en-US" w:eastAsia="zh-CN" w:bidi="ar"/>
              </w:rPr>
              <w:t xml:space="preserve"> 报价单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货物名称</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规格参数</w:t>
            </w:r>
          </w:p>
        </w:tc>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lang w:eastAsia="zh-CN"/>
              </w:rPr>
            </w:pPr>
            <w:r>
              <w:rPr>
                <w:rFonts w:hint="eastAsia" w:ascii="宋体" w:hAnsi="宋体" w:eastAsia="宋体" w:cs="宋体"/>
                <w:b/>
                <w:bCs/>
                <w:i w:val="0"/>
                <w:iCs w:val="0"/>
                <w:color w:val="000000"/>
                <w:sz w:val="20"/>
                <w:szCs w:val="20"/>
                <w:u w:val="none"/>
                <w:lang w:eastAsia="zh-CN"/>
              </w:rPr>
              <w:t>单位</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themeColor="text1"/>
                <w:kern w:val="2"/>
                <w:sz w:val="21"/>
                <w:szCs w:val="21"/>
                <w:u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u w:val="none"/>
                <w:lang w:val="en-US" w:eastAsia="zh-CN" w:bidi="ar"/>
                <w14:textFill>
                  <w14:solidFill>
                    <w14:schemeClr w14:val="tx1"/>
                  </w14:solidFill>
                </w14:textFill>
              </w:rPr>
              <w:t>平台算力服务</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FF0000"/>
                <w:sz w:val="20"/>
                <w:szCs w:val="20"/>
                <w:u w:val="none"/>
              </w:rPr>
            </w:pPr>
            <w:r>
              <w:rPr>
                <w:rFonts w:hint="eastAsia" w:ascii="宋体" w:hAnsi="宋体" w:eastAsia="宋体" w:cs="宋体"/>
                <w:sz w:val="21"/>
                <w:szCs w:val="21"/>
                <w:lang w:val="en-US" w:eastAsia="zh-CN"/>
              </w:rPr>
              <w:t>阿里</w:t>
            </w:r>
            <w:r>
              <w:rPr>
                <w:rFonts w:hint="eastAsia" w:ascii="宋体" w:hAnsi="宋体" w:eastAsia="宋体" w:cs="宋体"/>
                <w:sz w:val="21"/>
                <w:szCs w:val="21"/>
              </w:rPr>
              <w:t>、华为、</w:t>
            </w:r>
            <w:r>
              <w:rPr>
                <w:rFonts w:hint="eastAsia" w:ascii="宋体" w:hAnsi="宋体" w:eastAsia="宋体" w:cs="宋体"/>
                <w:sz w:val="21"/>
                <w:szCs w:val="21"/>
                <w:lang w:val="en-US" w:eastAsia="zh-CN"/>
              </w:rPr>
              <w:t>百度、头歌</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numPr>
                <w:ilvl w:val="-1"/>
                <w:numId w:val="0"/>
              </w:num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1.性能指标</w:t>
            </w:r>
          </w:p>
          <w:p>
            <w:pPr>
              <w:numPr>
                <w:ilvl w:val="0"/>
                <w:numId w:val="2"/>
              </w:numPr>
              <w:spacing w:line="240" w:lineRule="auto"/>
              <w:ind w:left="0" w:firstLine="0"/>
              <w:rPr>
                <w:rFonts w:hint="eastAsia" w:ascii="宋体" w:hAnsi="宋体" w:eastAsia="宋体" w:cs="宋体"/>
                <w:color w:val="auto"/>
                <w:sz w:val="21"/>
                <w:szCs w:val="21"/>
              </w:rPr>
            </w:pPr>
            <w:r>
              <w:rPr>
                <w:rFonts w:hint="eastAsia" w:ascii="宋体" w:hAnsi="宋体" w:eastAsia="宋体" w:cs="宋体"/>
                <w:color w:val="auto"/>
                <w:sz w:val="21"/>
                <w:szCs w:val="21"/>
              </w:rPr>
              <w:t>每年提供15亿次tokens算力支持，不限并发规模，用完即止。服务年限6年。</w:t>
            </w:r>
          </w:p>
          <w:p>
            <w:pPr>
              <w:numPr>
                <w:ilvl w:val="0"/>
                <w:numId w:val="2"/>
              </w:numPr>
              <w:spacing w:line="240" w:lineRule="auto"/>
              <w:ind w:left="0" w:firstLine="0"/>
              <w:rPr>
                <w:rFonts w:hint="eastAsia" w:ascii="宋体" w:hAnsi="宋体" w:eastAsia="宋体" w:cs="宋体"/>
                <w:color w:val="auto"/>
                <w:sz w:val="21"/>
                <w:szCs w:val="21"/>
              </w:rPr>
            </w:pPr>
            <w:r>
              <w:rPr>
                <w:rFonts w:hint="eastAsia" w:ascii="宋体" w:hAnsi="宋体" w:eastAsia="宋体" w:cs="宋体"/>
                <w:color w:val="auto"/>
                <w:sz w:val="21"/>
                <w:szCs w:val="21"/>
              </w:rPr>
              <w:t>服务满6年后按每年不超过1万/年收取，以实际商谈为准。</w:t>
            </w:r>
          </w:p>
          <w:p>
            <w:pPr>
              <w:numPr>
                <w:ilvl w:val="-1"/>
                <w:numId w:val="0"/>
              </w:numPr>
              <w:spacing w:line="240" w:lineRule="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2.功能指标</w:t>
            </w:r>
          </w:p>
          <w:p>
            <w:pPr>
              <w:numPr>
                <w:ilvl w:val="0"/>
                <w:numId w:val="3"/>
              </w:numPr>
              <w:spacing w:line="240" w:lineRule="auto"/>
              <w:ind w:left="0" w:firstLine="0"/>
              <w:rPr>
                <w:rFonts w:hint="eastAsia" w:ascii="宋体" w:hAnsi="宋体" w:eastAsia="宋体" w:cs="宋体"/>
                <w:color w:val="auto"/>
                <w:sz w:val="21"/>
                <w:szCs w:val="21"/>
              </w:rPr>
            </w:pPr>
            <w:r>
              <w:rPr>
                <w:rFonts w:hint="eastAsia" w:ascii="宋体" w:hAnsi="宋体" w:eastAsia="宋体" w:cs="宋体"/>
                <w:color w:val="auto"/>
                <w:sz w:val="21"/>
                <w:szCs w:val="21"/>
              </w:rPr>
              <w:t>提供大模型公有云API接口，支持对接DeepSeek和Qwen大模型，服务期6年。</w:t>
            </w:r>
          </w:p>
          <w:p>
            <w:pPr>
              <w:numPr>
                <w:ilvl w:val="0"/>
                <w:numId w:val="3"/>
              </w:numPr>
              <w:spacing w:line="240" w:lineRule="auto"/>
              <w:ind w:left="0" w:firstLine="0"/>
              <w:rPr>
                <w:rFonts w:hint="eastAsia" w:ascii="宋体" w:hAnsi="宋体" w:eastAsia="宋体" w:cs="宋体"/>
                <w:color w:val="auto"/>
                <w:sz w:val="21"/>
                <w:szCs w:val="21"/>
              </w:rPr>
            </w:pPr>
            <w:r>
              <w:rPr>
                <w:rFonts w:hint="eastAsia" w:ascii="宋体" w:hAnsi="宋体" w:eastAsia="宋体" w:cs="宋体"/>
                <w:color w:val="auto"/>
                <w:sz w:val="21"/>
                <w:szCs w:val="21"/>
              </w:rPr>
              <w:t>支持将接口嵌入到平台中，对接智能导学平台，提供相关智能服务。</w:t>
            </w:r>
          </w:p>
          <w:p>
            <w:pPr>
              <w:jc w:val="left"/>
              <w:rPr>
                <w:rFonts w:hint="eastAsia" w:ascii="宋体" w:hAnsi="宋体" w:eastAsia="宋体" w:cs="宋体"/>
                <w:b/>
                <w:bCs/>
                <w:i w:val="0"/>
                <w:iCs w:val="0"/>
                <w:color w:val="auto"/>
                <w:sz w:val="20"/>
                <w:szCs w:val="20"/>
                <w:u w:val="none"/>
              </w:rPr>
            </w:pPr>
            <w:r>
              <w:rPr>
                <w:rFonts w:hint="eastAsia" w:ascii="宋体" w:hAnsi="宋体" w:eastAsia="宋体" w:cs="宋体"/>
                <w:color w:val="auto"/>
                <w:sz w:val="21"/>
                <w:szCs w:val="21"/>
              </w:rPr>
              <w:t>支持用户基于大模型API接口，自主构建垂直领域智能体。</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1</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台</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打印复印机（彩色）</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柯尼卡美能达、佳能、奔图</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功能参数：A3幅面、打印及复印速度:22页每分钟(A4、黑白彩色同速)配双面器；功能：复印、网络打印、网络彩色扫描，；参数：复印分辩率600dpiX600dpi；内存容量1GB（标准）；预热时间：20秒或以下；首页复印时间：黑白6.8秒，彩色8.4秒；复印缩放25%－400%；两个500张万用纸盒，100张多功能手送进纸；过纸克重：纸盒及手送60G－256G；连续复印1-9999张；CPU：800MHz双核CPU，红头文件专色复印功能，一键复印身份证功能；打印分辨率1800dpiX600dpi(等效)；千兆网络接口及2.0USB接口，印宝珑打印控制器，PCL及PS打印语言，U盘直接打印及扫描；支持移动设备无线打印；可拆卸纸盒设计；支持NFC及蓝牙近场通信协议；自动双面打印及复印</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color w:val="auto"/>
                <w:kern w:val="2"/>
                <w:sz w:val="21"/>
                <w:szCs w:val="21"/>
                <w:u w:val="none"/>
                <w:lang w:val="en-US" w:eastAsia="zh-CN" w:bidi="ar-SA"/>
              </w:rPr>
            </w:pPr>
            <w:r>
              <w:rPr>
                <w:rFonts w:hint="eastAsia" w:asciiTheme="minorEastAsia" w:hAnsiTheme="minorEastAsia" w:eastAsiaTheme="minorEastAsia" w:cstheme="minorEastAsia"/>
                <w:i w:val="0"/>
                <w:iCs w:val="0"/>
                <w:color w:val="auto"/>
                <w:kern w:val="0"/>
                <w:sz w:val="21"/>
                <w:szCs w:val="21"/>
                <w:u w:val="none"/>
                <w:lang w:val="en-US" w:eastAsia="zh-CN" w:bidi="ar"/>
              </w:rPr>
              <w:t>1</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台</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教学用台式机</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联想、华为、华硕</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处理器：≥英特尔I7，内存：≥32G，显卡：≥RTX3060，硬盘：≥480G固态硬盘，27寸显示器</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color w:val="auto"/>
                <w:kern w:val="2"/>
                <w:sz w:val="21"/>
                <w:szCs w:val="21"/>
                <w:u w:val="none"/>
                <w:lang w:val="en-US" w:eastAsia="zh-CN" w:bidi="ar-SA"/>
              </w:rPr>
            </w:pPr>
            <w:r>
              <w:rPr>
                <w:rFonts w:hint="eastAsia" w:asciiTheme="minorEastAsia" w:hAnsiTheme="minorEastAsia" w:eastAsiaTheme="minorEastAsia" w:cstheme="minorEastAsia"/>
                <w:i w:val="0"/>
                <w:iCs w:val="0"/>
                <w:color w:val="auto"/>
                <w:kern w:val="0"/>
                <w:sz w:val="21"/>
                <w:szCs w:val="21"/>
                <w:u w:val="none"/>
                <w:lang w:val="en-US" w:eastAsia="zh-CN" w:bidi="ar"/>
              </w:rPr>
              <w:t>5</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台</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多媒体讲台</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富可士、鑫轩、浩慧</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A、外观要求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1、尺寸：长宽高（mm）整体闭合：890*730*1100；展开：1090*1100*1100（允许正负5mm偏离）</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2、材质：主体采用1.0-1.5mm冷轧钢板，钣金全部通过酸洗磷化喷涂后再进行高温烘烤</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3、桌面采用9mm高密度纤维板，密度板密度大于720kg/立方米，木板边缘采用单面封边工艺，采用冷压工艺三聚氰胺贴面，防划、防泼水，甲醛释放符合E1级标准，流线圆弧设计，扶手为海南橡木，高档美观，实用。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4、设计：桌体采用分体式设计，桌面部分和桌体部分自成一体，内置固定螺丝孔位，安装简单，方便进出设计比较窄的教室门，独立包装，运输轻便。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5、前沿采用弓型造型，拐角采用圆弧设计。上层学生方向，梯型装饰板采用钢板烤漆，方便丝印校标和字样；预留国标无线天线发射孔，讲桌的使用和维护各只用一把锁。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B、功能要求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内置功能：预留翻转显示安装位，显示器翻转到最大角度，和讲台挡边平齐，无高出部分，不影响视线而且美观。不锈钢可调阻尼转轴，显示器可以在0-130°中任意停留，不会出现反扣现象。采用双抽屉设计，上面键盘抽屉，键盘抽屉下方储物抽屉，可安装中控。</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上层右上角预留抽拉线盒，内置USB2.0延长线2米*2，VGA线2米*1，3.5插头音频线2*1，5类网线2米*1。抽拉线盒上侧预留2个USB2.0外接接口，右侧预留MC和出音孔，方便后期扩充；上层右侧预留储物抽屉，可放置小包，水杯等物品；采用三节静音钢珠导轨，厚度为1.2mm，导轨需通过国家QB/T2454-2013耐久性检测标准，并提供SGS机构出具的检测报告。右侧立面预留IC卡读卡器安装挡板、内外读卡器支架，方便读卡器的安装和固定。</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3、下层内部采用机柜式标准设计，带隔板，中控及功放等设备可以固定安装起来，其他设备可放在隔板上面，所有设备摆放整齐、美观，设备总高度≤9U。</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4、采用国标空气力学散热孔开孔设计，两侧开孔，前后门不开孔，方便通风散热并有效防尘；底部左侧预留进线插头，防静电接地装置，便于师生安全使用；                                                                                                                                                         </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color w:val="auto"/>
                <w:kern w:val="2"/>
                <w:sz w:val="21"/>
                <w:szCs w:val="21"/>
                <w:u w:val="none"/>
                <w:lang w:val="en-US" w:eastAsia="zh-CN" w:bidi="ar-SA"/>
              </w:rPr>
            </w:pPr>
            <w:r>
              <w:rPr>
                <w:rFonts w:hint="eastAsia" w:asciiTheme="minorEastAsia" w:hAnsiTheme="minorEastAsia" w:eastAsiaTheme="minorEastAsia" w:cstheme="minorEastAsia"/>
                <w:i w:val="0"/>
                <w:iCs w:val="0"/>
                <w:color w:val="auto"/>
                <w:kern w:val="0"/>
                <w:sz w:val="21"/>
                <w:szCs w:val="21"/>
                <w:u w:val="none"/>
                <w:lang w:val="en-US" w:eastAsia="zh-CN" w:bidi="ar"/>
              </w:rPr>
              <w:t>2</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套</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移动工作站</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联想、华为、戴尔</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ThinkBook16+  07CD Ultra 9-285H 32G 1T RTX5060 3.2K</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color w:val="auto"/>
                <w:kern w:val="2"/>
                <w:sz w:val="21"/>
                <w:szCs w:val="21"/>
                <w:u w:val="none"/>
                <w:lang w:val="en-US" w:eastAsia="zh-CN" w:bidi="ar-SA"/>
              </w:rPr>
            </w:pPr>
            <w:r>
              <w:rPr>
                <w:rFonts w:hint="eastAsia" w:asciiTheme="minorEastAsia" w:hAnsiTheme="minorEastAsia" w:eastAsiaTheme="minorEastAsia" w:cstheme="minorEastAsia"/>
                <w:i w:val="0"/>
                <w:iCs w:val="0"/>
                <w:color w:val="auto"/>
                <w:kern w:val="0"/>
                <w:sz w:val="21"/>
                <w:szCs w:val="21"/>
                <w:u w:val="none"/>
                <w:lang w:val="en-US" w:eastAsia="zh-CN" w:bidi="ar"/>
              </w:rPr>
              <w:t>1</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学生移动终端</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联想、华为、戴尔</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联想小新16    CPU：intel13代I5  16G+512G  2K</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color w:val="auto"/>
                <w:kern w:val="2"/>
                <w:sz w:val="21"/>
                <w:szCs w:val="21"/>
                <w:u w:val="none"/>
                <w:lang w:val="en-US" w:eastAsia="zh-CN" w:bidi="ar-SA"/>
              </w:rPr>
            </w:pPr>
            <w:r>
              <w:rPr>
                <w:rFonts w:hint="eastAsia" w:asciiTheme="minorEastAsia" w:hAnsiTheme="minorEastAsia" w:eastAsiaTheme="minorEastAsia" w:cstheme="minorEastAsia"/>
                <w:i w:val="0"/>
                <w:iCs w:val="0"/>
                <w:color w:val="auto"/>
                <w:kern w:val="0"/>
                <w:sz w:val="21"/>
                <w:szCs w:val="21"/>
                <w:u w:val="none"/>
                <w:lang w:val="en-US" w:eastAsia="zh-CN" w:bidi="ar"/>
              </w:rPr>
              <w:t>10</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98寸教学智慧黑板</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联想、京东、海信</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一、整体设计</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1.整机屏幕采用98英寸液晶面板（对角线）；整机采用一体化设计，外观简洁无任何可见内部功能模块连接线。</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2.整机采用UHD超高清液晶屏，显示比例16:9，分辨率3840*2160，对比度5000：1。整机可视角度≥178°。</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3.★整机画面对比度及色彩还原真实，画面细节及Gamma无损失，确保师生观看画面不会因显示损耗导致视觉偏差。（提供国家级相关机构出具的技术证明文件及具有CNAS认证标识的第三方检测机构权威检测报告）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4.★整机支持全通道4K显示，全通道OSD菜单及整机内置系统均支持4K图像显示。（提供具有CMA或CNAS认证标识的第三方检测机构权威检测报告）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5.★整机屏幕采用DC直流背光源，保证显示画面无频闪，有效避免视觉疲劳，呵护师生用眼健康。（提供具有CMA或CNAS认证标识的第三方检测机构权威检测报告）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6.整机屏幕灰度等级≥256级。整机NTSC色域覆盖率≥85%。整机最大屏幕亮度≥300cd/m²，使用时屏幕亮度不大于400cd/m²。</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7.为保障整机色彩显示效果，支持持色彩空间可选，包含标准模式和 SRGB 模式，在 SRGB 模式下可做到高色准ΔE≤1。</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8.整机采用硬件低蓝光背光技术，在源头减少有害蓝光波段能量，蓝光占比（有害蓝光415～455nm能量综合）/（整体蓝光400～500能量综合）＜50%，低蓝光保护显示不偏色、不泛黄。</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9.整机视网膜蓝光危害（蓝光加权辐射亮度LB）满足IEC TR 62778:2014蓝光危害RG0级别。</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10.★整机表面采用全物理防眩光钢化玻璃，钢化玻璃采用低反射防眩光（AGLR）技术，吸光率7%，有效防止眩光的同时还能吸收部分环境光，进一步降低环境光对显示的干扰，保障在明亮教室中暗场画面的清晰显示。（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11.★整机具备至少6个前置物理按键，包括三合一电源按键，设置、音量加、音量减、录屏、护眼、主页、信源通道，其中含2个可自定义功能按键。（提供具有CMA或CNAS认证标识的第三方检测机构权威检测报告）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12.整机前置3路USB输入接口（包含1路Type-C、2路USB），前置USB接口支持Android、Windows双系统读取外接移动存储设备，接口具备明显的丝印标识。</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13.★前置Type-C接口支持65W快充，可以给教学平板、教学笔记本、手机等进行快速充电。（提供具有CMA或CNAS认证标识的第三方检测机构权威检测报告）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14.整机内置非独立的摄像头，摄像头与整机采用一体化设计，无任何可见外接线材及模块化拼接痕迹，未占用整机设备端口。</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15.★摄像头拍摄像素数≥3200万，对角角度≥145度，水平角度≥125度。（提供具有CMA或CNAS认证标识的第三方检测机构权威检测报告）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16.整机内置8阵列麦克风，麦克风拾音距离≥12米，拾音角度≥180°。</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17.★整机内置2.2声道音响系统，额定总功率60W，有效满足课堂视听需求。（提供具有CMA或CNAS认证标识的第三方检测机构权威检测报告）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18.整机内置双WiFi6无线网卡，在Android/Windows下可实现Wi-Fi连接、AP热点发射及BT蓝牙连接功能。</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19.★整机内置的蓝牙及Wi-Fi模块支持便捷拆除及恢复，确保特殊应用场景下的信息安全。（提供具有CMA或CNAS认证标识的第三方检测机构权威检测报告）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20.整机内置全通道侧边栏快捷菜单，包括应用软件、小工具、信源切换、快捷设置、主页等功能；在任意显示通道下均可通过侧边栏一键进入该触摸菜单。</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21.★采用红外触控技术，支持Windows系统中进行不低于40点触控，支持在Android系统中进行40点或以上触控。（提供具有CMA或CNAS认证标识的第三方检测机构权威检测报告）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22.★整机嵌入式安卓系统版本不低于Android 14，内存≥4GB，存储空间≥32GB，并具备内存可扩展设备。（提供具有CMA或CNAS认证标识的第三方检测机构权威检测报告）</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二、一体机配置</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1.采用Intel通用标准80pin接口，即插即用，易于维护。</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2.主板搭载Intel 酷睿I5或以上系列CPU。内存：16GB 笔记本内存或以上配置。硬盘：512GB或以上SSD固态硬盘。</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3.机身采用智能风扇散热设计，确保封闭空间内有效散热。PC模块可抽拉式插入整机，可实现无单独接线的插拔。采用手拧螺丝卡扣，确保PC模块安装固定到位，同时无需工具就可快速拆卸电脑模块。</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4.具有独立非外扩展的视频输出接口：≥1路HDMI，≥1路DP。具有独立非外扩展的电脑USB接口：≥4路USB3.0，≥2路USB2.0。</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5.具有标准PC防盗锁功能，确保电脑模块安全防盗。</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三、光能黑板配置</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1、一体机两侧各一块光能黑板。单块光能黑板尺寸≥1129（长）*1319（高）mm。下边框具有可调节托板，可根据触控一体机高度进行调节，兼具置物功能。</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无需任何耗材，硬度适中的物体均可在板面进行书写，杜绝粉笔灰尘对师生的健康危害。配有塑料笔，书写时在物理压力的作用下板面显示出清晰绿色的笔迹，高度模拟硬笔书写状态，笔锋效果明显。书写压力为2N~3N，可擦次数不低于10万次。</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3、板面无频闪、无背光，上膜不应产生眩光。板书笔迹可视距离40米，可视角度≥150°，对比度≥150:1。光泽度不高于30光泽单位。</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下边框配有一键清除按键，可一键擦除板面整体板书。一键擦除时间不大于1.5秒，擦除应无断点、无死角等，擦除后应无明显残留痕迹。（提供带CNAS或CMA的检测机构所出具的报告复印件并加盖厂家公章，并提供全国认证认可信息公共服务平台对应检测报告查询记录截图。）</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可使用板擦和手势对板书进行局部擦除，局部擦除时间不大于0.4秒，擦除应无断点、无死角等，擦除后应无明显残留痕迹，非擦除区域不受影响。（提供带CNAS或CMA的检测机构所出具的报告复印件并加盖厂家公章，并提供全国认证认可信息公共服务平台对应检测报告查询记录截图。）</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★6、为减少老师长时间书写疲劳感，板面粗糙度Sa≤0.3um。（提供带CNAS或CMA的检测机构所出具的报告复印件并加盖厂家公章，并提供全国认证认可信息公共服务平台对应检测报告查询记录截图。）</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7、黑板内有电压调整机制，支持自动感应调整，也支持通过手势按压书写板板面的特定位置，调节局部擦除的灵敏度，适应不同用户的使用需求。</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★8、最大工作电流（瞬间电流）不得超过1000mA。（提供带CNAS或CMA的检测机构所出具的报告复印件并加盖厂家公章，并提供全国认证认可信息公共服务平台对应检测报告查询记录截图。）</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★9、黑板表面具有经纬暗格，用以提供给师生在书写板书时的直线参照，可避免板书歪斜。黑板表面可吸附磁贴、磁扣等教学工具，便于老师教学使用。</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10、黑板的功能接口应在产品后侧，安装后正面观察无明显外露。为方便老师使用，应在下方预留接口，用于外接设备。</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11、黑板侧面配有侧封板，用于遮挡黑板侧面与墙面缝隙，活动安装后能调节与墙面的闭合距离。</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12、考虑黑板的边角安全因素，黑板四角应为圆角，且径向半径不小于4mm，法向半径不小于0.3mm。</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四、光能黑板软件要求</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1、在光能黑板上的书写内容可同步显示在触控一体机上。同步显示时可设置6种不同的笔迹颜色，实现老师对于教学重点的标识及批注。</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2、为便于老师记忆和操作，板书界面与电脑桌面/PPT课件之间，可以一键来回切换，方便快捷。</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3、光能黑板具有两种书写记录模式，支持单板书写时，单页面显示（此时只有一块黑板界面），也可以支持多板同时书写时，多页面同时显示；可以通过触摸快捷键，快速切换。</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4、保存后的板书可以上下翻页，也可以通过触摸快捷键，快速预览所有已经存储的板书内容。</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5、板书电子文档可进行分享，可以存储在本地PC端，同时生成二维码，便于师生扫码获取。</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6、可以对课堂的板书和讲解进行录制，生成视频文档，利于学生课后复习回放。</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7、支持导入PPT课件，可以在同传软件上同时显示出PPT课件和板书的记录文本。</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8、具备打印功能，可连接打印机将保存的板书文档传输至打印机打印，方便灵活。</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五、光能黑板其他要求</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为确保产品功能的真实性和有效性，在签订合同正式供货时，采购人将根据投标文件对所提供本次采购产品一套预安装，对参数的真实性和实际效果进行逐条逐字的功能验证，在检测测试过程中如发现有虚假应标行为的，采购人将不予通过验收。</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2.为确保是全新、合格的产品，签订合同时需提供有厂家出具并盖章的技术参数确认表、售后服务保证原件、供货证明原件，否则采购方将不予验收通过。</w:t>
            </w:r>
          </w:p>
          <w:p>
            <w:pPr>
              <w:widowControl/>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3.所销售产品应有知识产权或经权利人合法授权，保证没有侵犯第三方知识产权等权利。构成侵权的，供货方需承担法律责任。</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cstheme="minorEastAsia"/>
                <w:i w:val="0"/>
                <w:iCs w:val="0"/>
                <w:color w:val="auto"/>
                <w:kern w:val="0"/>
                <w:sz w:val="21"/>
                <w:szCs w:val="21"/>
                <w:u w:val="none"/>
                <w:lang w:val="en-US" w:eastAsia="zh-CN" w:bidi="ar"/>
              </w:rPr>
              <w:t>1</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双人桌</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default" w:asciiTheme="minorEastAsia" w:hAnsiTheme="minorEastAsia" w:eastAsiaTheme="minorEastAsia" w:cstheme="minorEastAsia"/>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定制</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1、规格：1400×600×750mm（±5mm）；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基材：面25mm厚，其余15mm厚采用优质环保型E1级实木颗粒板，经过防潮、防虫、防腐处理，强度高、刚性好。静曲强度、内结合强度、表面耐香烟灼烧、表面耐香烟灼烧等浸渍胶膜纸饰面实木颗粒板理化性能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3、饰面：全部采用优质三聚氰胺贴面板，具有耐磨、耐刮、防火、抗污染等性能，符合国家标准。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4、封边：全部采用1.5mm厚3:1配料PVC经模具生产封边,所有封边经高温全自动机器封边，修边，不允许手工封边、修边，封边后无脱胶、漏胶、鼓泡或开裂现象。 (严禁手工封边，防止人工压力不够导致封边粘胶不牢固)。                                                                                                                                   5、桌子整体结构采用连接板固定，要求桌子配有双主机放的位置，桌子后方安装线槽，方便布线，桌面前方安装有键盘，要求桌子大方、得体。6、五金件：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连接件采用优质三合一连接件，其中三合一连接件的金属件表面应无锈蚀、毛刺刃口、露底，应光滑平整，应无起泡、泛黄、花斑、烧焦、裂纹、划痕、磕碰等缺陷；塑料部位表面光洁平滑，无裂纹、划伤、沙粒、疙瘩、麻点等缺陷，色泽应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（2）导轨结构坚固耐用，抽拉顺畅，承载35KG，抽拉达到4万次耐久性。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（3）铰链采用高强度钢材，承托力好，不会断裂，开合次数达到4万次，表面光亮美观，防撞花，防腐蚀，二段力设计，力度柔和，开关声响小，线条均匀，转角过渡自然，间隙细小，尺寸符合配套标准。</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color w:val="000000" w:themeColor="text1"/>
                <w:kern w:val="2"/>
                <w:sz w:val="21"/>
                <w:szCs w:val="21"/>
                <w:u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u w:val="none"/>
                <w:lang w:val="en-US" w:eastAsia="zh-CN" w:bidi="ar"/>
                <w14:textFill>
                  <w14:solidFill>
                    <w14:schemeClr w14:val="tx1"/>
                  </w14:solidFill>
                </w14:textFill>
              </w:rPr>
              <w:t>140</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宋体" w:hAnsi="宋体" w:eastAsia="宋体" w:cs="宋体"/>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六人桌</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center"/>
              <w:textAlignment w:val="center"/>
              <w:rPr>
                <w:rFonts w:hint="eastAsia" w:asciiTheme="minorEastAsia" w:hAnsiTheme="minorEastAsia" w:eastAsiaTheme="minorEastAsia" w:cstheme="minorEastAsia"/>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定制</w:t>
            </w:r>
          </w:p>
        </w:tc>
        <w:tc>
          <w:tcPr>
            <w:tcW w:w="4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hint="eastAsia" w:ascii="宋体" w:hAnsi="宋体" w:eastAsia="宋体" w:cs="宋体"/>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1、规格：六边桌直径为2200mm，边长：1200mm，高度750mm；                                     实木颗粒，经过防潮、防虫、防腐处理，强度高、刚性好。静曲强度、2h吸水厚度膨胀率、内结合强度、表面耐香烟灼烧、表面耐香烟灼烧等浸渍胶膜纸饰面实木颗粒板理化性能符合国家标准。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3、饰面：全部采用优质三聚氰胺贴面板，具有耐磨、耐刮、防火、抗污染等性能，符合国家标准。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3、封边：全部采用1.5mm厚3:1配料PVC经模具生产封边,所有封边经高温全自动机器封边，修边，不允许手工封边、修边，封边后无脱胶、漏胶、鼓泡或开裂现象。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连接件采用优质锣钉连接件，连接件的金属件表面应无锈蚀、毛刺刃口、露底，应光滑平整，应无起泡、泛黄、花斑、烧焦、裂纹、划痕、磕碰等缺陷；塑料部位表面光洁平滑，无裂纹、划伤、沙粒、疙瘩、麻点等缺陷，色泽应一致。                   5.框架：机箱框采用25*25*1.2mm方管焊接成机箱框，机箱两面封板，钢板表面冲有10厘圆孔散热装饰，机箱位留空不配门，脚和脚之间托桌面拉杆主横梁采用25mm*25mm*1.2mm方管连接。               6、钢架整体</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jc w:val="center"/>
              <w:textAlignment w:val="center"/>
              <w:rPr>
                <w:rFonts w:hint="eastAsia" w:asciiTheme="minorEastAsia" w:hAnsiTheme="minorEastAsia" w:eastAsiaTheme="minorEastAsia" w:cstheme="minorEastAsia"/>
                <w:color w:val="000000" w:themeColor="text1"/>
                <w:kern w:val="2"/>
                <w:sz w:val="21"/>
                <w:szCs w:val="21"/>
                <w:u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u w:val="none"/>
                <w:lang w:val="en-US" w:eastAsia="zh-CN" w:bidi="ar"/>
                <w14:textFill>
                  <w14:solidFill>
                    <w14:schemeClr w14:val="tx1"/>
                  </w14:solidFill>
                </w14:textFill>
              </w:rPr>
              <w:t>20</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83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  计</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trPr>
        <w:tc>
          <w:tcPr>
            <w:tcW w:w="9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商务需求响应情况：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1" w:hRule="atLeast"/>
        </w:trPr>
        <w:tc>
          <w:tcPr>
            <w:tcW w:w="9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报价公司(盖章)：                    公司法人代表（签字或签章）：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联系人（签字）：                           联系电话：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报价日期：</w:t>
            </w:r>
          </w:p>
        </w:tc>
      </w:tr>
    </w:tbl>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ab/>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42AB7"/>
    <w:multiLevelType w:val="singleLevel"/>
    <w:tmpl w:val="85542AB7"/>
    <w:lvl w:ilvl="0" w:tentative="0">
      <w:start w:val="1"/>
      <w:numFmt w:val="decimal"/>
      <w:suff w:val="nothing"/>
      <w:lvlText w:val="%1)"/>
      <w:lvlJc w:val="left"/>
      <w:pPr>
        <w:ind w:left="0" w:leftChars="0" w:firstLine="0" w:firstLineChars="0"/>
      </w:pPr>
      <w:rPr>
        <w:rFonts w:hint="default"/>
      </w:rPr>
    </w:lvl>
  </w:abstractNum>
  <w:abstractNum w:abstractNumId="1">
    <w:nsid w:val="AE9A9634"/>
    <w:multiLevelType w:val="singleLevel"/>
    <w:tmpl w:val="AE9A9634"/>
    <w:lvl w:ilvl="0" w:tentative="0">
      <w:start w:val="1"/>
      <w:numFmt w:val="decimal"/>
      <w:lvlText w:val="%1."/>
      <w:lvlJc w:val="left"/>
      <w:pPr>
        <w:tabs>
          <w:tab w:val="left" w:pos="312"/>
        </w:tabs>
      </w:pPr>
    </w:lvl>
  </w:abstractNum>
  <w:abstractNum w:abstractNumId="2">
    <w:nsid w:val="374589E7"/>
    <w:multiLevelType w:val="singleLevel"/>
    <w:tmpl w:val="374589E7"/>
    <w:lvl w:ilvl="0" w:tentative="0">
      <w:start w:val="1"/>
      <w:numFmt w:val="decimal"/>
      <w:suff w:val="nothing"/>
      <w:lvlText w:val="%1)"/>
      <w:lvlJc w:val="left"/>
      <w:pPr>
        <w:ind w:left="0" w:leftChars="0" w:firstLine="0" w:firstLineChars="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3ZTcwNDAxYTUxNzQyYjZiYzVmMTFjYmE1MDNmYmUifQ=="/>
  </w:docVars>
  <w:rsids>
    <w:rsidRoot w:val="00000000"/>
    <w:rsid w:val="01FE433E"/>
    <w:rsid w:val="064674D8"/>
    <w:rsid w:val="0CB63B13"/>
    <w:rsid w:val="0D3A3FF4"/>
    <w:rsid w:val="0EF56D96"/>
    <w:rsid w:val="13BE4A65"/>
    <w:rsid w:val="1A3C6319"/>
    <w:rsid w:val="22034BB2"/>
    <w:rsid w:val="22467731"/>
    <w:rsid w:val="230E1A60"/>
    <w:rsid w:val="250F1AC0"/>
    <w:rsid w:val="28D252DE"/>
    <w:rsid w:val="2DD751FE"/>
    <w:rsid w:val="2E1B21CD"/>
    <w:rsid w:val="2FDB716E"/>
    <w:rsid w:val="33DC0504"/>
    <w:rsid w:val="38E057F5"/>
    <w:rsid w:val="3BBF3CCF"/>
    <w:rsid w:val="3CB2202B"/>
    <w:rsid w:val="43F62371"/>
    <w:rsid w:val="45936DAA"/>
    <w:rsid w:val="46786006"/>
    <w:rsid w:val="484D62D8"/>
    <w:rsid w:val="48E27649"/>
    <w:rsid w:val="48FD7CFE"/>
    <w:rsid w:val="499C1B1C"/>
    <w:rsid w:val="49F031DE"/>
    <w:rsid w:val="4EEF08B1"/>
    <w:rsid w:val="5A8B7B2E"/>
    <w:rsid w:val="5CB564CD"/>
    <w:rsid w:val="5EBB346E"/>
    <w:rsid w:val="5EDE3D64"/>
    <w:rsid w:val="60061202"/>
    <w:rsid w:val="61925183"/>
    <w:rsid w:val="61D0027D"/>
    <w:rsid w:val="66CB68F0"/>
    <w:rsid w:val="6983542A"/>
    <w:rsid w:val="6AAB0F10"/>
    <w:rsid w:val="6F1E0B0A"/>
    <w:rsid w:val="6F72024E"/>
    <w:rsid w:val="732E0930"/>
    <w:rsid w:val="75310D82"/>
    <w:rsid w:val="780802FA"/>
    <w:rsid w:val="78436C2C"/>
    <w:rsid w:val="784F530E"/>
    <w:rsid w:val="787E5EB6"/>
    <w:rsid w:val="7B2879A1"/>
    <w:rsid w:val="7EDB4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_Style 4"/>
    <w:basedOn w:val="1"/>
    <w:next w:val="1"/>
    <w:qFormat/>
    <w:uiPriority w:val="0"/>
    <w:pPr>
      <w:pBdr>
        <w:bottom w:val="single" w:color="auto" w:sz="6" w:space="1"/>
      </w:pBdr>
      <w:jc w:val="center"/>
    </w:pPr>
    <w:rPr>
      <w:rFonts w:ascii="Arial" w:eastAsia="宋体"/>
      <w:vanish/>
      <w:sz w:val="16"/>
    </w:rPr>
  </w:style>
  <w:style w:type="paragraph" w:customStyle="1" w:styleId="7">
    <w:name w:val="_Style 5"/>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ontrol" Target="activeX/activeX4.xml"/><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3.bin"/></Relationships>
</file>

<file path=word/activeX/_rels/activeX2.xml.rels><?xml version="1.0" encoding="UTF-8" standalone="yes"?>
<Relationships xmlns="http://schemas.openxmlformats.org/package/2006/relationships"><Relationship Id="rId1" Type="http://schemas.microsoft.com/office/2006/relationships/activeXControlBinary" Target="activeX4.bin"/></Relationships>
</file>

<file path=word/activeX/_rels/activeX3.xml.rels><?xml version="1.0" encoding="UTF-8" standalone="yes"?>
<Relationships xmlns="http://schemas.openxmlformats.org/package/2006/relationships"><Relationship Id="rId1" Type="http://schemas.microsoft.com/office/2006/relationships/activeXControlBinary" Target="activeX1.bin"/></Relationships>
</file>

<file path=word/activeX/_rels/activeX4.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r:id="rId1" ax:persistence="persistStorage"/>
</file>

<file path=word/activeX/activeX2.xml><?xml version="1.0" encoding="utf-8"?>
<ax:ocx xmlns:ax="http://schemas.microsoft.com/office/2006/activeX" xmlns:r="http://schemas.openxmlformats.org/officeDocument/2006/relationships" ax:classid="{8BD21D40-EC42-11CE-9E0D-00AA006002F3}" r:id="rId1" ax:persistence="persistStorage"/>
</file>

<file path=word/activeX/activeX3.xml><?xml version="1.0" encoding="utf-8"?>
<ax:ocx xmlns:ax="http://schemas.microsoft.com/office/2006/activeX" xmlns:r="http://schemas.openxmlformats.org/officeDocument/2006/relationships" ax:classid="{8BD21D40-EC42-11CE-9E0D-00AA006002F3}" r:id="rId1" ax:persistence="persistStorage"/>
</file>

<file path=word/activeX/activeX4.xml><?xml version="1.0" encoding="utf-8"?>
<ax:ocx xmlns:ax="http://schemas.microsoft.com/office/2006/activeX" xmlns:r="http://schemas.openxmlformats.org/officeDocument/2006/relationships" ax:classid="{8BD21D40-EC42-11CE-9E0D-00AA006002F3}"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6783</Words>
  <Characters>7548</Characters>
  <Lines>0</Lines>
  <Paragraphs>0</Paragraphs>
  <TotalTime>3</TotalTime>
  <ScaleCrop>false</ScaleCrop>
  <LinksUpToDate>false</LinksUpToDate>
  <CharactersWithSpaces>8066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2025-12-10T08:30:00Z</dcterms:created>
  <dc:creator>zz123</dc:creator>
  <cp:lastModifiedBy>zjxqing</cp:lastModifiedBy>
  <dcterms:modified xsi:type="dcterms:W3CDTF">2026-07-13T09:13:09Z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KSOTemplateDocerSaveRecord">
    <vt:lpwstr>eyJoZGlkIjoiZGJiNTUyOGNjYmZhMTcwNzY2NzQ5Mzk5ZTQwZjk4Y2MiLCJ1c2VySWQiOiI1NTQ3NjE1NjYifQ==</vt:lpwstr>
  </property>
  <property fmtid="{D5CDD505-2E9C-101B-9397-08002B2CF9AE}" pid="4" name="ICV">
    <vt:lpwstr>1ADC0387FBB64737A8C90057A8AC06FB_13</vt:lpwstr>
  </property>
</Properties>
</file>