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F6625">
      <w:pPr>
        <w:jc w:val="center"/>
        <w:rPr>
          <w:rFonts w:hint="eastAsia" w:asciiTheme="minorEastAsia" w:hAnsiTheme="minorEastAsia" w:cstheme="minorEastAsia"/>
          <w:b/>
          <w:bCs/>
          <w:sz w:val="32"/>
          <w:szCs w:val="32"/>
        </w:rPr>
      </w:pPr>
      <w:r>
        <w:rPr>
          <w:rFonts w:hint="eastAsia" w:asciiTheme="minorEastAsia" w:hAnsiTheme="minorEastAsia" w:cstheme="minorEastAsia"/>
          <w:b/>
          <w:bCs/>
          <w:sz w:val="32"/>
          <w:szCs w:val="32"/>
        </w:rPr>
        <w:t>反向竞价公告信息表</w:t>
      </w:r>
    </w:p>
    <w:p w14:paraId="72DCF51A">
      <w:pPr>
        <w:jc w:val="center"/>
        <w:rPr>
          <w:rFonts w:hint="eastAsia" w:asciiTheme="minorEastAsia" w:hAnsiTheme="minorEastAsia" w:cstheme="minorEastAsia"/>
          <w:b/>
          <w:bCs/>
          <w:sz w:val="28"/>
          <w:szCs w:val="28"/>
        </w:rPr>
      </w:pPr>
      <w:r>
        <w:rPr>
          <w:rFonts w:hint="eastAsia" w:asciiTheme="minorEastAsia" w:hAnsiTheme="minorEastAsia" w:cstheme="minorEastAsia"/>
          <w:color w:val="FF0000"/>
          <w:sz w:val="24"/>
        </w:rPr>
        <w:t>（以下信息必须填写，且会随公告一同发布，请谨慎填写）</w:t>
      </w:r>
    </w:p>
    <w:p w14:paraId="492AD045">
      <w:pPr>
        <w:rPr>
          <w:rFonts w:hint="eastAsia" w:asciiTheme="minorEastAsia" w:hAnsiTheme="minorEastAsia" w:cstheme="minorEastAsia"/>
          <w:b/>
          <w:bCs/>
          <w:color w:val="000000"/>
          <w:kern w:val="0"/>
          <w:sz w:val="28"/>
          <w:szCs w:val="28"/>
          <w:lang w:bidi="ar"/>
        </w:rPr>
      </w:pPr>
      <w:r>
        <w:rPr>
          <w:rFonts w:hint="eastAsia" w:asciiTheme="minorEastAsia" w:hAnsiTheme="minorEastAsia" w:cstheme="minorEastAsia"/>
          <w:b/>
          <w:bCs/>
          <w:sz w:val="28"/>
          <w:szCs w:val="28"/>
        </w:rPr>
        <w:t>反向竞价项目名称：</w:t>
      </w:r>
      <w:r>
        <w:rPr>
          <w:rFonts w:hint="eastAsia" w:asciiTheme="minorEastAsia" w:hAnsiTheme="minorEastAsia" w:cstheme="minorEastAsia"/>
          <w:b/>
          <w:bCs/>
          <w:color w:val="000000"/>
          <w:kern w:val="0"/>
          <w:sz w:val="28"/>
          <w:szCs w:val="28"/>
          <w:lang w:bidi="ar"/>
        </w:rPr>
        <w:t>广西科技师范学院西1-203机房改造项目（软件）</w:t>
      </w:r>
    </w:p>
    <w:p w14:paraId="05B237F5">
      <w:pPr>
        <w:rPr>
          <w:rFonts w:hint="eastAsia" w:asciiTheme="minorEastAsia" w:hAnsi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联系人：</w:t>
      </w:r>
      <w:r>
        <w:rPr>
          <w:rFonts w:hint="eastAsia" w:asciiTheme="minorEastAsia" w:hAnsiTheme="minorEastAsia" w:cstheme="minorEastAsia"/>
          <w:b/>
          <w:bCs/>
          <w:sz w:val="28"/>
          <w:szCs w:val="28"/>
          <w:lang w:val="en-US" w:eastAsia="zh-CN"/>
        </w:rPr>
        <w:t xml:space="preserve">吴老师      </w:t>
      </w:r>
      <w:r>
        <w:rPr>
          <w:rFonts w:hint="eastAsia" w:asciiTheme="minorEastAsia" w:hAnsiTheme="minorEastAsia" w:eastAsiaTheme="minorEastAsia" w:cstheme="minorEastAsia"/>
          <w:b/>
          <w:bCs/>
          <w:sz w:val="28"/>
          <w:szCs w:val="28"/>
          <w:lang w:val="en-US" w:eastAsia="zh-CN"/>
        </w:rPr>
        <w:t>电话：</w:t>
      </w:r>
      <w:r>
        <w:rPr>
          <w:rFonts w:hint="eastAsia" w:asciiTheme="minorEastAsia" w:hAnsiTheme="minorEastAsia" w:cstheme="minorEastAsia"/>
          <w:b/>
          <w:bCs/>
          <w:sz w:val="28"/>
          <w:szCs w:val="28"/>
          <w:lang w:val="en-US" w:eastAsia="zh-CN"/>
        </w:rPr>
        <w:t>0772-6620920</w:t>
      </w:r>
      <w:r>
        <w:rPr>
          <w:rFonts w:hint="eastAsia" w:asciiTheme="minorEastAsia" w:hAnsiTheme="minorEastAsia" w:cstheme="minorEastAsia"/>
          <w:b/>
          <w:bCs/>
          <w:sz w:val="28"/>
          <w:szCs w:val="28"/>
        </w:rPr>
        <w:t xml:space="preserve">           </w:t>
      </w:r>
    </w:p>
    <w:p w14:paraId="67ECA909">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预算总价：</w:t>
      </w:r>
      <w:r>
        <w:rPr>
          <w:rFonts w:hint="eastAsia" w:asciiTheme="minorEastAsia" w:hAnsiTheme="minorEastAsia" w:cstheme="minorEastAsia"/>
          <w:sz w:val="28"/>
          <w:szCs w:val="28"/>
        </w:rPr>
        <w:t>46800元</w:t>
      </w:r>
    </w:p>
    <w:p w14:paraId="4C580603">
      <w:pPr>
        <w:rPr>
          <w:rFonts w:hint="eastAsia" w:asciiTheme="minorEastAsia" w:hAnsiTheme="minorEastAsia" w:cstheme="minorEastAsia"/>
          <w:color w:val="FF0000"/>
          <w:sz w:val="28"/>
          <w:szCs w:val="28"/>
        </w:rPr>
      </w:pPr>
      <w:r>
        <w:rPr>
          <w:rFonts w:hint="eastAsia" w:asciiTheme="minorEastAsia" w:hAnsiTheme="minorEastAsia" w:cstheme="minorEastAsia"/>
          <w:b/>
          <w:bCs/>
          <w:sz w:val="28"/>
          <w:szCs w:val="28"/>
        </w:rPr>
        <w:t>商品信息：教学桌面云系统</w:t>
      </w:r>
    </w:p>
    <w:p w14:paraId="10231431">
      <w:pPr>
        <w:rPr>
          <w:rFonts w:hint="eastAsia" w:asciiTheme="minorEastAsia" w:hAnsiTheme="minorEastAsia" w:cstheme="minorEastAsia"/>
          <w:sz w:val="28"/>
          <w:szCs w:val="28"/>
        </w:rPr>
      </w:pPr>
      <w:r>
        <w:rPr>
          <w:rFonts w:hint="eastAsia" w:asciiTheme="minorEastAsia" w:hAnsiTheme="minorEastAsia" w:cstheme="minorEastAsia"/>
          <w:b/>
          <w:bCs/>
          <w:sz w:val="28"/>
          <w:szCs w:val="28"/>
        </w:rPr>
        <w:t>商品类目：教学软件</w:t>
      </w:r>
    </w:p>
    <w:p w14:paraId="66FDD081">
      <w:pPr>
        <w:rPr>
          <w:rFonts w:hint="eastAsia" w:asciiTheme="minorEastAsia" w:hAnsiTheme="minorEastAsia" w:cstheme="minorEastAsia"/>
          <w:color w:val="FF0000"/>
          <w:sz w:val="24"/>
        </w:rPr>
      </w:pPr>
      <w:r>
        <w:rPr>
          <w:rFonts w:hint="eastAsia" w:asciiTheme="minorEastAsia" w:hAnsiTheme="minorEastAsia" w:cstheme="minorEastAsia"/>
          <w:b/>
          <w:bCs/>
          <w:sz w:val="28"/>
          <w:szCs w:val="28"/>
        </w:rPr>
        <w:t>品牌：</w:t>
      </w:r>
      <w:r>
        <w:rPr>
          <w:rFonts w:hint="eastAsia" w:asciiTheme="minorEastAsia" w:hAnsiTheme="minorEastAsia" w:cstheme="minorEastAsia"/>
          <w:sz w:val="24"/>
        </w:rPr>
        <w:t>详见报价清单</w:t>
      </w:r>
    </w:p>
    <w:p w14:paraId="2211355A">
      <w:pPr>
        <w:rPr>
          <w:rFonts w:hint="eastAsia" w:asciiTheme="minorEastAsia" w:hAnsiTheme="minorEastAsia" w:cstheme="minorEastAsia"/>
          <w:color w:val="FF0000"/>
          <w:sz w:val="24"/>
        </w:rPr>
      </w:pPr>
      <w:r>
        <w:rPr>
          <w:rFonts w:hint="eastAsia" w:asciiTheme="minorEastAsia" w:hAnsiTheme="minorEastAsia" w:cstheme="minorEastAsia"/>
          <w:b/>
          <w:bCs/>
          <w:sz w:val="28"/>
          <w:szCs w:val="28"/>
        </w:rPr>
        <w:t>参数要求：</w:t>
      </w:r>
      <w:r>
        <w:rPr>
          <w:rFonts w:hint="eastAsia" w:asciiTheme="minorEastAsia" w:hAnsiTheme="minorEastAsia" w:cstheme="minorEastAsia"/>
          <w:sz w:val="24"/>
        </w:rPr>
        <w:t>详见报价清单</w:t>
      </w:r>
    </w:p>
    <w:p w14:paraId="6603C3AB">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单位</w:t>
      </w:r>
      <w:r>
        <w:rPr>
          <w:rFonts w:hint="eastAsia" w:asciiTheme="minorEastAsia" w:hAnsiTheme="minorEastAsia" w:cstheme="minorEastAsia"/>
          <w:sz w:val="28"/>
          <w:szCs w:val="28"/>
        </w:rPr>
        <w:t>（套）</w:t>
      </w:r>
      <w:r>
        <w:rPr>
          <w:rFonts w:hint="eastAsia" w:asciiTheme="minorEastAsia" w:hAnsiTheme="minorEastAsia" w:cstheme="minorEastAsia"/>
          <w:b/>
          <w:bCs/>
          <w:sz w:val="28"/>
          <w:szCs w:val="28"/>
        </w:rPr>
        <w:t>：60套</w:t>
      </w:r>
    </w:p>
    <w:p w14:paraId="3116A87A">
      <w:pPr>
        <w:rPr>
          <w:rFonts w:hint="eastAsia" w:asciiTheme="minorEastAsia" w:hAnsiTheme="minorEastAsia" w:cstheme="minorEastAsia"/>
          <w:b/>
          <w:bCs/>
          <w:color w:val="FF0000"/>
          <w:sz w:val="28"/>
          <w:szCs w:val="28"/>
        </w:rPr>
      </w:pPr>
      <w:r>
        <w:rPr>
          <w:rFonts w:hint="eastAsia" w:asciiTheme="minorEastAsia" w:hAnsiTheme="minorEastAsia" w:cstheme="minorEastAsia"/>
          <w:b/>
          <w:bCs/>
          <w:sz w:val="28"/>
          <w:szCs w:val="28"/>
        </w:rPr>
        <w:t>最高单价：</w:t>
      </w:r>
      <w:r>
        <w:rPr>
          <w:rFonts w:hint="eastAsia" w:asciiTheme="minorEastAsia" w:hAnsiTheme="minorEastAsia" w:cstheme="minorEastAsia"/>
          <w:sz w:val="24"/>
        </w:rPr>
        <w:t>详见报价清单</w:t>
      </w:r>
    </w:p>
    <w:p w14:paraId="704AC9D0">
      <w:pPr>
        <w:rPr>
          <w:rFonts w:hint="eastAsia" w:asciiTheme="minorEastAsia" w:hAnsiTheme="minorEastAsia" w:cstheme="minorEastAsia"/>
          <w:color w:val="FF0000"/>
          <w:sz w:val="24"/>
        </w:rPr>
      </w:pPr>
      <w:r>
        <w:rPr>
          <w:rFonts w:hint="eastAsia" w:asciiTheme="minorEastAsia" w:hAnsiTheme="minorEastAsia" w:cstheme="minorEastAsia"/>
          <w:b/>
          <w:bCs/>
          <w:sz w:val="28"/>
          <w:szCs w:val="28"/>
        </w:rPr>
        <w:t>最高总价：</w:t>
      </w:r>
      <w:r>
        <w:rPr>
          <w:rFonts w:hint="eastAsia" w:asciiTheme="minorEastAsia" w:hAnsiTheme="minorEastAsia" w:cstheme="minorEastAsia"/>
          <w:sz w:val="24"/>
        </w:rPr>
        <w:t>详见报价清单</w:t>
      </w:r>
    </w:p>
    <w:p w14:paraId="67C79183">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供应商响应附件要求：</w:t>
      </w:r>
      <w:r>
        <w:rPr>
          <w:rFonts w:hint="eastAsia" w:asciiTheme="minorEastAsia" w:hAnsiTheme="minorEastAsia" w:cstheme="minorEastAsia"/>
          <w:b/>
          <w:bCs/>
          <w:sz w:val="28"/>
          <w:szCs w:val="28"/>
        </w:rPr>
        <w:sym w:font="Wingdings 2" w:char="0052"/>
      </w:r>
      <w:r>
        <w:rPr>
          <w:rFonts w:hint="eastAsia" w:asciiTheme="minorEastAsia" w:hAnsiTheme="minorEastAsia" w:cstheme="minorEastAsia"/>
          <w:b/>
          <w:bCs/>
          <w:sz w:val="28"/>
          <w:szCs w:val="28"/>
        </w:rPr>
        <w:t xml:space="preserve"> 必须上传；</w:t>
      </w:r>
      <w:r>
        <w:rPr>
          <w:rFonts w:hint="eastAsia" w:asciiTheme="minorEastAsia" w:hAnsiTheme="minorEastAsia" w:cstheme="minorEastAsia"/>
          <w:b/>
          <w:bCs/>
          <w:sz w:val="28"/>
          <w:szCs w:val="28"/>
        </w:rPr>
        <w:sym w:font="Wingdings 2" w:char="00A3"/>
      </w:r>
      <w:r>
        <w:rPr>
          <w:rFonts w:hint="eastAsia" w:asciiTheme="minorEastAsia" w:hAnsiTheme="minorEastAsia" w:cstheme="minorEastAsia"/>
          <w:b/>
          <w:bCs/>
          <w:sz w:val="28"/>
          <w:szCs w:val="28"/>
        </w:rPr>
        <w:t xml:space="preserve"> 可不上传</w:t>
      </w:r>
    </w:p>
    <w:p w14:paraId="09872290">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所需上传的附件:</w:t>
      </w:r>
      <w:r>
        <w:rPr>
          <w:rFonts w:hint="eastAsia" w:asciiTheme="minorEastAsia" w:hAnsiTheme="minorEastAsia" w:cstheme="minorEastAsia"/>
          <w:sz w:val="24"/>
        </w:rPr>
        <w:t>详见报价清单</w:t>
      </w:r>
    </w:p>
    <w:p w14:paraId="62166A7C">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竞价需求公示期：</w:t>
      </w:r>
      <w:r>
        <w:rPr>
          <w:rFonts w:hint="eastAsia" w:asciiTheme="minorEastAsia" w:hAnsiTheme="minorEastAsia" w:cstheme="minorEastAsia"/>
          <w:b/>
          <w:bCs/>
          <w:sz w:val="28"/>
          <w:szCs w:val="28"/>
          <w:u w:val="single"/>
        </w:rPr>
        <w:t xml:space="preserve">  3  </w:t>
      </w:r>
      <w:r>
        <w:rPr>
          <w:rFonts w:hint="eastAsia" w:asciiTheme="minorEastAsia" w:hAnsiTheme="minorEastAsia" w:cstheme="minorEastAsia"/>
          <w:b/>
          <w:bCs/>
          <w:sz w:val="28"/>
          <w:szCs w:val="28"/>
        </w:rPr>
        <w:t>个工作日公示开始时间 ：</w:t>
      </w:r>
    </w:p>
    <w:p w14:paraId="12582CC6">
      <w:pPr>
        <w:rPr>
          <w:rFonts w:hint="eastAsia" w:asciiTheme="minorEastAsia" w:hAnsiTheme="minorEastAsia" w:cstheme="minorEastAsia"/>
          <w:b/>
          <w:bCs/>
          <w:sz w:val="28"/>
          <w:szCs w:val="28"/>
          <w:u w:val="single"/>
        </w:rPr>
      </w:pPr>
      <w:r>
        <w:rPr>
          <w:rFonts w:hint="eastAsia" w:asciiTheme="minorEastAsia" w:hAnsiTheme="minorEastAsia" w:cstheme="minorEastAsia"/>
          <w:b/>
          <w:bCs/>
          <w:sz w:val="28"/>
          <w:szCs w:val="28"/>
        </w:rPr>
        <w:t>竞价开始时间 ：</w:t>
      </w:r>
      <w:r>
        <w:rPr>
          <w:rFonts w:hint="eastAsia" w:asciiTheme="minorEastAsia" w:hAnsiTheme="minorEastAsia" w:cstheme="minorEastAsia"/>
          <w:b/>
          <w:bCs/>
          <w:sz w:val="28"/>
          <w:szCs w:val="28"/>
          <w:u w:val="single"/>
        </w:rPr>
        <w:t xml:space="preserve">  </w:t>
      </w:r>
      <w:r>
        <w:rPr>
          <w:rFonts w:hint="eastAsia" w:asciiTheme="minorEastAsia" w:hAnsiTheme="minorEastAsia" w:cstheme="minorEastAsia"/>
          <w:b/>
          <w:bCs/>
          <w:sz w:val="28"/>
          <w:szCs w:val="28"/>
        </w:rPr>
        <w:t>年</w:t>
      </w:r>
      <w:r>
        <w:rPr>
          <w:rFonts w:hint="eastAsia" w:asciiTheme="minorEastAsia" w:hAnsiTheme="minorEastAsia" w:cstheme="minorEastAsia"/>
          <w:b/>
          <w:bCs/>
          <w:sz w:val="28"/>
          <w:szCs w:val="28"/>
          <w:u w:val="single"/>
        </w:rPr>
        <w:t xml:space="preserve">   </w:t>
      </w:r>
      <w:r>
        <w:rPr>
          <w:rFonts w:hint="eastAsia" w:asciiTheme="minorEastAsia" w:hAnsiTheme="minorEastAsia" w:cstheme="minorEastAsia"/>
          <w:b/>
          <w:bCs/>
          <w:sz w:val="28"/>
          <w:szCs w:val="28"/>
        </w:rPr>
        <w:t>月</w:t>
      </w:r>
      <w:r>
        <w:rPr>
          <w:rFonts w:hint="eastAsia" w:asciiTheme="minorEastAsia" w:hAnsiTheme="minorEastAsia" w:cstheme="minorEastAsia"/>
          <w:b/>
          <w:bCs/>
          <w:sz w:val="28"/>
          <w:szCs w:val="28"/>
          <w:u w:val="single"/>
        </w:rPr>
        <w:t xml:space="preserve">  </w:t>
      </w:r>
      <w:r>
        <w:rPr>
          <w:rFonts w:hint="eastAsia" w:asciiTheme="minorEastAsia" w:hAnsiTheme="minorEastAsia" w:cstheme="minorEastAsia"/>
          <w:b/>
          <w:bCs/>
          <w:sz w:val="28"/>
          <w:szCs w:val="28"/>
        </w:rPr>
        <w:t>日</w:t>
      </w:r>
      <w:r>
        <w:rPr>
          <w:rFonts w:hint="eastAsia" w:asciiTheme="minorEastAsia" w:hAnsiTheme="minorEastAsia" w:cstheme="minorEastAsia"/>
          <w:b/>
          <w:bCs/>
          <w:sz w:val="28"/>
          <w:szCs w:val="28"/>
          <w:u w:val="single"/>
        </w:rPr>
        <w:t xml:space="preserve"> </w:t>
      </w:r>
      <w:r>
        <w:rPr>
          <w:rFonts w:hint="eastAsia" w:asciiTheme="minorEastAsia" w:hAnsiTheme="minorEastAsia" w:cstheme="minorEastAsia"/>
          <w:b/>
          <w:bCs/>
          <w:color w:val="FF0000"/>
          <w:sz w:val="28"/>
          <w:szCs w:val="28"/>
          <w:u w:val="single"/>
        </w:rPr>
        <w:t xml:space="preserve">09 </w:t>
      </w:r>
      <w:r>
        <w:rPr>
          <w:rFonts w:hint="eastAsia" w:asciiTheme="minorEastAsia" w:hAnsiTheme="minorEastAsia" w:cstheme="minorEastAsia"/>
          <w:b/>
          <w:bCs/>
          <w:sz w:val="28"/>
          <w:szCs w:val="28"/>
          <w:u w:val="single"/>
        </w:rPr>
        <w:t xml:space="preserve"> </w:t>
      </w:r>
      <w:r>
        <w:rPr>
          <w:rFonts w:hint="eastAsia" w:asciiTheme="minorEastAsia" w:hAnsiTheme="minorEastAsia" w:cstheme="minorEastAsia"/>
          <w:b/>
          <w:bCs/>
          <w:sz w:val="28"/>
          <w:szCs w:val="28"/>
        </w:rPr>
        <w:t>：</w:t>
      </w:r>
      <w:r>
        <w:rPr>
          <w:rFonts w:hint="eastAsia" w:asciiTheme="minorEastAsia" w:hAnsiTheme="minorEastAsia" w:cstheme="minorEastAsia"/>
          <w:b/>
          <w:bCs/>
          <w:sz w:val="28"/>
          <w:szCs w:val="28"/>
          <w:u w:val="single"/>
        </w:rPr>
        <w:t xml:space="preserve"> </w:t>
      </w:r>
      <w:r>
        <w:rPr>
          <w:rFonts w:hint="eastAsia" w:asciiTheme="minorEastAsia" w:hAnsiTheme="minorEastAsia" w:cstheme="minorEastAsia"/>
          <w:b/>
          <w:bCs/>
          <w:color w:val="FF0000"/>
          <w:sz w:val="28"/>
          <w:szCs w:val="28"/>
          <w:u w:val="single"/>
        </w:rPr>
        <w:t>00</w:t>
      </w:r>
      <w:r>
        <w:rPr>
          <w:rFonts w:hint="eastAsia" w:asciiTheme="minorEastAsia" w:hAnsiTheme="minorEastAsia" w:cstheme="minorEastAsia"/>
          <w:b/>
          <w:bCs/>
          <w:sz w:val="28"/>
          <w:szCs w:val="28"/>
          <w:u w:val="single"/>
        </w:rPr>
        <w:t xml:space="preserve"> </w:t>
      </w:r>
    </w:p>
    <w:p w14:paraId="5F3AD961">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竞价截止时间 ：竞价开始后</w:t>
      </w:r>
      <w:r>
        <w:rPr>
          <w:rFonts w:hint="eastAsia" w:asciiTheme="minorEastAsia" w:hAnsiTheme="minorEastAsia" w:cstheme="minorEastAsia"/>
          <w:b/>
          <w:bCs/>
          <w:sz w:val="28"/>
          <w:szCs w:val="28"/>
          <w:u w:val="single"/>
        </w:rPr>
        <w:t>45</w:t>
      </w:r>
      <w:r>
        <w:rPr>
          <w:rFonts w:hint="eastAsia" w:asciiTheme="minorEastAsia" w:hAnsiTheme="minorEastAsia" w:cstheme="minorEastAsia"/>
          <w:b/>
          <w:bCs/>
          <w:sz w:val="28"/>
          <w:szCs w:val="28"/>
        </w:rPr>
        <w:t>分钟；每轮：15 分钟；报价轮次：3 轮；若某个轮次无任何供应商参与报价，则系统判定竞价轮空，提前结束竞价活动。</w:t>
      </w:r>
    </w:p>
    <w:p w14:paraId="074E691F">
      <w:pPr>
        <w:rPr>
          <w:rFonts w:hint="eastAsia" w:asciiTheme="minorEastAsia" w:hAnsiTheme="minorEastAsia" w:cstheme="minorEastAsia"/>
          <w:color w:val="FF0000"/>
          <w:sz w:val="28"/>
          <w:szCs w:val="28"/>
        </w:rPr>
      </w:pPr>
      <w:r>
        <w:rPr>
          <w:rFonts w:hint="eastAsia" w:asciiTheme="minorEastAsia" w:hAnsiTheme="minorEastAsia" w:cstheme="minorEastAsia"/>
          <w:b/>
          <w:bCs/>
          <w:sz w:val="28"/>
          <w:szCs w:val="28"/>
        </w:rPr>
        <w:t>有效竞价标准：首轮：有效报价供应商不少于</w:t>
      </w:r>
      <w:r>
        <w:rPr>
          <w:rFonts w:hint="eastAsia" w:asciiTheme="minorEastAsia" w:hAnsiTheme="minorEastAsia" w:cstheme="minorEastAsia"/>
          <w:b/>
          <w:bCs/>
          <w:sz w:val="28"/>
          <w:szCs w:val="28"/>
          <w:u w:val="single"/>
        </w:rPr>
        <w:t xml:space="preserve"> 3  </w:t>
      </w:r>
      <w:r>
        <w:rPr>
          <w:rFonts w:hint="eastAsia" w:asciiTheme="minorEastAsia" w:hAnsiTheme="minorEastAsia" w:cstheme="minorEastAsia"/>
          <w:b/>
          <w:bCs/>
          <w:sz w:val="28"/>
          <w:szCs w:val="28"/>
        </w:rPr>
        <w:t>家</w:t>
      </w:r>
    </w:p>
    <w:p w14:paraId="13E70C32">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成交规则：采购人在有效报价的供应商中，手动确认成交供应商。</w:t>
      </w:r>
    </w:p>
    <w:p w14:paraId="51BA8514">
      <w:pPr>
        <w:rPr>
          <w:rFonts w:hint="eastAsia" w:asciiTheme="minorEastAsia" w:hAnsiTheme="minorEastAsia" w:cstheme="minorEastAsia"/>
          <w:color w:val="FF0000"/>
          <w:sz w:val="28"/>
          <w:szCs w:val="28"/>
        </w:rPr>
      </w:pPr>
      <w:r>
        <w:rPr>
          <w:rFonts w:hint="eastAsia" w:asciiTheme="minorEastAsia" w:hAnsiTheme="minorEastAsia" w:cstheme="minorEastAsia"/>
          <w:b/>
          <w:bCs/>
          <w:sz w:val="28"/>
          <w:szCs w:val="28"/>
        </w:rPr>
        <w:t>降价幅度 ：</w:t>
      </w:r>
      <w:r>
        <w:rPr>
          <w:rFonts w:hint="eastAsia" w:asciiTheme="minorEastAsia" w:hAnsiTheme="minorEastAsia" w:cstheme="minorEastAsia"/>
          <w:b/>
          <w:bCs/>
          <w:sz w:val="28"/>
          <w:szCs w:val="28"/>
          <w:u w:val="single"/>
        </w:rPr>
        <w:t xml:space="preserve"> 100   </w:t>
      </w:r>
      <w:r>
        <w:rPr>
          <w:rFonts w:hint="eastAsia" w:asciiTheme="minorEastAsia" w:hAnsiTheme="minorEastAsia" w:cstheme="minorEastAsia"/>
          <w:b/>
          <w:bCs/>
          <w:sz w:val="28"/>
          <w:szCs w:val="28"/>
        </w:rPr>
        <w:t>元</w:t>
      </w:r>
    </w:p>
    <w:p w14:paraId="60332360">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报价策略：明拍</w:t>
      </w:r>
      <w:r>
        <w:rPr>
          <w:rFonts w:hint="eastAsia" w:asciiTheme="minorEastAsia" w:hAnsiTheme="minorEastAsia" w:cstheme="minorEastAsia"/>
          <w:sz w:val="28"/>
          <w:szCs w:val="28"/>
        </w:rPr>
        <w:t> </w:t>
      </w:r>
    </w:p>
    <w:p w14:paraId="1E36F5B3">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结果确认时间：竞价结束后</w:t>
      </w:r>
      <w:r>
        <w:rPr>
          <w:rFonts w:hint="eastAsia" w:asciiTheme="minorEastAsia" w:hAnsiTheme="minorEastAsia" w:cstheme="minorEastAsia"/>
          <w:b/>
          <w:bCs/>
          <w:sz w:val="28"/>
          <w:szCs w:val="28"/>
          <w:u w:val="single"/>
        </w:rPr>
        <w:t xml:space="preserve">  7  </w:t>
      </w:r>
      <w:r>
        <w:rPr>
          <w:rFonts w:hint="eastAsia" w:asciiTheme="minorEastAsia" w:hAnsiTheme="minorEastAsia" w:cstheme="minorEastAsia"/>
          <w:b/>
          <w:bCs/>
          <w:sz w:val="28"/>
          <w:szCs w:val="28"/>
        </w:rPr>
        <w:t>个工作日内。</w:t>
      </w:r>
    </w:p>
    <w:p w14:paraId="5B3AD5C2">
      <w:pPr>
        <w:rPr>
          <w:rFonts w:hint="eastAsia" w:asciiTheme="minorEastAsia" w:hAnsiTheme="minorEastAsia" w:cstheme="minorEastAsia"/>
          <w:b/>
          <w:bCs/>
          <w:color w:val="FF0000"/>
          <w:sz w:val="28"/>
          <w:szCs w:val="28"/>
        </w:rPr>
      </w:pPr>
      <w:r>
        <w:rPr>
          <w:rFonts w:hint="eastAsia" w:asciiTheme="minorEastAsia" w:hAnsiTheme="minorEastAsia" w:cstheme="minorEastAsia"/>
          <w:b/>
          <w:bCs/>
          <w:sz w:val="28"/>
          <w:szCs w:val="28"/>
        </w:rPr>
        <w:t>商务要求：按照以下内容</w:t>
      </w:r>
    </w:p>
    <w:p w14:paraId="522AC753">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交货时间及地点：</w:t>
      </w:r>
    </w:p>
    <w:p w14:paraId="12D1C420">
      <w:pPr>
        <w:rPr>
          <w:rFonts w:hint="eastAsia" w:asciiTheme="minorEastAsia" w:hAnsiTheme="minorEastAsia" w:cstheme="minorEastAsia"/>
          <w:sz w:val="28"/>
          <w:szCs w:val="28"/>
        </w:rPr>
      </w:pPr>
      <w:r>
        <w:rPr>
          <w:rFonts w:hint="eastAsia" w:asciiTheme="minorEastAsia" w:hAnsiTheme="minorEastAsia" w:cstheme="minorEastAsia"/>
          <w:sz w:val="28"/>
          <w:szCs w:val="28"/>
        </w:rPr>
        <w:t>交付使用期：采购人与成交供应商应在中标通知书发起7个工作日之内签订书面合同，自合同签订之日起20天内到货并安装调试完毕。</w:t>
      </w:r>
    </w:p>
    <w:p w14:paraId="50A39D90">
      <w:pPr>
        <w:rPr>
          <w:rFonts w:hint="eastAsia" w:asciiTheme="minorEastAsia" w:hAnsiTheme="minorEastAsia" w:cstheme="minorEastAsia"/>
          <w:sz w:val="28"/>
          <w:szCs w:val="28"/>
        </w:rPr>
      </w:pPr>
      <w:r>
        <w:rPr>
          <w:rFonts w:hint="eastAsia" w:asciiTheme="minorEastAsia" w:hAnsiTheme="minorEastAsia" w:cstheme="minorEastAsia"/>
          <w:sz w:val="28"/>
          <w:szCs w:val="28"/>
        </w:rPr>
        <w:t>交货地点：采购人指定地点。</w:t>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p>
    <w:p w14:paraId="22AE8D1D">
      <w:pPr>
        <w:rPr>
          <w:rFonts w:hint="eastAsia" w:asciiTheme="minorEastAsia" w:hAnsiTheme="minorEastAsia" w:cstheme="minorEastAsia"/>
          <w:sz w:val="28"/>
          <w:szCs w:val="28"/>
        </w:rPr>
      </w:pPr>
      <w:r>
        <w:rPr>
          <w:rFonts w:hint="eastAsia" w:asciiTheme="minorEastAsia" w:hAnsiTheme="minorEastAsia" w:cstheme="minorEastAsia"/>
          <w:sz w:val="28"/>
          <w:szCs w:val="28"/>
        </w:rPr>
        <w:t>质量保证期：自安装、调试验收合格并交付使用之日起提供不少于3年的免费保修。</w:t>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p>
    <w:p w14:paraId="0A89FBA4">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报价要求：</w:t>
      </w:r>
    </w:p>
    <w:p w14:paraId="0BC811E8">
      <w:pPr>
        <w:rPr>
          <w:rFonts w:hint="eastAsia" w:asciiTheme="minorEastAsia" w:hAnsiTheme="minorEastAsia" w:cstheme="minorEastAsia"/>
          <w:sz w:val="28"/>
          <w:szCs w:val="28"/>
        </w:rPr>
      </w:pPr>
      <w:r>
        <w:rPr>
          <w:rFonts w:hint="eastAsia" w:asciiTheme="minorEastAsia" w:hAnsiTheme="minorEastAsia" w:cstheme="minorEastAsia"/>
          <w:sz w:val="28"/>
          <w:szCs w:val="28"/>
        </w:rPr>
        <w:t>1.以上所有货物报价含随配标准附件、备品备件、专用工具、包装费、运输费、运抵指定交货地点、装卸费、安装调试费、技术服务费、质保、保险、税金及其他所有成本费用的总和。</w:t>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p>
    <w:p w14:paraId="43BB4FCD">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售后服务要求：</w:t>
      </w:r>
    </w:p>
    <w:p w14:paraId="07015776">
      <w:pPr>
        <w:rPr>
          <w:rFonts w:hint="eastAsia" w:asciiTheme="minorEastAsia" w:hAnsiTheme="minorEastAsia" w:cstheme="minorEastAsia"/>
          <w:sz w:val="28"/>
          <w:szCs w:val="28"/>
        </w:rPr>
      </w:pPr>
      <w:r>
        <w:rPr>
          <w:rFonts w:hint="eastAsia" w:asciiTheme="minorEastAsia" w:hAnsiTheme="minorEastAsia" w:cstheme="minorEastAsia"/>
          <w:sz w:val="28"/>
          <w:szCs w:val="28"/>
        </w:rPr>
        <w:t>按照国家有关法律法规和“三包”规定，提供24小时的急修服务，一旦出现故障，接到报修电话后30分钟内有维修人员到达现场排除故障；一般故障修复时间不超过2小时，重大故障修复时间不超过24小时；质保期内发生故障需更换零配件的，必须保证零配件为原厂配件；质保期满后，需提供维护保养服务，并承诺以优于市场价格收取维保费。</w:t>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p>
    <w:p w14:paraId="7154FB34">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验收要求：</w:t>
      </w:r>
    </w:p>
    <w:p w14:paraId="1A6BCC87">
      <w:pPr>
        <w:rPr>
          <w:rFonts w:hint="eastAsia" w:asciiTheme="minorEastAsia" w:hAnsiTheme="minorEastAsia" w:cstheme="minorEastAsia"/>
          <w:sz w:val="28"/>
          <w:szCs w:val="28"/>
        </w:rPr>
      </w:pPr>
      <w:r>
        <w:rPr>
          <w:rFonts w:hint="eastAsia" w:asciiTheme="minorEastAsia" w:hAnsiTheme="minorEastAsia" w:cstheme="minorEastAsia"/>
          <w:sz w:val="28"/>
          <w:szCs w:val="28"/>
        </w:rPr>
        <w:t>完成供货及安装调试后，经采购人验收合格。</w:t>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p>
    <w:p w14:paraId="305133D4">
      <w:pPr>
        <w:rPr>
          <w:rFonts w:hint="eastAsia" w:asciiTheme="minorEastAsia" w:hAnsiTheme="minorEastAsia" w:cstheme="minorEastAsia"/>
          <w:sz w:val="28"/>
          <w:szCs w:val="28"/>
        </w:rPr>
      </w:pPr>
      <w:r>
        <w:rPr>
          <w:rFonts w:hint="eastAsia" w:asciiTheme="minorEastAsia" w:hAnsiTheme="minorEastAsia" w:cstheme="minorEastAsia"/>
          <w:sz w:val="28"/>
          <w:szCs w:val="28"/>
        </w:rPr>
        <w:t>实施和安装要求：</w:t>
      </w:r>
    </w:p>
    <w:p w14:paraId="1C2339A6">
      <w:pPr>
        <w:rPr>
          <w:rFonts w:hint="eastAsia" w:asciiTheme="minorEastAsia" w:hAnsiTheme="minorEastAsia" w:cstheme="minorEastAsia"/>
          <w:sz w:val="28"/>
          <w:szCs w:val="28"/>
        </w:rPr>
      </w:pPr>
      <w:r>
        <w:rPr>
          <w:rFonts w:hint="eastAsia" w:asciiTheme="minorEastAsia" w:hAnsiTheme="minorEastAsia" w:cstheme="minorEastAsia"/>
          <w:sz w:val="28"/>
          <w:szCs w:val="28"/>
        </w:rPr>
        <w:t>1.安装过程中的所有安全保障由成交人自行负责，并服从采购人现场负责人的指挥，按指定地点进行安装；</w:t>
      </w:r>
    </w:p>
    <w:p w14:paraId="4BBC7C6A">
      <w:pPr>
        <w:rPr>
          <w:rFonts w:hint="eastAsia" w:asciiTheme="minorEastAsia" w:hAnsiTheme="minorEastAsia" w:cstheme="minorEastAsia"/>
          <w:sz w:val="28"/>
          <w:szCs w:val="28"/>
        </w:rPr>
      </w:pPr>
      <w:r>
        <w:rPr>
          <w:rFonts w:hint="eastAsia" w:asciiTheme="minorEastAsia" w:hAnsiTheme="minorEastAsia" w:cstheme="minorEastAsia"/>
          <w:sz w:val="28"/>
          <w:szCs w:val="28"/>
        </w:rPr>
        <w:t>2.严格按产品的安装规范要求进行安装，确保安全。</w:t>
      </w:r>
    </w:p>
    <w:p w14:paraId="61A07060">
      <w:pPr>
        <w:rPr>
          <w:rFonts w:hint="eastAsia" w:asciiTheme="minorEastAsia" w:hAnsiTheme="minorEastAsia" w:cstheme="minorEastAsia"/>
          <w:sz w:val="28"/>
          <w:szCs w:val="28"/>
        </w:rPr>
      </w:pPr>
      <w:r>
        <w:rPr>
          <w:rFonts w:hint="eastAsia" w:asciiTheme="minorEastAsia" w:hAnsiTheme="minorEastAsia" w:cstheme="minorEastAsia"/>
          <w:sz w:val="28"/>
          <w:szCs w:val="28"/>
        </w:rPr>
        <w:t>3.供应商必须在供货时提供货物制造商针对本次采购项目出具的授权书与售后服务承诺书，否则拒绝验收货。</w:t>
      </w:r>
    </w:p>
    <w:p w14:paraId="66C04EFD">
      <w:pPr>
        <w:rPr>
          <w:rFonts w:hint="eastAsia" w:asciiTheme="minorEastAsia" w:hAnsiTheme="minorEastAsia" w:cstheme="minorEastAsia"/>
          <w:sz w:val="28"/>
          <w:szCs w:val="28"/>
        </w:rPr>
      </w:pPr>
      <w:r>
        <w:rPr>
          <w:rFonts w:hint="eastAsia" w:asciiTheme="minorEastAsia" w:hAnsiTheme="minorEastAsia" w:cstheme="minorEastAsia"/>
          <w:sz w:val="28"/>
          <w:szCs w:val="28"/>
        </w:rPr>
        <w:t>4.产品验收时成交供应商应将货物的全部有关产品说明书、设备使用手册、系统操作手册、已在原厂家购买的对应质保期年限的保修服务证明、原厂安装手册、技术文件、软件开发技术文档及安装、测试、验收报告等文档提交至采购人。</w:t>
      </w:r>
    </w:p>
    <w:p w14:paraId="3E88CDD0">
      <w:pPr>
        <w:rPr>
          <w:rFonts w:hint="eastAsia" w:asciiTheme="minorEastAsia" w:hAnsiTheme="minorEastAsia" w:cstheme="minorEastAsia"/>
          <w:sz w:val="28"/>
          <w:szCs w:val="28"/>
        </w:rPr>
      </w:pPr>
      <w:r>
        <w:rPr>
          <w:rFonts w:hint="eastAsia" w:asciiTheme="minorEastAsia" w:hAnsiTheme="minorEastAsia" w:cstheme="minorEastAsia"/>
          <w:sz w:val="28"/>
          <w:szCs w:val="28"/>
        </w:rPr>
        <w:t>5.合同履行过程中，采购人按照本项目合同及谈判文件、成交供应商响应文件承诺进行验收（或委托具有相应资质的第三方机构进行验收，费用由成交供应商承担，竞标报价时应考虑报价风险），如货物验收不合格，由成交供应商按采购人（或第三方验收机构）要求整改，成交供应商不按要求整改或拒不整改的，给采购单位造成的损失等费用由成交供应商承担。</w:t>
      </w:r>
    </w:p>
    <w:p w14:paraId="3F266472">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其他要求：</w:t>
      </w:r>
    </w:p>
    <w:p w14:paraId="2B924700">
      <w:pPr>
        <w:rPr>
          <w:rFonts w:hint="eastAsia" w:asciiTheme="minorEastAsia" w:hAnsiTheme="minorEastAsia" w:cstheme="minorEastAsia"/>
          <w:sz w:val="28"/>
          <w:szCs w:val="28"/>
        </w:rPr>
      </w:pPr>
      <w:r>
        <w:rPr>
          <w:rFonts w:asciiTheme="minorEastAsia" w:hAnsiTheme="minorEastAsia" w:cstheme="minorEastAsia"/>
          <w:sz w:val="28"/>
          <w:szCs w:val="28"/>
        </w:rPr>
        <w:t>成交供应商必须在供货前提供与合同技术参数要求及功能符合的全部样品一套至采购人处进行整体性能演示，如出现所提供样品不符技术参数要求或提供的实物样品未满足技术参数要求，视为违约，将上报政府采购监管部门予以处理。</w:t>
      </w:r>
    </w:p>
    <w:p w14:paraId="7C5C9116">
      <w:pPr>
        <w:rPr>
          <w:rFonts w:hint="eastAsia" w:asciiTheme="minorEastAsia" w:hAnsiTheme="minorEastAsia" w:cstheme="minorEastAsia"/>
          <w:sz w:val="28"/>
          <w:szCs w:val="28"/>
        </w:rPr>
      </w:pPr>
    </w:p>
    <w:p w14:paraId="14CD4C23">
      <w:pPr>
        <w:rPr>
          <w:rFonts w:hint="eastAsia" w:asciiTheme="minorEastAsia" w:hAnsiTheme="minorEastAsia" w:cstheme="minorEastAsia"/>
          <w:sz w:val="28"/>
          <w:szCs w:val="28"/>
        </w:rPr>
      </w:pPr>
      <w:r>
        <w:rPr>
          <w:rFonts w:hint="eastAsia" w:asciiTheme="minorEastAsia" w:hAnsiTheme="minorEastAsia" w:cstheme="minorEastAsia"/>
          <w:b/>
          <w:bCs/>
          <w:sz w:val="28"/>
          <w:szCs w:val="28"/>
        </w:rPr>
        <w:t>付款方式：</w:t>
      </w:r>
    </w:p>
    <w:p w14:paraId="4B08DB28">
      <w:pPr>
        <w:rPr>
          <w:rFonts w:hint="eastAsia" w:asciiTheme="minorEastAsia" w:hAnsiTheme="minorEastAsia" w:cstheme="minorEastAsia"/>
          <w:sz w:val="28"/>
          <w:szCs w:val="28"/>
        </w:rPr>
      </w:pPr>
      <w:r>
        <w:rPr>
          <w:rFonts w:hint="eastAsia" w:asciiTheme="minorEastAsia" w:hAnsiTheme="minorEastAsia" w:cstheme="minorEastAsia"/>
          <w:sz w:val="28"/>
          <w:szCs w:val="28"/>
        </w:rPr>
        <w:t>成交供应商将设备运至安装现场并经采购人验收确认后支付合同金额的100%。</w:t>
      </w:r>
    </w:p>
    <w:p w14:paraId="3531DB86">
      <w:pPr>
        <w:rPr>
          <w:rFonts w:hint="eastAsia" w:asciiTheme="minorEastAsia" w:hAnsiTheme="minorEastAsia" w:cstheme="minorEastAsia"/>
          <w:sz w:val="28"/>
          <w:szCs w:val="28"/>
        </w:rPr>
      </w:pPr>
      <w:r>
        <w:rPr>
          <w:rFonts w:hint="eastAsia" w:asciiTheme="minorEastAsia" w:hAnsiTheme="minorEastAsia" w:cstheme="minorEastAsia"/>
          <w:sz w:val="28"/>
          <w:szCs w:val="28"/>
        </w:rPr>
        <w:t>【注：每次付款前成交人均需要向采购人提供的合法合规的报销票据，采购人在15个工作日内向成交人支付款项。发票必须开具增值税专用发票】</w:t>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r>
        <w:rPr>
          <w:rFonts w:hint="eastAsia" w:asciiTheme="minorEastAsia" w:hAnsiTheme="minorEastAsia" w:cstheme="minorEastAsia"/>
          <w:sz w:val="28"/>
          <w:szCs w:val="28"/>
        </w:rPr>
        <w:tab/>
      </w:r>
    </w:p>
    <w:p w14:paraId="7F24F64B">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报价时需提交的相关资料：</w:t>
      </w:r>
    </w:p>
    <w:p w14:paraId="367CBA71">
      <w:pPr>
        <w:rPr>
          <w:rFonts w:hint="eastAsia" w:asciiTheme="minorEastAsia" w:hAnsiTheme="minorEastAsia" w:cstheme="minorEastAsia"/>
          <w:sz w:val="28"/>
          <w:szCs w:val="28"/>
        </w:rPr>
      </w:pPr>
      <w:r>
        <w:rPr>
          <w:rFonts w:hint="eastAsia" w:asciiTheme="minorEastAsia" w:hAnsiTheme="minorEastAsia" w:cstheme="minorEastAsia"/>
          <w:sz w:val="28"/>
          <w:szCs w:val="28"/>
        </w:rPr>
        <w:t>1.有效三证合一的营业执照副本复印件或营业执照复印件、税务登记证复印件、组织机构代码证副本复印件</w:t>
      </w:r>
    </w:p>
    <w:p w14:paraId="554659C4">
      <w:pPr>
        <w:rPr>
          <w:rFonts w:hint="eastAsia" w:asciiTheme="minorEastAsia" w:hAnsiTheme="minorEastAsia" w:cstheme="minorEastAsia"/>
          <w:sz w:val="28"/>
          <w:szCs w:val="28"/>
        </w:rPr>
      </w:pPr>
      <w:r>
        <w:rPr>
          <w:rFonts w:hint="eastAsia" w:asciiTheme="minorEastAsia" w:hAnsiTheme="minorEastAsia" w:cstheme="minorEastAsia"/>
          <w:sz w:val="28"/>
          <w:szCs w:val="28"/>
        </w:rPr>
        <w:t>2.报价响应文件，包含报价单、商务响应偏离表等。</w:t>
      </w:r>
    </w:p>
    <w:p w14:paraId="3F363C12">
      <w:pPr>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（以上材料必须加盖单位公章，必须提供，否则报价无效）  </w:t>
      </w:r>
    </w:p>
    <w:p w14:paraId="46D69B16">
      <w:pPr>
        <w:rPr>
          <w:rFonts w:hint="eastAsia" w:asciiTheme="minorEastAsia" w:hAnsiTheme="minorEastAsia" w:cstheme="minorEastAsia"/>
          <w:sz w:val="28"/>
          <w:szCs w:val="28"/>
        </w:rPr>
      </w:pPr>
      <w:r>
        <w:rPr>
          <w:rFonts w:hint="eastAsia" w:asciiTheme="minorEastAsia" w:hAnsiTheme="minorEastAsia" w:cstheme="minorEastAsia"/>
          <w:sz w:val="28"/>
          <w:szCs w:val="28"/>
        </w:rPr>
        <w:t>供应商要求</w:t>
      </w:r>
    </w:p>
    <w:p w14:paraId="36611B4E">
      <w:pPr>
        <w:rPr>
          <w:rFonts w:hint="eastAsia" w:asciiTheme="minorEastAsia" w:hAnsiTheme="minorEastAsia" w:cstheme="minorEastAsia"/>
          <w:sz w:val="28"/>
          <w:szCs w:val="28"/>
        </w:rPr>
      </w:pPr>
      <w:r>
        <w:rPr>
          <w:rFonts w:hint="eastAsia" w:asciiTheme="minorEastAsia" w:hAnsiTheme="minorEastAsia" w:cstheme="minorEastAsia"/>
          <w:sz w:val="28"/>
          <w:szCs w:val="28"/>
        </w:rPr>
        <w:t>基本要求：</w:t>
      </w:r>
    </w:p>
    <w:p w14:paraId="11CF3AB3">
      <w:pPr>
        <w:rPr>
          <w:rFonts w:hint="eastAsia" w:asciiTheme="minorEastAsia" w:hAnsiTheme="minorEastAsia" w:cstheme="minorEastAsia"/>
          <w:sz w:val="28"/>
          <w:szCs w:val="28"/>
        </w:rPr>
      </w:pPr>
      <w:r>
        <w:rPr>
          <w:rFonts w:hint="eastAsia" w:asciiTheme="minorEastAsia" w:hAnsiTheme="minorEastAsia" w:cstheme="minorEastAsia"/>
          <w:sz w:val="28"/>
          <w:szCs w:val="28"/>
        </w:rPr>
        <w:t>1、符合《中华人民共和国政府采购法》第二十二条的规定。 2、符合《关于规范政府采购供应商资格设定及资格审查的通知》第六条规定。 3、已在本系统注册并通过资质初审的供应商。</w:t>
      </w:r>
    </w:p>
    <w:p w14:paraId="3D9BD04C">
      <w:pP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是否邀请供应商：</w:t>
      </w:r>
      <w:r>
        <w:rPr>
          <w:rFonts w:hint="eastAsia" w:asciiTheme="minorEastAsia" w:hAnsiTheme="minorEastAsia" w:cstheme="minorEastAsia"/>
          <w:b/>
          <w:bCs/>
          <w:sz w:val="28"/>
          <w:szCs w:val="28"/>
        </w:rPr>
        <w:sym w:font="Wingdings 2" w:char="0052"/>
      </w:r>
      <w:r>
        <w:rPr>
          <w:rFonts w:hint="eastAsia" w:asciiTheme="minorEastAsia" w:hAnsiTheme="minorEastAsia" w:cstheme="minorEastAsia"/>
          <w:b/>
          <w:bCs/>
          <w:sz w:val="28"/>
          <w:szCs w:val="28"/>
        </w:rPr>
        <w:t>否；</w:t>
      </w:r>
      <w:r>
        <w:rPr>
          <w:rFonts w:hint="eastAsia" w:asciiTheme="minorEastAsia" w:hAnsiTheme="minorEastAsia" w:cstheme="minorEastAsia"/>
          <w:b/>
          <w:bCs/>
          <w:sz w:val="28"/>
          <w:szCs w:val="28"/>
        </w:rPr>
        <w:sym w:font="Wingdings 2" w:char="00A3"/>
      </w:r>
      <w:r>
        <w:rPr>
          <w:rFonts w:hint="eastAsia" w:asciiTheme="minorEastAsia" w:hAnsiTheme="minorEastAsia" w:cstheme="minorEastAsia"/>
          <w:b/>
          <w:bCs/>
          <w:sz w:val="28"/>
          <w:szCs w:val="28"/>
        </w:rPr>
        <w:t>是；邀请供应商名称：</w:t>
      </w:r>
    </w:p>
    <w:p w14:paraId="3BB6684E">
      <w:pPr>
        <w:rPr>
          <w:rFonts w:ascii="Helvetica" w:hAnsi="Helvetica" w:eastAsia="宋体" w:cs="Helvetica"/>
          <w:color w:val="FF0000"/>
          <w:szCs w:val="21"/>
          <w:shd w:val="clear" w:color="auto" w:fill="F7F7F7"/>
        </w:rPr>
      </w:pPr>
    </w:p>
    <w:p w14:paraId="0F7EB288">
      <w:pPr>
        <w:rPr>
          <w:rFonts w:hint="eastAsia" w:asciiTheme="minorEastAsia" w:hAnsiTheme="minorEastAsia" w:cstheme="minorEastAsia"/>
          <w:sz w:val="28"/>
          <w:szCs w:val="28"/>
        </w:rPr>
      </w:pPr>
      <w:r>
        <w:rPr>
          <w:rFonts w:hint="eastAsia" w:asciiTheme="minorEastAsia" w:hAnsiTheme="minorEastAsia" w:cstheme="minorEastAsia"/>
          <w:sz w:val="28"/>
          <w:szCs w:val="28"/>
        </w:rPr>
        <w:t>附件：</w:t>
      </w:r>
    </w:p>
    <w:tbl>
      <w:tblPr>
        <w:tblStyle w:val="5"/>
        <w:tblW w:w="9200" w:type="dxa"/>
        <w:tblInd w:w="93" w:type="dxa"/>
        <w:tblLayout w:type="fixed"/>
        <w:tblCellMar>
          <w:top w:w="0" w:type="dxa"/>
          <w:left w:w="108" w:type="dxa"/>
          <w:bottom w:w="0" w:type="dxa"/>
          <w:right w:w="108" w:type="dxa"/>
        </w:tblCellMar>
      </w:tblPr>
      <w:tblGrid>
        <w:gridCol w:w="434"/>
        <w:gridCol w:w="936"/>
        <w:gridCol w:w="681"/>
        <w:gridCol w:w="4064"/>
        <w:gridCol w:w="446"/>
        <w:gridCol w:w="660"/>
        <w:gridCol w:w="808"/>
        <w:gridCol w:w="1171"/>
      </w:tblGrid>
      <w:tr w14:paraId="37A869ED">
        <w:tblPrEx>
          <w:tblCellMar>
            <w:top w:w="0" w:type="dxa"/>
            <w:left w:w="108" w:type="dxa"/>
            <w:bottom w:w="0" w:type="dxa"/>
            <w:right w:w="108" w:type="dxa"/>
          </w:tblCellMar>
        </w:tblPrEx>
        <w:trPr>
          <w:trHeight w:val="739" w:hRule="atLeast"/>
        </w:trPr>
        <w:tc>
          <w:tcPr>
            <w:tcW w:w="9200" w:type="dxa"/>
            <w:gridSpan w:val="8"/>
            <w:tcBorders>
              <w:top w:val="single" w:color="000000" w:sz="4" w:space="0"/>
              <w:left w:val="single" w:color="000000" w:sz="4" w:space="0"/>
              <w:bottom w:val="single" w:color="000000" w:sz="4" w:space="0"/>
              <w:right w:val="single" w:color="000000" w:sz="4" w:space="0"/>
            </w:tcBorders>
            <w:vAlign w:val="center"/>
          </w:tcPr>
          <w:p w14:paraId="2228B969">
            <w:pPr>
              <w:jc w:val="center"/>
              <w:rPr>
                <w:rFonts w:hint="eastAsia" w:asciiTheme="minorEastAsia" w:hAnsiTheme="minorEastAsia" w:cstheme="minorEastAsia"/>
                <w:b/>
                <w:bCs/>
                <w:color w:val="auto"/>
                <w:sz w:val="28"/>
                <w:szCs w:val="28"/>
              </w:rPr>
            </w:pPr>
            <w:r>
              <w:rPr>
                <w:rFonts w:hint="eastAsia" w:asciiTheme="minorEastAsia" w:hAnsiTheme="minorEastAsia" w:cstheme="minorEastAsia"/>
                <w:b/>
                <w:bCs/>
                <w:color w:val="auto"/>
                <w:kern w:val="0"/>
                <w:sz w:val="28"/>
                <w:szCs w:val="28"/>
                <w:lang w:bidi="ar"/>
              </w:rPr>
              <w:t>广西科技师范学院西 1-203 机房改造项目（软件）</w:t>
            </w:r>
          </w:p>
          <w:p w14:paraId="1FAC6850">
            <w:pPr>
              <w:widowControl/>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8"/>
                <w:szCs w:val="28"/>
                <w:lang w:bidi="ar"/>
              </w:rPr>
              <w:t>项目报价单</w:t>
            </w:r>
          </w:p>
        </w:tc>
      </w:tr>
      <w:tr w14:paraId="2E126C92">
        <w:tblPrEx>
          <w:tblCellMar>
            <w:top w:w="0" w:type="dxa"/>
            <w:left w:w="108" w:type="dxa"/>
            <w:bottom w:w="0" w:type="dxa"/>
            <w:right w:w="108" w:type="dxa"/>
          </w:tblCellMar>
        </w:tblPrEx>
        <w:trPr>
          <w:trHeight w:val="920" w:hRule="atLeast"/>
        </w:trPr>
        <w:tc>
          <w:tcPr>
            <w:tcW w:w="434" w:type="dxa"/>
            <w:tcBorders>
              <w:top w:val="single" w:color="000000" w:sz="4" w:space="0"/>
              <w:left w:val="single" w:color="000000" w:sz="4" w:space="0"/>
              <w:bottom w:val="single" w:color="000000" w:sz="4" w:space="0"/>
              <w:right w:val="single" w:color="000000" w:sz="4" w:space="0"/>
            </w:tcBorders>
            <w:vAlign w:val="center"/>
          </w:tcPr>
          <w:p w14:paraId="158B4CAD">
            <w:pPr>
              <w:widowControl/>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序号</w:t>
            </w:r>
          </w:p>
        </w:tc>
        <w:tc>
          <w:tcPr>
            <w:tcW w:w="936" w:type="dxa"/>
            <w:tcBorders>
              <w:top w:val="single" w:color="000000" w:sz="4" w:space="0"/>
              <w:left w:val="single" w:color="000000" w:sz="4" w:space="0"/>
              <w:bottom w:val="single" w:color="000000" w:sz="4" w:space="0"/>
              <w:right w:val="single" w:color="000000" w:sz="4" w:space="0"/>
            </w:tcBorders>
            <w:vAlign w:val="center"/>
          </w:tcPr>
          <w:p w14:paraId="16BFFAD3">
            <w:pPr>
              <w:widowControl/>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货物名称</w:t>
            </w:r>
          </w:p>
        </w:tc>
        <w:tc>
          <w:tcPr>
            <w:tcW w:w="681" w:type="dxa"/>
            <w:tcBorders>
              <w:top w:val="single" w:color="000000" w:sz="4" w:space="0"/>
              <w:left w:val="single" w:color="000000" w:sz="4" w:space="0"/>
              <w:bottom w:val="single" w:color="000000" w:sz="4" w:space="0"/>
              <w:right w:val="single" w:color="000000" w:sz="4" w:space="0"/>
            </w:tcBorders>
            <w:vAlign w:val="center"/>
          </w:tcPr>
          <w:p w14:paraId="7EC2F5E6">
            <w:pPr>
              <w:widowControl/>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指定品牌</w:t>
            </w:r>
          </w:p>
        </w:tc>
        <w:tc>
          <w:tcPr>
            <w:tcW w:w="4064" w:type="dxa"/>
            <w:tcBorders>
              <w:top w:val="single" w:color="000000" w:sz="4" w:space="0"/>
              <w:left w:val="single" w:color="000000" w:sz="4" w:space="0"/>
              <w:bottom w:val="single" w:color="000000" w:sz="4" w:space="0"/>
              <w:right w:val="single" w:color="000000" w:sz="4" w:space="0"/>
            </w:tcBorders>
            <w:vAlign w:val="center"/>
          </w:tcPr>
          <w:p w14:paraId="6D586FBB">
            <w:pPr>
              <w:widowControl/>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规格参数</w:t>
            </w:r>
          </w:p>
        </w:tc>
        <w:tc>
          <w:tcPr>
            <w:tcW w:w="446" w:type="dxa"/>
            <w:tcBorders>
              <w:top w:val="single" w:color="000000" w:sz="4" w:space="0"/>
              <w:left w:val="single" w:color="000000" w:sz="4" w:space="0"/>
              <w:bottom w:val="single" w:color="000000" w:sz="4" w:space="0"/>
              <w:right w:val="single" w:color="000000" w:sz="4" w:space="0"/>
            </w:tcBorders>
            <w:vAlign w:val="center"/>
          </w:tcPr>
          <w:p w14:paraId="24A7C3D4">
            <w:pPr>
              <w:widowControl/>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单位</w:t>
            </w:r>
          </w:p>
        </w:tc>
        <w:tc>
          <w:tcPr>
            <w:tcW w:w="660" w:type="dxa"/>
            <w:tcBorders>
              <w:top w:val="single" w:color="000000" w:sz="4" w:space="0"/>
              <w:left w:val="single" w:color="000000" w:sz="4" w:space="0"/>
              <w:bottom w:val="single" w:color="000000" w:sz="4" w:space="0"/>
              <w:right w:val="single" w:color="000000" w:sz="4" w:space="0"/>
            </w:tcBorders>
            <w:vAlign w:val="center"/>
          </w:tcPr>
          <w:p w14:paraId="0BEF0CB7">
            <w:pPr>
              <w:widowControl/>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数量</w:t>
            </w:r>
          </w:p>
        </w:tc>
        <w:tc>
          <w:tcPr>
            <w:tcW w:w="808" w:type="dxa"/>
            <w:tcBorders>
              <w:top w:val="single" w:color="000000" w:sz="4" w:space="0"/>
              <w:left w:val="single" w:color="000000" w:sz="4" w:space="0"/>
              <w:bottom w:val="single" w:color="000000" w:sz="4" w:space="0"/>
              <w:right w:val="single" w:color="000000" w:sz="4" w:space="0"/>
            </w:tcBorders>
            <w:vAlign w:val="center"/>
          </w:tcPr>
          <w:p w14:paraId="2422B58C">
            <w:pPr>
              <w:widowControl/>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单价</w:t>
            </w:r>
          </w:p>
        </w:tc>
        <w:tc>
          <w:tcPr>
            <w:tcW w:w="1171" w:type="dxa"/>
            <w:tcBorders>
              <w:top w:val="single" w:color="000000" w:sz="4" w:space="0"/>
              <w:left w:val="single" w:color="000000" w:sz="4" w:space="0"/>
              <w:bottom w:val="single" w:color="000000" w:sz="4" w:space="0"/>
              <w:right w:val="single" w:color="000000" w:sz="4" w:space="0"/>
            </w:tcBorders>
            <w:vAlign w:val="center"/>
          </w:tcPr>
          <w:p w14:paraId="571E4F84">
            <w:pPr>
              <w:widowControl/>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金额（元）</w:t>
            </w:r>
          </w:p>
        </w:tc>
      </w:tr>
      <w:tr w14:paraId="04F53E4A">
        <w:tblPrEx>
          <w:tblCellMar>
            <w:top w:w="0" w:type="dxa"/>
            <w:left w:w="108" w:type="dxa"/>
            <w:bottom w:w="0" w:type="dxa"/>
            <w:right w:w="108" w:type="dxa"/>
          </w:tblCellMar>
        </w:tblPrEx>
        <w:trPr>
          <w:trHeight w:val="914" w:hRule="atLeast"/>
        </w:trPr>
        <w:tc>
          <w:tcPr>
            <w:tcW w:w="434" w:type="dxa"/>
            <w:tcBorders>
              <w:top w:val="single" w:color="000000" w:sz="4" w:space="0"/>
              <w:left w:val="single" w:color="000000" w:sz="4" w:space="0"/>
              <w:bottom w:val="single" w:color="000000" w:sz="4" w:space="0"/>
              <w:right w:val="single" w:color="000000" w:sz="4" w:space="0"/>
            </w:tcBorders>
            <w:vAlign w:val="center"/>
          </w:tcPr>
          <w:p w14:paraId="1BF98BC1">
            <w:pPr>
              <w:widowControl/>
              <w:jc w:val="center"/>
              <w:textAlignment w:val="center"/>
              <w:rPr>
                <w:rFonts w:hint="eastAsia"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7CA8F5C8">
            <w:pPr>
              <w:jc w:val="center"/>
              <w:rPr>
                <w:rFonts w:hint="eastAsia" w:ascii="宋体" w:hAnsi="宋体" w:eastAsia="宋体" w:cs="宋体"/>
                <w:b/>
                <w:bCs/>
                <w:color w:val="auto"/>
                <w:sz w:val="20"/>
                <w:szCs w:val="20"/>
              </w:rPr>
            </w:pPr>
            <w:r>
              <w:rPr>
                <w:rFonts w:ascii="宋体" w:hAnsi="宋体" w:eastAsia="宋体" w:cs="宋体"/>
                <w:b/>
                <w:bCs/>
                <w:color w:val="auto"/>
                <w:sz w:val="20"/>
                <w:szCs w:val="20"/>
              </w:rPr>
              <w:t>教学桌面云系统</w:t>
            </w:r>
          </w:p>
        </w:tc>
        <w:tc>
          <w:tcPr>
            <w:tcW w:w="681" w:type="dxa"/>
            <w:tcBorders>
              <w:top w:val="single" w:color="000000" w:sz="4" w:space="0"/>
              <w:left w:val="single" w:color="000000" w:sz="4" w:space="0"/>
              <w:bottom w:val="single" w:color="000000" w:sz="4" w:space="0"/>
              <w:right w:val="single" w:color="000000" w:sz="4" w:space="0"/>
            </w:tcBorders>
            <w:vAlign w:val="center"/>
          </w:tcPr>
          <w:p w14:paraId="04161E45">
            <w:pPr>
              <w:rPr>
                <w:rFonts w:hint="eastAsia" w:ascii="宋体" w:hAnsi="宋体" w:eastAsia="宋体" w:cs="宋体"/>
                <w:b/>
                <w:bCs/>
                <w:color w:val="auto"/>
                <w:sz w:val="20"/>
                <w:szCs w:val="20"/>
              </w:rPr>
            </w:pPr>
            <w:r>
              <w:rPr>
                <w:rFonts w:hint="eastAsia" w:ascii="宋体" w:hAnsi="宋体" w:eastAsia="宋体" w:cs="宋体"/>
                <w:b/>
                <w:bCs/>
                <w:color w:val="auto"/>
                <w:sz w:val="20"/>
                <w:szCs w:val="20"/>
              </w:rPr>
              <w:t>噢易云</w:t>
            </w:r>
          </w:p>
        </w:tc>
        <w:tc>
          <w:tcPr>
            <w:tcW w:w="4064" w:type="dxa"/>
            <w:tcBorders>
              <w:top w:val="single" w:color="000000" w:sz="4" w:space="0"/>
              <w:left w:val="single" w:color="000000" w:sz="4" w:space="0"/>
              <w:bottom w:val="single" w:color="000000" w:sz="4" w:space="0"/>
              <w:right w:val="single" w:color="000000" w:sz="4" w:space="0"/>
            </w:tcBorders>
            <w:vAlign w:val="center"/>
          </w:tcPr>
          <w:p w14:paraId="51B6ED96">
            <w:pPr>
              <w:widowControl/>
              <w:jc w:val="left"/>
              <w:textAlignment w:val="center"/>
              <w:rPr>
                <w:rFonts w:hint="eastAsia" w:ascii="宋体" w:hAnsi="宋体" w:cs="宋体"/>
                <w:color w:val="auto"/>
                <w:kern w:val="0"/>
              </w:rPr>
            </w:pPr>
            <w:r>
              <w:rPr>
                <w:rFonts w:hint="eastAsia" w:ascii="宋体" w:hAnsi="宋体" w:cs="宋体"/>
                <w:color w:val="auto"/>
                <w:kern w:val="0"/>
              </w:rPr>
              <w:t>一、</w:t>
            </w:r>
          </w:p>
          <w:p w14:paraId="02933D07">
            <w:pPr>
              <w:widowControl/>
              <w:jc w:val="left"/>
              <w:textAlignment w:val="center"/>
              <w:rPr>
                <w:rFonts w:hint="eastAsia" w:ascii="宋体" w:hAnsi="宋体" w:cs="宋体"/>
                <w:color w:val="auto"/>
                <w:kern w:val="0"/>
              </w:rPr>
            </w:pPr>
            <w:r>
              <w:rPr>
                <w:rFonts w:hint="eastAsia" w:ascii="宋体" w:hAnsi="宋体" w:cs="宋体"/>
                <w:color w:val="auto"/>
                <w:kern w:val="0"/>
              </w:rPr>
              <w:t>1.在首页页面，通过单一IP地址可访问 Web 管理平台并管理所有区域对象，多区域之间可以进行切换；在系统设置页面，可设定默认访问的主区域;在区域管理页面，可新增、修改、删除子区域，新增区域时验证对应平台的账号和密码。</w:t>
            </w:r>
          </w:p>
          <w:p w14:paraId="1967535F">
            <w:pPr>
              <w:widowControl/>
              <w:jc w:val="left"/>
              <w:textAlignment w:val="center"/>
              <w:rPr>
                <w:rFonts w:hint="eastAsia" w:ascii="宋体" w:hAnsi="宋体" w:cs="宋体"/>
                <w:color w:val="auto"/>
                <w:kern w:val="0"/>
              </w:rPr>
            </w:pPr>
            <w:r>
              <w:rPr>
                <w:rFonts w:hint="eastAsia" w:ascii="宋体" w:hAnsi="宋体" w:cs="宋体"/>
                <w:color w:val="auto"/>
                <w:kern w:val="0"/>
              </w:rPr>
              <w:t>2.为保障安全自主可控的使用需求，平台的服务端部署于国产化服务器操作系统上（如欧拉），同时平台底层数据库应采用国产化数据库系统（如GreatSQL），且支持将同品牌的采用非国产化操作系统（如CentOS）的老版本平台，升级并通过迁移工具将原有使用数据迁移至安全自主可控的部署环境中运行；</w:t>
            </w:r>
          </w:p>
          <w:p w14:paraId="09EC72BB">
            <w:pPr>
              <w:widowControl/>
              <w:jc w:val="left"/>
              <w:textAlignment w:val="center"/>
              <w:rPr>
                <w:rFonts w:hint="eastAsia" w:ascii="宋体" w:hAnsi="宋体" w:cs="宋体"/>
                <w:color w:val="auto"/>
                <w:kern w:val="0"/>
              </w:rPr>
            </w:pPr>
            <w:r>
              <w:rPr>
                <w:rFonts w:hint="eastAsia" w:ascii="宋体" w:hAnsi="宋体" w:cs="宋体"/>
                <w:color w:val="auto"/>
                <w:kern w:val="0"/>
              </w:rPr>
              <w:t>3.在操作日志页面，统计并整合呈现多个区域平台的操作日志，操作日志无法被管理员删除或修改，日志内容涵盖对操作者、操作者IP、操作时间、操作主机 IP、操作内容、操作状态、操作对象及操作对象类型，管理员可按照时间段筛选该时间段内所有的操作记录，也可通过搜索栏搜索操作内容、操作者、主机 IP 及操作对象快速筛选对应的信息。</w:t>
            </w:r>
          </w:p>
          <w:p w14:paraId="4C4BB5D0">
            <w:pPr>
              <w:widowControl/>
              <w:jc w:val="left"/>
              <w:textAlignment w:val="center"/>
              <w:rPr>
                <w:rFonts w:hint="eastAsia" w:ascii="宋体" w:hAnsi="宋体" w:cs="宋体"/>
                <w:color w:val="auto"/>
                <w:kern w:val="0"/>
              </w:rPr>
            </w:pPr>
            <w:r>
              <w:rPr>
                <w:rFonts w:hint="eastAsia" w:ascii="宋体" w:hAnsi="宋体" w:cs="宋体"/>
                <w:color w:val="auto"/>
                <w:kern w:val="0"/>
              </w:rPr>
              <w:t xml:space="preserve">4.支持底层Linux系统或windows系统手动备份保护和实时自动备份保护两种模式。 </w:t>
            </w:r>
          </w:p>
          <w:p w14:paraId="3170C214">
            <w:pPr>
              <w:widowControl/>
              <w:jc w:val="left"/>
              <w:textAlignment w:val="center"/>
              <w:rPr>
                <w:rFonts w:hint="eastAsia" w:ascii="宋体" w:hAnsi="宋体" w:cs="宋体"/>
                <w:color w:val="auto"/>
                <w:kern w:val="0"/>
              </w:rPr>
            </w:pPr>
            <w:r>
              <w:rPr>
                <w:rFonts w:hint="eastAsia" w:ascii="宋体" w:hAnsi="宋体" w:cs="宋体"/>
                <w:color w:val="auto"/>
                <w:kern w:val="0"/>
              </w:rPr>
              <w:t>5.在区域管理页面，可对服务器进行维护管理，包括关机、重启、查看服务器详细硬件配置、CPU/内存/磁盘/显卡型号与数量;实时查看系统服务的开启、关闭状态，一键重启关键进程。</w:t>
            </w:r>
          </w:p>
          <w:p w14:paraId="5CA3583C">
            <w:pPr>
              <w:widowControl/>
              <w:jc w:val="left"/>
              <w:textAlignment w:val="center"/>
              <w:rPr>
                <w:rFonts w:hint="eastAsia" w:ascii="宋体" w:hAnsi="宋体" w:cs="宋体"/>
                <w:color w:val="auto"/>
                <w:kern w:val="0"/>
              </w:rPr>
            </w:pPr>
            <w:r>
              <w:rPr>
                <w:rFonts w:hint="eastAsia" w:ascii="宋体" w:hAnsi="宋体" w:cs="宋体"/>
                <w:color w:val="auto"/>
                <w:kern w:val="0"/>
              </w:rPr>
              <w:t>6.可根据办公、实训、教学等不同场景应用需求来为模板自定义划分不同分组，新增模板时可设定模板分组，支持根据模板的操作系统选择固件为BIOS或UEFI，可列表式选择已生成的硬件配置进行模板的性能设置，可自定义开启磁盘兼容模式，自定义设置模板的网络配置，支持调用已上传的操作系统镜像作为模板的系统从而生成新的模板等；</w:t>
            </w:r>
          </w:p>
          <w:p w14:paraId="69A5503F">
            <w:pPr>
              <w:widowControl/>
              <w:jc w:val="left"/>
              <w:textAlignment w:val="center"/>
              <w:rPr>
                <w:rFonts w:hint="eastAsia" w:ascii="宋体" w:hAnsi="宋体" w:cs="宋体"/>
                <w:color w:val="auto"/>
                <w:kern w:val="0"/>
              </w:rPr>
            </w:pPr>
            <w:r>
              <w:rPr>
                <w:rFonts w:ascii="宋体" w:hAnsi="宋体" w:cs="宋体"/>
                <w:color w:val="auto"/>
                <w:kern w:val="0"/>
              </w:rPr>
              <w:t>7.在资源池管理页面，可设置集群内节点多个网卡的bond 模式,涵盖 activebackup、broadcast、roundrobin、random、lacp和loadbalance 六种模式。（提供第三方检测机构出具的具备CNAS和CMA标识的产品功能测试报告复印件或扫描件；）</w:t>
            </w:r>
          </w:p>
          <w:p w14:paraId="7CE1D763">
            <w:pPr>
              <w:widowControl/>
              <w:jc w:val="left"/>
              <w:textAlignment w:val="center"/>
              <w:rPr>
                <w:rFonts w:hint="eastAsia" w:ascii="宋体" w:hAnsi="宋体" w:cs="宋体"/>
                <w:color w:val="auto"/>
                <w:kern w:val="0"/>
              </w:rPr>
            </w:pPr>
            <w:r>
              <w:rPr>
                <w:rFonts w:ascii="宋体" w:hAnsi="宋体" w:cs="宋体"/>
                <w:color w:val="auto"/>
                <w:kern w:val="0"/>
              </w:rPr>
              <w:t>8.支持对服务器SSD硬盘进行性能测试，不依赖第三方测试工具，可获取SSD硬盘16K随机读、顺序写数值，并给出测试评级结果，便于管理员定位系统故障；（</w:t>
            </w:r>
            <w:r>
              <w:rPr>
                <w:rFonts w:hint="eastAsia" w:ascii="宋体" w:hAnsi="宋体" w:cs="宋体"/>
                <w:color w:val="auto"/>
                <w:kern w:val="0"/>
              </w:rPr>
              <w:t>提供第三方检测机构出具的具备CNAS和CMA标识的产品功能测试报告复印件或扫描件</w:t>
            </w:r>
            <w:r>
              <w:rPr>
                <w:rFonts w:ascii="宋体" w:hAnsi="宋体" w:cs="宋体"/>
                <w:color w:val="auto"/>
                <w:kern w:val="0"/>
              </w:rPr>
              <w:t>）</w:t>
            </w:r>
          </w:p>
          <w:p w14:paraId="777CB344">
            <w:pPr>
              <w:widowControl/>
              <w:jc w:val="left"/>
              <w:textAlignment w:val="center"/>
              <w:rPr>
                <w:rFonts w:hint="eastAsia" w:ascii="宋体" w:hAnsi="宋体" w:cs="宋体"/>
                <w:color w:val="auto"/>
                <w:kern w:val="0"/>
              </w:rPr>
            </w:pPr>
            <w:r>
              <w:rPr>
                <w:rFonts w:hint="eastAsia" w:ascii="宋体" w:hAnsi="宋体" w:cs="宋体"/>
                <w:color w:val="auto"/>
                <w:kern w:val="0"/>
              </w:rPr>
              <w:t>9.在教学模板页面，可基于模板克隆一个无需设置硬件配置的新模板，支持克隆为VOI教学模板和个人模板，完整克隆模式不依赖原有模板数据创建完整副本模板并进行完整数据下发，链接克隆模式依赖原有模板数据创建增量模板并进行增量数据下发。（提供第三方检测机构出具的具备CNAS和CMA标识的产品功能测试报告复印件或扫描件；）</w:t>
            </w:r>
          </w:p>
          <w:p w14:paraId="05F626FA">
            <w:pPr>
              <w:widowControl/>
              <w:jc w:val="left"/>
              <w:textAlignment w:val="center"/>
              <w:rPr>
                <w:rFonts w:hint="eastAsia" w:ascii="宋体" w:hAnsi="宋体" w:cs="宋体"/>
                <w:color w:val="auto"/>
                <w:kern w:val="0"/>
              </w:rPr>
            </w:pPr>
            <w:r>
              <w:rPr>
                <w:rFonts w:hint="eastAsia" w:ascii="宋体" w:hAnsi="宋体" w:cs="宋体"/>
                <w:color w:val="auto"/>
                <w:kern w:val="0"/>
              </w:rPr>
              <w:t>10.单台终端可部署多个操作系统，基于VOI桌面可在管理平台上设置终端数据盘（VOI），可任意选定可使用数据盘的操作系统数量，可设置终端数据盘的容量大小，并能设定清除策略，包含不清除/每周清除/每月清除；</w:t>
            </w:r>
          </w:p>
          <w:p w14:paraId="4F41EE41">
            <w:pPr>
              <w:widowControl/>
              <w:jc w:val="left"/>
              <w:textAlignment w:val="center"/>
              <w:rPr>
                <w:rFonts w:hint="eastAsia" w:ascii="宋体" w:hAnsi="宋体" w:cs="宋体"/>
                <w:color w:val="auto"/>
                <w:kern w:val="0"/>
              </w:rPr>
            </w:pPr>
            <w:r>
              <w:rPr>
                <w:rFonts w:hint="eastAsia" w:ascii="宋体" w:hAnsi="宋体" w:cs="宋体"/>
                <w:color w:val="auto"/>
                <w:kern w:val="0"/>
              </w:rPr>
              <w:t>11.在排课计划页面，可以编辑学期课表，设置学期开始/结束时间、单双周、每节课起始时间；可以通过拖拽的方式，将场景拖拽到课表中，与课程时间进行对应；可一键清除全部课表；桌面系统可根据课表时间自动启动。（提供第三方检测机构出具的具备CNAS和CMA标识的产品功能测试报告复印件或扫描件；）</w:t>
            </w:r>
          </w:p>
          <w:p w14:paraId="2F5E1E9D">
            <w:pPr>
              <w:widowControl/>
              <w:jc w:val="left"/>
              <w:textAlignment w:val="center"/>
              <w:rPr>
                <w:rFonts w:hint="eastAsia" w:ascii="宋体" w:hAnsi="宋体" w:cs="宋体"/>
                <w:color w:val="auto"/>
                <w:kern w:val="0"/>
              </w:rPr>
            </w:pPr>
            <w:r>
              <w:rPr>
                <w:rFonts w:hint="eastAsia" w:ascii="宋体" w:hAnsi="宋体" w:cs="宋体"/>
                <w:color w:val="auto"/>
                <w:kern w:val="0"/>
              </w:rPr>
              <w:t>12.支持本地存储及远端存储，支持Windows客户端和B/S网页端两种模式访问，创建桌面账户时，同步生成网盘账号，启用网盘后，在教学桌面中通过账号登录网盘，在个人桌面中无需登录可直接访问网盘；可扩容不同账号的网盘空间容量，网盘支持文件夹上传，教师在本地同步目录下的文件可以自动同步至云端，多个用户可创建群组共享文件，可设置群组管理权限及对文件的读写权限，通过文件的共享链接可查看并下载文件。（提供第三方检测机构出具的具备CNAS和CMA标识的产品功能测试报告复印件或扫描件；）</w:t>
            </w:r>
          </w:p>
          <w:p w14:paraId="403C277E">
            <w:pPr>
              <w:widowControl/>
              <w:jc w:val="left"/>
              <w:textAlignment w:val="center"/>
              <w:rPr>
                <w:rFonts w:hint="eastAsia" w:ascii="宋体" w:hAnsi="宋体" w:cs="宋体"/>
                <w:color w:val="auto"/>
                <w:kern w:val="0"/>
              </w:rPr>
            </w:pPr>
            <w:r>
              <w:rPr>
                <w:rFonts w:hint="eastAsia" w:ascii="宋体" w:hAnsi="宋体" w:cs="宋体"/>
                <w:color w:val="auto"/>
                <w:kern w:val="0"/>
              </w:rPr>
              <w:t>13.平台导航栏上有原厂在线客服对话窗口，支持文字、图片和表情包发送；支持附件上传，可随时关闭、打开在线客服对话窗口，具备原厂官方微信服务号二维码。（提供第三方检测机构出具的具备CNAS和CMA标识的产品功能测试报告复印件或扫描件；）</w:t>
            </w:r>
          </w:p>
          <w:p w14:paraId="56252B49">
            <w:pPr>
              <w:widowControl/>
              <w:jc w:val="left"/>
              <w:textAlignment w:val="center"/>
              <w:rPr>
                <w:rFonts w:hint="eastAsia" w:ascii="宋体" w:hAnsi="宋体" w:cs="宋体"/>
                <w:color w:val="auto"/>
                <w:kern w:val="0"/>
              </w:rPr>
            </w:pPr>
            <w:r>
              <w:rPr>
                <w:rFonts w:hint="eastAsia" w:ascii="宋体" w:hAnsi="宋体" w:cs="宋体"/>
                <w:color w:val="auto"/>
                <w:kern w:val="0"/>
              </w:rPr>
              <w:t>二、</w:t>
            </w:r>
          </w:p>
          <w:p w14:paraId="4E43DA85">
            <w:pPr>
              <w:widowControl/>
              <w:jc w:val="left"/>
              <w:textAlignment w:val="center"/>
              <w:rPr>
                <w:rFonts w:hint="eastAsia" w:ascii="宋体" w:hAnsi="宋体" w:cs="宋体"/>
                <w:color w:val="auto"/>
                <w:kern w:val="0"/>
                <w:lang w:bidi="ar"/>
              </w:rPr>
            </w:pPr>
            <w:r>
              <w:rPr>
                <w:rFonts w:hint="eastAsia" w:ascii="宋体" w:hAnsi="宋体" w:cs="宋体"/>
                <w:color w:val="auto"/>
                <w:kern w:val="0"/>
                <w:lang w:bidi="ar"/>
              </w:rPr>
              <w:t>1.支持IPV4、IPV6网络环境下安装和正常使用，支持windows 7 32位/64位，windows10 64位、windows11 64位操作系统；</w:t>
            </w:r>
            <w:r>
              <w:rPr>
                <w:rFonts w:hint="eastAsia" w:ascii="宋体" w:hAnsi="宋体" w:cs="宋体"/>
                <w:color w:val="auto"/>
                <w:kern w:val="0"/>
                <w:lang w:bidi="ar"/>
              </w:rPr>
              <w:br w:type="textWrapping"/>
            </w:r>
            <w:r>
              <w:rPr>
                <w:rFonts w:hint="eastAsia" w:ascii="宋体" w:hAnsi="宋体" w:cs="宋体"/>
                <w:color w:val="auto"/>
                <w:kern w:val="0"/>
                <w:lang w:bidi="ar"/>
              </w:rPr>
              <w:t>2.教师自带笔记本可通过mac绑定和ip绑定两种方式快速连接服务器和学生端，实现多媒体互动教学；</w:t>
            </w:r>
            <w:r>
              <w:rPr>
                <w:rFonts w:hint="eastAsia" w:ascii="宋体" w:hAnsi="宋体" w:cs="宋体"/>
                <w:color w:val="auto"/>
                <w:kern w:val="0"/>
                <w:lang w:bidi="ar"/>
              </w:rPr>
              <w:br w:type="textWrapping"/>
            </w:r>
            <w:r>
              <w:rPr>
                <w:rFonts w:hint="eastAsia" w:ascii="宋体" w:hAnsi="宋体" w:cs="宋体"/>
                <w:color w:val="auto"/>
                <w:kern w:val="0"/>
                <w:lang w:bidi="ar"/>
              </w:rPr>
              <w:t>3.屏幕广播支持区域广播方式，教师端可选取一块区域广播给学生机；</w:t>
            </w:r>
          </w:p>
          <w:p w14:paraId="15D78AD1">
            <w:pPr>
              <w:jc w:val="left"/>
              <w:rPr>
                <w:rFonts w:hint="eastAsia" w:ascii="宋体" w:hAnsi="宋体" w:cs="宋体"/>
                <w:color w:val="auto"/>
                <w:kern w:val="0"/>
                <w:lang w:bidi="ar"/>
              </w:rPr>
            </w:pPr>
            <w:r>
              <w:rPr>
                <w:rFonts w:hint="eastAsia" w:ascii="宋体" w:hAnsi="宋体" w:cs="宋体"/>
                <w:color w:val="auto"/>
                <w:kern w:val="0"/>
                <w:lang w:bidi="ar"/>
              </w:rPr>
              <w:t>4.屏幕广播状态下，教师可开启实时语音，学生端可以通过耳机接听教师语音，同时支持屏幕笔功能，教师可通过屏幕笔将屏幕当做画板进行绘制，便于教学互动；</w:t>
            </w:r>
            <w:r>
              <w:rPr>
                <w:rFonts w:hint="eastAsia" w:ascii="宋体" w:hAnsi="宋体" w:cs="宋体"/>
                <w:color w:val="auto"/>
                <w:kern w:val="0"/>
                <w:lang w:bidi="ar"/>
              </w:rPr>
              <w:br w:type="textWrapping"/>
            </w:r>
            <w:r>
              <w:rPr>
                <w:rFonts w:hint="eastAsia" w:ascii="宋体" w:hAnsi="宋体" w:cs="宋体"/>
                <w:color w:val="auto"/>
                <w:kern w:val="0"/>
                <w:lang w:bidi="ar"/>
              </w:rPr>
              <w:t>5.屏幕广播支持弹幕，教师机开启弹幕后，教师机和学生机可发送弹幕信息，便于及时交流、增强教学互动性等。</w:t>
            </w:r>
          </w:p>
          <w:p w14:paraId="1E03EC23">
            <w:pPr>
              <w:jc w:val="left"/>
              <w:rPr>
                <w:rFonts w:hint="eastAsia" w:ascii="宋体" w:hAnsi="宋体" w:eastAsia="宋体" w:cs="宋体"/>
                <w:color w:val="auto"/>
                <w:sz w:val="20"/>
                <w:szCs w:val="20"/>
              </w:rPr>
            </w:pPr>
            <w:r>
              <w:rPr>
                <w:rFonts w:hint="eastAsia" w:ascii="宋体" w:hAnsi="宋体" w:eastAsia="宋体" w:cs="宋体"/>
                <w:color w:val="auto"/>
                <w:sz w:val="20"/>
                <w:szCs w:val="20"/>
              </w:rPr>
              <w:t>6. 教师机可以连续监看所选学生机屏幕，每屏可监视多个学生,可设置每屏学生机的数量以及学生机屏幕轮循的时间间隔；（提供第三方检测机构出具的具备CNAS标识的产品功能测试报告复印件或扫描件）</w:t>
            </w:r>
          </w:p>
          <w:p w14:paraId="1786CC51">
            <w:pPr>
              <w:jc w:val="left"/>
              <w:rPr>
                <w:rFonts w:hint="eastAsia" w:ascii="宋体" w:hAnsi="宋体" w:eastAsia="宋体" w:cs="宋体"/>
                <w:color w:val="auto"/>
                <w:sz w:val="20"/>
                <w:szCs w:val="20"/>
              </w:rPr>
            </w:pPr>
            <w:r>
              <w:rPr>
                <w:rFonts w:hint="eastAsia" w:ascii="宋体" w:hAnsi="宋体" w:eastAsia="宋体" w:cs="宋体"/>
                <w:color w:val="auto"/>
                <w:sz w:val="20"/>
                <w:szCs w:val="20"/>
              </w:rPr>
              <w:t>7.支持黑屏肃静，教师可对学生执行黑屏肃静操作，能够自定义黑屏肃静的提示信息，支持手动解锁、按时解锁、按时长解锁；（提供第三方检测机构出具的具备CNAS标识的产品功能测试报告复印件或扫描件）</w:t>
            </w:r>
          </w:p>
          <w:p w14:paraId="2958EB7C">
            <w:pPr>
              <w:jc w:val="left"/>
              <w:rPr>
                <w:rFonts w:hint="eastAsia" w:ascii="宋体" w:hAnsi="宋体" w:eastAsia="宋体" w:cs="宋体"/>
                <w:color w:val="auto"/>
                <w:sz w:val="20"/>
                <w:szCs w:val="20"/>
              </w:rPr>
            </w:pPr>
            <w:r>
              <w:rPr>
                <w:rFonts w:hint="eastAsia" w:ascii="宋体" w:hAnsi="宋体" w:eastAsia="宋体" w:cs="宋体"/>
                <w:color w:val="auto"/>
                <w:sz w:val="20"/>
                <w:szCs w:val="20"/>
              </w:rPr>
              <w:t>8. 提供行为管控模块，支持程序黑白名单限制，支持禁用外网，禁用USB设备，教师端主界面可展示USB设备、程序、网络禁用状态；</w:t>
            </w:r>
          </w:p>
          <w:p w14:paraId="534EC664">
            <w:pPr>
              <w:jc w:val="left"/>
              <w:rPr>
                <w:rFonts w:hint="eastAsia" w:ascii="宋体" w:hAnsi="宋体" w:eastAsia="宋体" w:cs="宋体"/>
                <w:color w:val="auto"/>
                <w:sz w:val="20"/>
                <w:szCs w:val="20"/>
              </w:rPr>
            </w:pPr>
            <w:r>
              <w:rPr>
                <w:rFonts w:hint="eastAsia" w:ascii="宋体" w:hAnsi="宋体" w:eastAsia="宋体" w:cs="宋体"/>
                <w:color w:val="auto"/>
                <w:sz w:val="20"/>
                <w:szCs w:val="20"/>
              </w:rPr>
              <w:t>9. 支持师生在屏幕广播期间发送弹幕进行双向互动，教师可将学生发送的弹幕进行置顶和引用，针对恶意弹幕教师可进行删除，在弹幕成员管理中可查看当前接入的所有学生以及发言状态，教师可将学生进行弹幕禁言及解禁操作，师生双方可发送指定表情进行更便捷的信息互动。退出屏幕广播后，教师可查看当前课程的所有弹幕记录。</w:t>
            </w:r>
          </w:p>
          <w:p w14:paraId="101DDC13">
            <w:pPr>
              <w:jc w:val="left"/>
              <w:rPr>
                <w:rFonts w:hint="eastAsia" w:ascii="宋体" w:hAnsi="宋体" w:eastAsia="宋体" w:cs="宋体"/>
                <w:color w:val="auto"/>
                <w:sz w:val="20"/>
                <w:szCs w:val="20"/>
              </w:rPr>
            </w:pPr>
            <w:r>
              <w:rPr>
                <w:rFonts w:hint="eastAsia" w:ascii="宋体" w:hAnsi="宋体" w:eastAsia="宋体" w:cs="宋体"/>
                <w:color w:val="auto"/>
                <w:sz w:val="20"/>
                <w:szCs w:val="20"/>
              </w:rPr>
              <w:t>10.在屏幕广播之后连接上来的终端可直接接收屏幕广播内容，用户终端关闭虚拟桌面仍可同步广播教师机屏幕和视频，不会中断教学；（提供第三方检测机构出具的具备CNAS标识的产品功能测试报告复印件或扫描件）</w:t>
            </w:r>
          </w:p>
          <w:p w14:paraId="64906E09">
            <w:pPr>
              <w:jc w:val="left"/>
              <w:rPr>
                <w:rFonts w:hint="eastAsia" w:ascii="宋体" w:hAnsi="宋体" w:eastAsia="宋体" w:cs="宋体"/>
                <w:color w:val="auto"/>
                <w:sz w:val="20"/>
                <w:szCs w:val="20"/>
              </w:rPr>
            </w:pPr>
            <w:r>
              <w:rPr>
                <w:rFonts w:hint="eastAsia" w:ascii="宋体" w:hAnsi="宋体" w:eastAsia="宋体" w:cs="宋体"/>
                <w:color w:val="auto"/>
                <w:sz w:val="20"/>
                <w:szCs w:val="20"/>
              </w:rPr>
              <w:t>11.支持考试功能，包括试题编辑、下发试卷、成绩统计。可添加单选题、多选题、判断题、填空题、问答题；可设置考试时长，倒计时结束后自动结束考试。阅卷时，单选题、多选题、判断题支持自动评分和统计正确率。（提供加盖原厂公章的功能截图）</w:t>
            </w:r>
          </w:p>
          <w:p w14:paraId="51CDA2C8">
            <w:pPr>
              <w:jc w:val="left"/>
              <w:rPr>
                <w:rFonts w:hint="eastAsia" w:ascii="宋体" w:hAnsi="宋体" w:eastAsia="宋体" w:cs="宋体"/>
                <w:b/>
                <w:bCs/>
                <w:color w:val="auto"/>
                <w:sz w:val="20"/>
                <w:szCs w:val="20"/>
              </w:rPr>
            </w:pPr>
            <w:r>
              <w:rPr>
                <w:rFonts w:hint="eastAsia" w:ascii="宋体" w:hAnsi="宋体" w:eastAsia="宋体" w:cs="宋体"/>
                <w:color w:val="auto"/>
                <w:sz w:val="20"/>
                <w:szCs w:val="20"/>
              </w:rPr>
              <w:t>12.支持与桌面云软件融合打通，通过教学软件实现操作系统一键切换（提供第三方检测机构出具的具备CNAS标识的产品功能测试报告复印件或扫描件）；</w:t>
            </w:r>
          </w:p>
        </w:tc>
        <w:tc>
          <w:tcPr>
            <w:tcW w:w="446" w:type="dxa"/>
            <w:tcBorders>
              <w:top w:val="single" w:color="000000" w:sz="4" w:space="0"/>
              <w:left w:val="single" w:color="000000" w:sz="4" w:space="0"/>
              <w:bottom w:val="single" w:color="000000" w:sz="4" w:space="0"/>
              <w:right w:val="single" w:color="000000" w:sz="4" w:space="0"/>
            </w:tcBorders>
            <w:vAlign w:val="center"/>
          </w:tcPr>
          <w:p w14:paraId="49CCD4C2">
            <w:pPr>
              <w:jc w:val="center"/>
              <w:rPr>
                <w:rFonts w:hint="eastAsia" w:ascii="宋体" w:hAnsi="宋体" w:eastAsia="宋体" w:cs="宋体"/>
                <w:color w:val="auto"/>
                <w:sz w:val="22"/>
                <w:szCs w:val="22"/>
              </w:rPr>
            </w:pPr>
            <w:r>
              <w:rPr>
                <w:rFonts w:hint="eastAsia" w:ascii="宋体" w:hAnsi="宋体" w:eastAsia="宋体" w:cs="宋体"/>
                <w:color w:val="auto"/>
                <w:sz w:val="22"/>
                <w:szCs w:val="22"/>
              </w:rPr>
              <w:t>台</w:t>
            </w:r>
          </w:p>
        </w:tc>
        <w:tc>
          <w:tcPr>
            <w:tcW w:w="660" w:type="dxa"/>
            <w:tcBorders>
              <w:top w:val="single" w:color="000000" w:sz="4" w:space="0"/>
              <w:left w:val="single" w:color="000000" w:sz="4" w:space="0"/>
              <w:bottom w:val="single" w:color="000000" w:sz="4" w:space="0"/>
              <w:right w:val="single" w:color="000000" w:sz="4" w:space="0"/>
            </w:tcBorders>
            <w:vAlign w:val="center"/>
          </w:tcPr>
          <w:p w14:paraId="38F6AA98">
            <w:pPr>
              <w:jc w:val="center"/>
              <w:rPr>
                <w:rFonts w:hint="eastAsia" w:ascii="宋体" w:hAnsi="宋体" w:eastAsia="宋体" w:cs="宋体"/>
                <w:color w:val="auto"/>
                <w:sz w:val="20"/>
                <w:szCs w:val="20"/>
              </w:rPr>
            </w:pPr>
            <w:r>
              <w:rPr>
                <w:rFonts w:hint="eastAsia" w:ascii="宋体" w:hAnsi="宋体" w:eastAsia="宋体" w:cs="宋体"/>
                <w:color w:val="auto"/>
                <w:sz w:val="20"/>
                <w:szCs w:val="20"/>
              </w:rPr>
              <w:t>60</w:t>
            </w:r>
          </w:p>
        </w:tc>
        <w:tc>
          <w:tcPr>
            <w:tcW w:w="808" w:type="dxa"/>
            <w:tcBorders>
              <w:top w:val="single" w:color="000000" w:sz="4" w:space="0"/>
              <w:left w:val="single" w:color="000000" w:sz="4" w:space="0"/>
              <w:bottom w:val="single" w:color="000000" w:sz="4" w:space="0"/>
              <w:right w:val="single" w:color="000000" w:sz="4" w:space="0"/>
            </w:tcBorders>
            <w:vAlign w:val="center"/>
          </w:tcPr>
          <w:p w14:paraId="7407913E">
            <w:pPr>
              <w:jc w:val="center"/>
              <w:rPr>
                <w:rFonts w:hint="eastAsia" w:ascii="宋体" w:hAnsi="宋体" w:eastAsia="宋体" w:cs="宋体"/>
                <w:color w:val="auto"/>
                <w:sz w:val="20"/>
                <w:szCs w:val="20"/>
              </w:rPr>
            </w:pPr>
            <w:bookmarkStart w:id="0" w:name="_GoBack"/>
            <w:bookmarkEnd w:id="0"/>
          </w:p>
        </w:tc>
        <w:tc>
          <w:tcPr>
            <w:tcW w:w="1171" w:type="dxa"/>
            <w:tcBorders>
              <w:top w:val="single" w:color="000000" w:sz="4" w:space="0"/>
              <w:left w:val="single" w:color="000000" w:sz="4" w:space="0"/>
              <w:bottom w:val="single" w:color="000000" w:sz="4" w:space="0"/>
              <w:right w:val="single" w:color="000000" w:sz="4" w:space="0"/>
            </w:tcBorders>
            <w:vAlign w:val="center"/>
          </w:tcPr>
          <w:p w14:paraId="38A68BAA">
            <w:pPr>
              <w:jc w:val="center"/>
              <w:rPr>
                <w:rFonts w:hint="eastAsia" w:ascii="宋体" w:hAnsi="宋体" w:eastAsia="宋体" w:cs="宋体"/>
                <w:color w:val="auto"/>
                <w:sz w:val="20"/>
                <w:szCs w:val="20"/>
              </w:rPr>
            </w:pPr>
          </w:p>
        </w:tc>
      </w:tr>
      <w:tr w14:paraId="5387B2E1">
        <w:tblPrEx>
          <w:tblCellMar>
            <w:top w:w="0" w:type="dxa"/>
            <w:left w:w="108" w:type="dxa"/>
            <w:bottom w:w="0" w:type="dxa"/>
            <w:right w:w="108" w:type="dxa"/>
          </w:tblCellMar>
        </w:tblPrEx>
        <w:trPr>
          <w:trHeight w:val="894" w:hRule="atLeast"/>
        </w:trPr>
        <w:tc>
          <w:tcPr>
            <w:tcW w:w="8029" w:type="dxa"/>
            <w:gridSpan w:val="7"/>
            <w:tcBorders>
              <w:top w:val="single" w:color="000000" w:sz="4" w:space="0"/>
              <w:left w:val="single" w:color="000000" w:sz="4" w:space="0"/>
              <w:bottom w:val="single" w:color="000000" w:sz="4" w:space="0"/>
              <w:right w:val="single" w:color="000000" w:sz="4" w:space="0"/>
            </w:tcBorders>
            <w:vAlign w:val="center"/>
          </w:tcPr>
          <w:p w14:paraId="00DBF0B1">
            <w:pPr>
              <w:widowControl/>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合  计</w:t>
            </w:r>
          </w:p>
        </w:tc>
        <w:tc>
          <w:tcPr>
            <w:tcW w:w="1171" w:type="dxa"/>
            <w:tcBorders>
              <w:top w:val="single" w:color="000000" w:sz="4" w:space="0"/>
              <w:left w:val="single" w:color="000000" w:sz="4" w:space="0"/>
              <w:bottom w:val="single" w:color="000000" w:sz="4" w:space="0"/>
              <w:right w:val="single" w:color="000000" w:sz="4" w:space="0"/>
            </w:tcBorders>
            <w:vAlign w:val="center"/>
          </w:tcPr>
          <w:p w14:paraId="27152747">
            <w:pPr>
              <w:widowControl/>
              <w:jc w:val="center"/>
              <w:textAlignment w:val="center"/>
              <w:rPr>
                <w:rFonts w:hint="eastAsia" w:ascii="宋体" w:hAnsi="宋体" w:eastAsia="宋体" w:cs="宋体"/>
                <w:b/>
                <w:bCs/>
                <w:color w:val="auto"/>
                <w:sz w:val="20"/>
                <w:szCs w:val="20"/>
              </w:rPr>
            </w:pPr>
          </w:p>
        </w:tc>
      </w:tr>
      <w:tr w14:paraId="7CDAB43D">
        <w:tblPrEx>
          <w:tblCellMar>
            <w:top w:w="0" w:type="dxa"/>
            <w:left w:w="108" w:type="dxa"/>
            <w:bottom w:w="0" w:type="dxa"/>
            <w:right w:w="108" w:type="dxa"/>
          </w:tblCellMar>
        </w:tblPrEx>
        <w:trPr>
          <w:trHeight w:val="634" w:hRule="atLeast"/>
        </w:trPr>
        <w:tc>
          <w:tcPr>
            <w:tcW w:w="9200" w:type="dxa"/>
            <w:gridSpan w:val="8"/>
            <w:tcBorders>
              <w:top w:val="single" w:color="000000" w:sz="4" w:space="0"/>
              <w:left w:val="single" w:color="000000" w:sz="4" w:space="0"/>
              <w:bottom w:val="single" w:color="000000" w:sz="4" w:space="0"/>
              <w:right w:val="single" w:color="000000" w:sz="4" w:space="0"/>
            </w:tcBorders>
            <w:vAlign w:val="center"/>
          </w:tcPr>
          <w:p w14:paraId="0D4FE186">
            <w:pPr>
              <w:widowControl/>
              <w:jc w:val="left"/>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商务需求响应情况：</w:t>
            </w:r>
          </w:p>
        </w:tc>
      </w:tr>
      <w:tr w14:paraId="1552DB20">
        <w:tblPrEx>
          <w:tblCellMar>
            <w:top w:w="0" w:type="dxa"/>
            <w:left w:w="108" w:type="dxa"/>
            <w:bottom w:w="0" w:type="dxa"/>
            <w:right w:w="108" w:type="dxa"/>
          </w:tblCellMar>
        </w:tblPrEx>
        <w:trPr>
          <w:trHeight w:val="2113" w:hRule="atLeast"/>
        </w:trPr>
        <w:tc>
          <w:tcPr>
            <w:tcW w:w="9200" w:type="dxa"/>
            <w:gridSpan w:val="8"/>
            <w:tcBorders>
              <w:top w:val="single" w:color="000000" w:sz="4" w:space="0"/>
              <w:left w:val="single" w:color="000000" w:sz="4" w:space="0"/>
              <w:bottom w:val="single" w:color="000000" w:sz="4" w:space="0"/>
              <w:right w:val="single" w:color="000000" w:sz="4" w:space="0"/>
            </w:tcBorders>
            <w:vAlign w:val="center"/>
          </w:tcPr>
          <w:p w14:paraId="0440013B">
            <w:pPr>
              <w:widowControl/>
              <w:jc w:val="left"/>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 xml:space="preserve">报价公司(盖章)：                    公司法人代表（签字或签章）：        </w:t>
            </w:r>
            <w:r>
              <w:rPr>
                <w:rFonts w:hint="eastAsia" w:ascii="宋体" w:hAnsi="宋体" w:eastAsia="宋体" w:cs="宋体"/>
                <w:color w:val="auto"/>
                <w:kern w:val="0"/>
                <w:sz w:val="24"/>
                <w:lang w:bidi="ar"/>
              </w:rPr>
              <w:br w:type="textWrapping"/>
            </w:r>
            <w:r>
              <w:rPr>
                <w:rFonts w:hint="eastAsia" w:ascii="宋体" w:hAnsi="宋体" w:eastAsia="宋体" w:cs="宋体"/>
                <w:color w:val="auto"/>
                <w:kern w:val="0"/>
                <w:sz w:val="24"/>
                <w:lang w:bidi="ar"/>
              </w:rPr>
              <w:br w:type="textWrapping"/>
            </w:r>
            <w:r>
              <w:rPr>
                <w:rFonts w:hint="eastAsia" w:ascii="宋体" w:hAnsi="宋体" w:eastAsia="宋体" w:cs="宋体"/>
                <w:color w:val="auto"/>
                <w:kern w:val="0"/>
                <w:sz w:val="24"/>
                <w:lang w:bidi="ar"/>
              </w:rPr>
              <w:t>联系人（签字）：                           联系电话：</w:t>
            </w:r>
            <w:r>
              <w:rPr>
                <w:rFonts w:hint="eastAsia" w:ascii="宋体" w:hAnsi="宋体" w:eastAsia="宋体" w:cs="宋体"/>
                <w:color w:val="auto"/>
                <w:kern w:val="0"/>
                <w:sz w:val="24"/>
                <w:lang w:bidi="ar"/>
              </w:rPr>
              <w:br w:type="textWrapping"/>
            </w:r>
            <w:r>
              <w:rPr>
                <w:rFonts w:hint="eastAsia" w:ascii="宋体" w:hAnsi="宋体" w:eastAsia="宋体" w:cs="宋体"/>
                <w:color w:val="auto"/>
                <w:kern w:val="0"/>
                <w:sz w:val="24"/>
                <w:lang w:bidi="ar"/>
              </w:rPr>
              <w:br w:type="textWrapping"/>
            </w:r>
            <w:r>
              <w:rPr>
                <w:rFonts w:hint="eastAsia" w:ascii="宋体" w:hAnsi="宋体" w:eastAsia="宋体" w:cs="宋体"/>
                <w:color w:val="auto"/>
                <w:kern w:val="0"/>
                <w:sz w:val="24"/>
                <w:lang w:bidi="ar"/>
              </w:rPr>
              <w:t>报价日期：</w:t>
            </w:r>
          </w:p>
        </w:tc>
      </w:tr>
    </w:tbl>
    <w:p w14:paraId="5045D3FD">
      <w:pPr>
        <w:rPr>
          <w:rFonts w:hint="eastAsia" w:asciiTheme="minorEastAsia" w:hAnsi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B84"/>
    <w:rsid w:val="00113E02"/>
    <w:rsid w:val="002C3593"/>
    <w:rsid w:val="002E6CD0"/>
    <w:rsid w:val="00341F6B"/>
    <w:rsid w:val="006366F3"/>
    <w:rsid w:val="0082236B"/>
    <w:rsid w:val="00C03B84"/>
    <w:rsid w:val="0CC11063"/>
    <w:rsid w:val="15CC565E"/>
    <w:rsid w:val="17A84EFC"/>
    <w:rsid w:val="3E297AE0"/>
    <w:rsid w:val="404943BE"/>
    <w:rsid w:val="44E11B42"/>
    <w:rsid w:val="5394219E"/>
    <w:rsid w:val="5A9B3A66"/>
    <w:rsid w:val="779D6BEF"/>
    <w:rsid w:val="7C484A74"/>
    <w:rsid w:val="7E246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paragraph" w:customStyle="1" w:styleId="7">
    <w:name w:val="_Style 4"/>
    <w:basedOn w:val="1"/>
    <w:next w:val="1"/>
    <w:qFormat/>
    <w:uiPriority w:val="0"/>
    <w:pPr>
      <w:pBdr>
        <w:bottom w:val="single" w:color="auto" w:sz="6" w:space="1"/>
      </w:pBdr>
      <w:jc w:val="center"/>
    </w:pPr>
    <w:rPr>
      <w:rFonts w:ascii="Arial" w:eastAsia="宋体"/>
      <w:vanish/>
      <w:sz w:val="16"/>
    </w:rPr>
  </w:style>
  <w:style w:type="paragraph" w:customStyle="1" w:styleId="8">
    <w:name w:val="_Style 5"/>
    <w:basedOn w:val="1"/>
    <w:next w:val="1"/>
    <w:qFormat/>
    <w:uiPriority w:val="0"/>
    <w:pPr>
      <w:pBdr>
        <w:top w:val="single" w:color="auto" w:sz="6" w:space="1"/>
      </w:pBdr>
      <w:jc w:val="center"/>
    </w:pPr>
    <w:rPr>
      <w:rFonts w:ascii="Arial" w:eastAsia="宋体"/>
      <w:vanish/>
      <w:sz w:val="16"/>
    </w:rPr>
  </w:style>
  <w:style w:type="character" w:customStyle="1" w:styleId="9">
    <w:name w:val="页眉 字符"/>
    <w:basedOn w:val="6"/>
    <w:link w:val="3"/>
    <w:qFormat/>
    <w:uiPriority w:val="0"/>
    <w:rPr>
      <w:rFonts w:asciiTheme="minorHAnsi" w:hAnsiTheme="minorHAnsi" w:eastAsiaTheme="minorEastAsia" w:cstheme="minorBidi"/>
      <w:kern w:val="2"/>
      <w:sz w:val="18"/>
      <w:szCs w:val="18"/>
    </w:rPr>
  </w:style>
  <w:style w:type="character" w:customStyle="1" w:styleId="10">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1741</Words>
  <Characters>1786</Characters>
  <Lines>34</Lines>
  <Paragraphs>9</Paragraphs>
  <TotalTime>12</TotalTime>
  <ScaleCrop>false</ScaleCrop>
  <LinksUpToDate>false</LinksUpToDate>
  <CharactersWithSpaces>1882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2025-12-11T00:30:00Z</dcterms:created>
  <dc:creator>zz123</dc:creator>
  <cp:lastModifiedBy>zjxqing</cp:lastModifiedBy>
  <dcterms:modified xsi:type="dcterms:W3CDTF">2026-09-10T03:42:58Z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eyJoZGlkIjoiZWY3NjY2OGFiNDUwOTNlZGVjNmZhYTc4YmIwZTA4YWUiLCJ1c2VySWQiOiIyNDUwNDU3NiJ9</vt:lpwstr>
  </property>
  <property fmtid="{D5CDD505-2E9C-101B-9397-08002B2CF9AE}" pid="4" name="ICV">
    <vt:lpwstr>35854C63550345DC8BA2019F41D5155E_13</vt:lpwstr>
  </property>
</Properties>
</file>