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70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书宋_GBK" w:hAnsi="方正书宋_GBK" w:eastAsia="方正书宋_GBK" w:cs="方正书宋_GBK"/>
          <w:sz w:val="44"/>
          <w:szCs w:val="44"/>
        </w:rPr>
        <w:t>激光打标机</w:t>
      </w:r>
      <w:r>
        <w:rPr>
          <w:rFonts w:hint="eastAsia" w:ascii="方正书宋_GBK" w:hAnsi="方正书宋_GBK" w:eastAsia="方正书宋_GBK" w:cs="方正书宋_GBK"/>
          <w:sz w:val="44"/>
          <w:szCs w:val="44"/>
          <w:lang w:eastAsia="zh-CN"/>
        </w:rPr>
        <w:t>反向竞价</w:t>
      </w:r>
      <w:r>
        <w:rPr>
          <w:rFonts w:hint="eastAsia" w:ascii="方正书宋_GBK" w:hAnsi="方正书宋_GBK" w:eastAsia="方正书宋_GBK" w:cs="方正书宋_GBK"/>
          <w:sz w:val="44"/>
          <w:szCs w:val="44"/>
        </w:rPr>
        <w:t>采购需求</w:t>
      </w:r>
    </w:p>
    <w:p w14:paraId="7D380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p w14:paraId="14FBC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本次采购的激光打标机需全部满足以下核心指标，不满足任意一项将视为响应无效：</w:t>
      </w:r>
    </w:p>
    <w:p w14:paraId="06C43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1.激光类型：光纤激光器，额定输出功率50W，采用全风冷散热系统，无外接水冷装置需求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3AE0B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2.供电模式：支持锂电/插电两用双供电方式，内置大容量续航电池，满电状态下连续稳定打标作业时长不低于4小时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3AD22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3.操作交互：配备7英寸工业级触控显示屏，内置可视化操作系统，操作界面简洁直观，支持本地参数编辑、预览操作，无需外接工控机即可独立完成常规打标任务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17C8B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4.打标范围：标准打标幅面120*75mm，支持小幅面工件的全区域精准标刻，可适配不同规格工件的标识需求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5B48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散热系统：采用风冷冷却方式，运行稳定，长时间工作无过热风险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71113D9F"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.配套基础配置：包含激光打标机专用机架1个、高精度数字振镜1件、配套正版激光控制软件1套、适配波长透镜1个、自动收放料移动系统1套、专用护目镜1副，整机出厂前完成全流程调试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F69D1"/>
    <w:rsid w:val="12CF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2026-07-08T06:56:00Z</dcterms:created>
  <dc:creator>老猫110</dc:creator>
  <cp:lastModifiedBy>老猫110</cp:lastModifiedBy>
  <dcterms:modified xsi:type="dcterms:W3CDTF">2026-07-08T06:57:39Z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9CEB0411ABF14C9887E4AEF67EE5C38F_11</vt:lpwstr>
  </property>
  <property fmtid="{D5CDD505-2E9C-101B-9397-08002B2CF9AE}" pid="4" name="KSOTemplateDocerSaveRecord">
    <vt:lpwstr>eyJoZGlkIjoiNGYwYzU0OTI4N2RhNTZjMzQ3YzhlM2FlNDBhMjE4OWEiLCJ1c2VySWQiOiI2Mzg2NzYyNzkifQ==</vt:lpwstr>
  </property>
</Properties>
</file>