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50986">
      <w:pPr>
        <w:spacing w:line="560" w:lineRule="exact"/>
        <w:jc w:val="center"/>
        <w:rPr>
          <w:rFonts w:hint="eastAsia" w:ascii="宋体" w:hAnsi="宋体"/>
          <w:b/>
          <w:bCs/>
          <w:sz w:val="44"/>
          <w:szCs w:val="44"/>
          <w:lang w:eastAsia="zh-CN"/>
        </w:rPr>
      </w:pPr>
      <w:r>
        <w:rPr>
          <w:rFonts w:hint="eastAsia" w:ascii="宋体" w:hAnsi="宋体"/>
          <w:b/>
          <w:bCs/>
          <w:sz w:val="44"/>
          <w:szCs w:val="44"/>
          <w:lang w:val="en-US" w:eastAsia="zh-CN"/>
        </w:rPr>
        <w:t>自治区商务厅7楼大会议室</w:t>
      </w:r>
      <w:r>
        <w:rPr>
          <w:rFonts w:hint="eastAsia" w:ascii="宋体" w:hAnsi="宋体"/>
          <w:b/>
          <w:bCs/>
          <w:sz w:val="44"/>
          <w:szCs w:val="44"/>
          <w:lang w:eastAsia="zh-CN"/>
        </w:rPr>
        <w:t>LED显示屏</w:t>
      </w:r>
      <w:r>
        <w:rPr>
          <w:rFonts w:hint="eastAsia" w:ascii="宋体" w:hAnsi="宋体"/>
          <w:b/>
          <w:bCs/>
          <w:sz w:val="44"/>
          <w:szCs w:val="44"/>
          <w:lang w:val="en-US" w:eastAsia="zh-CN"/>
        </w:rPr>
        <w:t>采购</w:t>
      </w:r>
      <w:r>
        <w:rPr>
          <w:rFonts w:hint="eastAsia" w:ascii="宋体" w:hAnsi="宋体"/>
          <w:b/>
          <w:bCs/>
          <w:sz w:val="44"/>
          <w:szCs w:val="44"/>
          <w:lang w:eastAsia="zh-CN"/>
        </w:rPr>
        <w:t>项目</w:t>
      </w:r>
    </w:p>
    <w:p w14:paraId="7F9B9DAD">
      <w:pPr>
        <w:spacing w:line="560" w:lineRule="exact"/>
        <w:jc w:val="center"/>
        <w:rPr>
          <w:rFonts w:hint="eastAsia" w:ascii="宋体" w:hAnsi="宋体"/>
          <w:b/>
          <w:bCs/>
          <w:sz w:val="44"/>
          <w:szCs w:val="44"/>
          <w:lang w:eastAsia="zh-CN"/>
        </w:rPr>
      </w:pPr>
      <w:r>
        <w:rPr>
          <w:rFonts w:hint="eastAsia" w:ascii="宋体" w:hAnsi="宋体"/>
          <w:b/>
          <w:bCs/>
          <w:sz w:val="44"/>
          <w:szCs w:val="44"/>
        </w:rPr>
        <w:t>竞价公告</w:t>
      </w:r>
    </w:p>
    <w:p w14:paraId="0331D184">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一、项目信息</w:t>
      </w:r>
    </w:p>
    <w:p w14:paraId="46D83CE1">
      <w:pPr>
        <w:spacing w:line="560" w:lineRule="exact"/>
        <w:ind w:firstLine="562" w:firstLineChars="200"/>
        <w:rPr>
          <w:rFonts w:hint="default" w:ascii="仿宋_GB2312" w:hAnsi="仿宋_GB2312" w:eastAsia="仿宋_GB2312"/>
          <w:sz w:val="28"/>
          <w:szCs w:val="28"/>
          <w:lang w:val="en-US" w:eastAsia="zh-CN"/>
        </w:rPr>
      </w:pPr>
      <w:r>
        <w:rPr>
          <w:rFonts w:hint="eastAsia" w:ascii="仿宋_GB2312" w:hAnsi="仿宋_GB2312" w:eastAsia="仿宋_GB2312"/>
          <w:b/>
          <w:bCs/>
          <w:sz w:val="28"/>
          <w:szCs w:val="28"/>
        </w:rPr>
        <w:t>项目名称：</w:t>
      </w:r>
      <w:r>
        <w:rPr>
          <w:rFonts w:hint="eastAsia" w:ascii="仿宋_GB2312" w:hAnsi="仿宋_GB2312" w:eastAsia="仿宋_GB2312"/>
          <w:sz w:val="28"/>
          <w:szCs w:val="28"/>
          <w:lang w:val="en-US" w:eastAsia="zh-CN"/>
        </w:rPr>
        <w:t>自治区商务厅7楼大会议室LED显示屏采购项目</w:t>
      </w:r>
    </w:p>
    <w:p w14:paraId="57133B80">
      <w:pPr>
        <w:spacing w:line="560" w:lineRule="exact"/>
        <w:ind w:firstLine="562" w:firstLineChars="200"/>
        <w:rPr>
          <w:rFonts w:hint="default" w:ascii="仿宋_GB2312" w:hAnsi="仿宋_GB2312" w:eastAsia="仿宋_GB2312"/>
          <w:sz w:val="28"/>
          <w:szCs w:val="28"/>
          <w:lang w:val="en-US" w:eastAsia="zh-CN"/>
        </w:rPr>
      </w:pPr>
      <w:r>
        <w:rPr>
          <w:rFonts w:hint="eastAsia" w:ascii="仿宋_GB2312" w:hAnsi="仿宋_GB2312" w:eastAsia="仿宋_GB2312"/>
          <w:b/>
          <w:bCs/>
          <w:sz w:val="28"/>
          <w:szCs w:val="28"/>
        </w:rPr>
        <w:t>项目联系人及联系方式:</w:t>
      </w:r>
      <w:r>
        <w:rPr>
          <w:rFonts w:hint="eastAsia" w:ascii="仿宋_GB2312" w:hAnsi="仿宋_GB2312" w:eastAsia="仿宋_GB2312"/>
          <w:sz w:val="28"/>
          <w:szCs w:val="28"/>
          <w:lang w:val="en-US" w:eastAsia="zh-CN"/>
        </w:rPr>
        <w:t>葛杰  0771-2211018</w:t>
      </w:r>
    </w:p>
    <w:p w14:paraId="6C5D2D24">
      <w:pPr>
        <w:spacing w:line="560" w:lineRule="exact"/>
        <w:ind w:firstLine="562" w:firstLineChars="200"/>
        <w:rPr>
          <w:rFonts w:hint="eastAsia" w:ascii="仿宋_GB2312" w:hAnsi="仿宋_GB2312" w:eastAsia="仿宋_GB2312"/>
          <w:sz w:val="28"/>
          <w:szCs w:val="28"/>
        </w:rPr>
      </w:pPr>
      <w:r>
        <w:rPr>
          <w:rFonts w:hint="eastAsia" w:ascii="仿宋_GB2312" w:hAnsi="仿宋_GB2312" w:eastAsia="仿宋_GB2312"/>
          <w:b/>
          <w:bCs/>
          <w:sz w:val="28"/>
          <w:szCs w:val="28"/>
        </w:rPr>
        <w:t>采购单位:</w:t>
      </w:r>
      <w:r>
        <w:rPr>
          <w:rFonts w:hint="eastAsia" w:ascii="仿宋_GB2312" w:hAnsi="仿宋_GB2312" w:eastAsia="仿宋_GB2312"/>
          <w:sz w:val="28"/>
          <w:szCs w:val="28"/>
          <w:lang w:val="en-US" w:eastAsia="zh-CN"/>
        </w:rPr>
        <w:t>自治区商务厅</w:t>
      </w:r>
    </w:p>
    <w:p w14:paraId="7D2BA702">
      <w:pPr>
        <w:spacing w:line="560" w:lineRule="exact"/>
        <w:ind w:firstLine="562" w:firstLineChars="200"/>
        <w:rPr>
          <w:rFonts w:hint="eastAsia" w:ascii="仿宋_GB2312" w:hAnsi="仿宋_GB2312" w:eastAsia="仿宋_GB2312"/>
          <w:sz w:val="28"/>
          <w:szCs w:val="28"/>
        </w:rPr>
      </w:pPr>
      <w:r>
        <w:rPr>
          <w:rFonts w:hint="eastAsia" w:ascii="仿宋_GB2312" w:hAnsi="仿宋_GB2312" w:eastAsia="仿宋_GB2312"/>
          <w:b/>
          <w:bCs/>
          <w:sz w:val="28"/>
          <w:szCs w:val="28"/>
        </w:rPr>
        <w:t>供应商基本要求:</w:t>
      </w:r>
      <w:r>
        <w:rPr>
          <w:rFonts w:hint="eastAsia" w:ascii="仿宋_GB2312" w:hAnsi="仿宋_GB2312" w:eastAsia="仿宋_GB2312"/>
          <w:sz w:val="28"/>
          <w:szCs w:val="28"/>
        </w:rPr>
        <w:t>1、符合《中华人民共和国政府采购法》第二十二条的规定。2、符合《关于规范政府采购供应商资格设定及资格审查的通知》第六条规定。3、已在政采云平台注册并通过资质初审的供应商。</w:t>
      </w:r>
    </w:p>
    <w:p w14:paraId="1499B8BC">
      <w:pPr>
        <w:spacing w:line="560" w:lineRule="exact"/>
        <w:ind w:firstLine="562" w:firstLineChars="200"/>
        <w:rPr>
          <w:rFonts w:hint="eastAsia" w:ascii="仿宋_GB2312" w:hAnsi="仿宋_GB2312" w:eastAsia="仿宋_GB2312"/>
          <w:sz w:val="28"/>
          <w:szCs w:val="28"/>
        </w:rPr>
      </w:pPr>
      <w:r>
        <w:rPr>
          <w:rFonts w:hint="eastAsia" w:ascii="仿宋_GB2312" w:hAnsi="仿宋_GB2312" w:eastAsia="仿宋_GB2312"/>
          <w:b/>
          <w:bCs/>
          <w:sz w:val="28"/>
          <w:szCs w:val="28"/>
        </w:rPr>
        <w:t>采购组织形式及方式：</w:t>
      </w:r>
      <w:r>
        <w:rPr>
          <w:rFonts w:hint="eastAsia" w:ascii="仿宋_GB2312" w:hAnsi="仿宋_GB2312" w:eastAsia="仿宋_GB2312"/>
          <w:sz w:val="28"/>
          <w:szCs w:val="28"/>
        </w:rPr>
        <w:t>政府采购—电子卖场—</w:t>
      </w:r>
      <w:r>
        <w:rPr>
          <w:rFonts w:hint="eastAsia" w:ascii="仿宋_GB2312" w:hAnsi="仿宋_GB2312" w:eastAsia="仿宋_GB2312"/>
          <w:sz w:val="28"/>
          <w:szCs w:val="28"/>
          <w:lang w:val="en-US" w:eastAsia="zh-CN"/>
        </w:rPr>
        <w:t>反向竞价</w:t>
      </w:r>
      <w:bookmarkStart w:id="0" w:name="_GoBack"/>
      <w:bookmarkEnd w:id="0"/>
    </w:p>
    <w:p w14:paraId="559CBF88">
      <w:pPr>
        <w:pStyle w:val="3"/>
        <w:bidi w:val="0"/>
        <w:rPr>
          <w:rFonts w:hint="default"/>
          <w:lang w:val="en-US" w:eastAsia="zh-CN"/>
        </w:rPr>
      </w:pPr>
      <w:r>
        <w:rPr>
          <w:rFonts w:hint="eastAsia"/>
          <w:lang w:val="en-US" w:eastAsia="zh-CN"/>
        </w:rPr>
        <w:t>采购需求清单</w:t>
      </w:r>
    </w:p>
    <w:tbl>
      <w:tblPr>
        <w:tblStyle w:val="15"/>
        <w:tblW w:w="5320" w:type="pct"/>
        <w:tblInd w:w="-46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930"/>
        <w:gridCol w:w="3810"/>
        <w:gridCol w:w="700"/>
        <w:gridCol w:w="730"/>
        <w:gridCol w:w="710"/>
        <w:gridCol w:w="780"/>
        <w:gridCol w:w="790"/>
        <w:gridCol w:w="910"/>
        <w:gridCol w:w="760"/>
      </w:tblGrid>
      <w:tr w14:paraId="0E96C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A539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4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7344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货物名称</w:t>
            </w:r>
          </w:p>
        </w:tc>
        <w:tc>
          <w:tcPr>
            <w:tcW w:w="17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742E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货物需求及性能配置</w:t>
            </w:r>
          </w:p>
        </w:tc>
        <w:tc>
          <w:tcPr>
            <w:tcW w:w="3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BCBB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品牌</w:t>
            </w:r>
          </w:p>
        </w:tc>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35F5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型号规格</w:t>
            </w:r>
          </w:p>
        </w:tc>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10E4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B9AA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5939F">
            <w:pPr>
              <w:keepNext w:val="0"/>
              <w:keepLines w:val="0"/>
              <w:widowControl/>
              <w:suppressLineNumbers w:val="0"/>
              <w:tabs>
                <w:tab w:val="left" w:pos="210"/>
              </w:tabs>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单价(元)</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3504C">
            <w:pPr>
              <w:keepNext w:val="0"/>
              <w:keepLines w:val="0"/>
              <w:widowControl/>
              <w:suppressLineNumbers w:val="0"/>
              <w:tabs>
                <w:tab w:val="left" w:pos="210"/>
              </w:tabs>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合计(元)</w:t>
            </w:r>
          </w:p>
        </w:tc>
        <w:tc>
          <w:tcPr>
            <w:tcW w:w="35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D66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36A23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2"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D75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813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LED显示屏</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8709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显示屏净屏尺寸：≥宽6.72m*高2.08m 分辨率：≥4368*1352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1、▲像素点间距：≤1.538mm</w:t>
            </w:r>
          </w:p>
          <w:p w14:paraId="6F3B009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2、单元板分辨率：≥21632Dots</w:t>
            </w:r>
          </w:p>
          <w:p w14:paraId="2550F67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3、▲刷新率：≥6000Hz4、▲刷新率兼容720Hz~6000Hz，支持通过配套控制软件调节刷新率设置选项</w:t>
            </w:r>
          </w:p>
          <w:p w14:paraId="36C9D81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5、像素构成：1R、1G、1B</w:t>
            </w:r>
          </w:p>
          <w:p w14:paraId="531EB4B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6、▲封装方式：SMD表贴三合一，铜线封装，五面黑灯，表面不反光</w:t>
            </w:r>
          </w:p>
          <w:p w14:paraId="70DAA6E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7、驱动方式：恒流驱动；控制方式：同步控制系统</w:t>
            </w:r>
          </w:p>
          <w:p w14:paraId="02FD278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8、维护方式：前后双向维护</w:t>
            </w:r>
          </w:p>
          <w:p w14:paraId="411D489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9、整屏平整度≤0.04mm，模组平整度≤0.03mm</w:t>
            </w:r>
          </w:p>
          <w:p w14:paraId="686A816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10、▲反光率：≤1%；白平衡亮度：0-830cd/㎡可调；亮度调节：0-100%亮度可调，256级手动/自动/软件调节，屏幕亮度具有随环境照度的变化任意调整功能；亮度均匀性＞99%</w:t>
            </w:r>
          </w:p>
          <w:p w14:paraId="12FE870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11、色温800K-20000K可调；可自定义色温值，可设冷色、暖色、标准等多档白场调节，色温调节范围（不同电平灰场）与目标色温误差≤100K；色域空间≥120%NTSC，LED显示屏ColorSPace 覆盖率≥170%YUV(PAL)</w:t>
            </w:r>
          </w:p>
          <w:p w14:paraId="28F7949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12、水平视角≥175°；垂直视角≥175°</w:t>
            </w:r>
          </w:p>
          <w:p w14:paraId="3CBE105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13、▲对比度≥10000：1</w:t>
            </w:r>
          </w:p>
          <w:p w14:paraId="3ECD4B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14、▲灰度等级≥16bit，依据LED灯发光曲线参数，一级一级的灰度进行亮度、色度修正。分段多套校正数据，实现显示自动匹配灰阶校正数据</w:t>
            </w:r>
          </w:p>
          <w:p w14:paraId="1B462C7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15、峰值功耗≤250W/m²；平均功耗≤100W/m²</w:t>
            </w:r>
          </w:p>
          <w:p w14:paraId="29AE7E2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16、供电电源：在4.2*（1±10%）VDC～4.5*（1±10%）VDC范围内能正常工作；输入电压：支持宽压输入在96-264VAC，支持窄压输入在200-240VAC，在该范围内能正常工作</w:t>
            </w:r>
          </w:p>
          <w:p w14:paraId="4F50405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17、▲防护性能：具有防静电、防电磁干扰、防腐蚀、防霉菌、防虫、防潮、抗震动、抗雷击等功能；具有电源过压、过流、断电保护、分布上电措施、防护等级达到IP60</w:t>
            </w:r>
          </w:p>
          <w:p w14:paraId="6D0D23A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18、▲为不影响屏体周边人员的健康，要求投标人所投LED显示屏在正常工作中，显示屏1m范围内，前后左右4个位置噪音小于1.4dB；所投LED显示屏观看舒适度需符合：人眼视觉舒适度(VICO)1级，基本无疲劳感。</w:t>
            </w:r>
          </w:p>
          <w:p w14:paraId="10A39C1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19、▲根据GB 4943.1-2022标准，进行过载试验，测试结束后，电阻变化量不超过20%。未失效</w:t>
            </w:r>
          </w:p>
          <w:p w14:paraId="776F9B2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20、▲为了所投LED显示屏产品的安全性和适应性，屏体内部所用排线需符合耐高温实验、耐压测试、折弯参数测试要求，耐燃等级符合VW-1/UL94V-0</w:t>
            </w:r>
          </w:p>
          <w:p w14:paraId="4E73E71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根据GB/T34662-2017标准对LED显示屏安全性、电磁兼容性、显示亮度、像素中心距、外壳防护等级、基色主波长、白场色坐标作为考核项，LED显示屏对使用、维护或有关人员无危害，符合重要质量特性。无致命缺陷。</w:t>
            </w:r>
          </w:p>
          <w:p w14:paraId="5B41E6F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22、▲根据GB 4943.1-2022标准以及GB/T34662-2017标准进行温度试验，通过测量模组可触及表面的温度，以及金属零部件温度，热能量源分级符合TS1级</w:t>
            </w:r>
          </w:p>
          <w:p w14:paraId="2CA71F4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23、▲显示模组运输按照GB/T6587-2012标准的流通条件等级3级对模组进行测试，测试结束后，LED显示屏外表面无明显划痕，模组安装应一致，无松动破裂，像素失控率等级还是为C级</w:t>
            </w:r>
          </w:p>
          <w:p w14:paraId="6B9FD42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正常播放视频状态下点亮5分钟后产品表面温度升幅≤1.5℃，点亮10分钟后其温度升幅≤8℃；产品在白平衡状态下点亮5分钟后产品表面温度升幅≤8℃，点亮10分钟后其温度升幅≤18℃；产品正常使用工作达到热平衡状态后，屏体结构金属部分温度升幅≤30℃，绝缘材料温度升幅≤30℃</w:t>
            </w:r>
          </w:p>
          <w:p w14:paraId="0C87AC9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25、▲LED显示屏具备现场屏体开关机次数及使用时长记录，以及对现场温湿度的监测反馈，并形成数据保存周期为100天，并可在控制软件端提取数据，保证用户实时了解现场屏体及使用环境情况。</w:t>
            </w:r>
          </w:p>
          <w:p w14:paraId="564F6CA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26、▲具备0级防霉特性,符合《GBT2423.16-2022 电工电子产品环境试验 第二部分∶试验方法 试验J及导则∶长霉》的测试要求，可防黑曲霉、土曲霉、球毛壳霉、绳状青霉、绿色木霉等</w:t>
            </w:r>
          </w:p>
          <w:p w14:paraId="61ABC1B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防信号远程窃密技术：具有良好的抗还原性能，具有良好的覆盖性，实现无缝干扰，覆盖范围广，从99KHz~1.2GHz,抑制传导辐射，对视频信息无二次转发与加强作用；干扰信号强度10KHz~230MHz：小于90dBuV；干扰信号强度235MHz~l.2GHz：小于97dBuV；传导抑制＞36dB；可以单机使用、可以组网使用</w:t>
            </w:r>
          </w:p>
          <w:p w14:paraId="0D7568A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防电力远程窃密技术：采用信息相关方式阻止电力通信，采用电子对抗原理，防止电磁传导辐射泄露有用信息，防止劫持相关控制设备；覆盖范围:1.1KHz~1.5GHz；输入/输出电源滤波设计抑制信号强度，具有很好的电磁兼容性</w:t>
            </w:r>
          </w:p>
          <w:p w14:paraId="574D803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29、模组防透光：模组间增加凹槽设计，防止模组间透光；支持箱体防透光：箱体四边增加凹槽设计，放置遮光棉条，有效防止箱体间透光和漏光。支持箱体边缘台阶式设计，防止模组透光</w:t>
            </w:r>
          </w:p>
          <w:p w14:paraId="4C40F75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30、产品采用高端芯片，可智能调节正常工作与睡眠状态下的节能效果（动态节能，智能息屏），开启智能节电功能比没有开启，节能55%以上。</w:t>
            </w:r>
          </w:p>
          <w:p w14:paraId="7D065A0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31、长时间没有使用屏体，屏体自动切入除湿模式，通过预热灯珠，蒸发掉灯珠内部湿气，使屏体从10%到100%亮度逐步显示，达到保护LED灯</w:t>
            </w:r>
          </w:p>
          <w:p w14:paraId="0A40848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32、LED显示屏保护地端子应有标记。进行标记耐久性试验后，标记牢固、清晰可辨。LED显示屏在熔断器和开关电源处应有警告标示</w:t>
            </w:r>
          </w:p>
          <w:p w14:paraId="5593CB1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33、LED显示屏通过高温负荷工作、低温负荷工作、高温存储、低温存储、恒定湿热、湿热负载等测试，测试结束后，产品能正常工作</w:t>
            </w:r>
          </w:p>
          <w:p w14:paraId="2EA715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35、★为保证所提供产品来源正规，需承诺中标后在签订合同时提供承诺书等（承诺格式自拟）</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589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强力巨彩</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75FBA">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CC1.5</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530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96E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13.98</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A894B">
            <w:pPr>
              <w:keepNext w:val="0"/>
              <w:keepLines w:val="0"/>
              <w:widowControl/>
              <w:suppressLineNumbers w:val="0"/>
              <w:tabs>
                <w:tab w:val="left" w:pos="210"/>
              </w:tabs>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2B429">
            <w:pPr>
              <w:keepNext w:val="0"/>
              <w:keepLines w:val="0"/>
              <w:widowControl/>
              <w:suppressLineNumbers w:val="0"/>
              <w:tabs>
                <w:tab w:val="left" w:pos="210"/>
              </w:tabs>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96462</w:t>
            </w:r>
          </w:p>
        </w:tc>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E764">
            <w:pPr>
              <w:jc w:val="center"/>
              <w:rPr>
                <w:rFonts w:hint="eastAsia" w:ascii="宋体" w:hAnsi="宋体" w:eastAsia="宋体" w:cs="宋体"/>
                <w:i w:val="0"/>
                <w:iCs w:val="0"/>
                <w:color w:val="000000"/>
                <w:sz w:val="21"/>
                <w:szCs w:val="21"/>
                <w:u w:val="none"/>
              </w:rPr>
            </w:pPr>
          </w:p>
        </w:tc>
      </w:tr>
      <w:tr w14:paraId="378EF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E8A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A29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LED显示模组</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8F9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同主屏幕参数一致</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ABB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强力巨彩</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8B8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Q1.5PRO</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575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C30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E15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359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1750</w:t>
            </w:r>
          </w:p>
        </w:tc>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9307">
            <w:pPr>
              <w:jc w:val="center"/>
              <w:rPr>
                <w:rFonts w:hint="eastAsia" w:ascii="宋体" w:hAnsi="宋体" w:eastAsia="宋体" w:cs="宋体"/>
                <w:i w:val="0"/>
                <w:iCs w:val="0"/>
                <w:color w:val="000000"/>
                <w:sz w:val="21"/>
                <w:szCs w:val="21"/>
                <w:u w:val="none"/>
              </w:rPr>
            </w:pPr>
          </w:p>
        </w:tc>
      </w:tr>
      <w:tr w14:paraId="5C1A9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A11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763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top"/>
          </w:tcPr>
          <w:p w14:paraId="3B66F755">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1.输出：直流电压 5V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2.额定电流 40A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3.电流范围 0～40A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4.额定功率 200W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5.纹波与噪声 150mVp-p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6.电压调节范围 4.5～5.5V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7.电压精度 ±2.0%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8.线性调整率 ±0.5%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9.负载调整率 ±2%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10.启动、上升时间 2000ms，50ms/230VAC  负载100%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11.保持时间（Typ） 20ms/230VAC  负载100%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12.输入：电压范围 176～264VAC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13.频率范围 47～63HZ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14.功率因数 （Typ） PF≥0.5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15.效率（Typ） ≥88%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16.电流： 2.0A/230VAC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17.浪涌电流（Typ） 60A/230VAC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18.泄漏电流 &lt;1mA/230VAC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19.保护： 过负载 110～150% rated</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0AB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创联</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52C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LDK-200-5</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D3A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F8C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128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683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3480</w:t>
            </w:r>
          </w:p>
        </w:tc>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337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含备用2个</w:t>
            </w:r>
          </w:p>
        </w:tc>
      </w:tr>
      <w:tr w14:paraId="5031F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31D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9AE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接收卡</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AFF3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lang w:val="en-US" w:eastAsia="zh-CN" w:bidi="ar"/>
              </w:rPr>
              <w:t>1.</w:t>
            </w:r>
            <w:r>
              <w:rPr>
                <w:rFonts w:hint="eastAsia" w:ascii="宋体" w:hAnsi="宋体" w:eastAsia="宋体" w:cs="宋体"/>
                <w:i w:val="0"/>
                <w:iCs w:val="0"/>
                <w:color w:val="000000"/>
                <w:kern w:val="0"/>
                <w:sz w:val="21"/>
                <w:szCs w:val="21"/>
                <w:u w:val="none"/>
                <w:lang w:val="en-US" w:eastAsia="zh-CN" w:bidi="ar"/>
              </w:rPr>
              <w:t>采用8路HUB75接口，输出信号至LED模组；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2.支持单卡最大带载128×1024（不同应用或有差异）；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3.支持16组并行RGB全彩数据或32组串行RGB数据；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4.支持市面主流芯片（常规、PWM、视芯等）；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5.支持任意抽点、任意抽行抽列；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6.支持静态到128扫之间的任意扫描类型；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7.支持单组数据最大13312像素点以内任意走线；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8.支持水平或垂直方向的数据打折；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9.支持8bit色深视频源输入；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10.支持低亮高灰；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11.支持色温调节；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12.支持8bit的色度、亮度一体化逐点校正；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13.支持自适应帧率技术，最高可输出240Hz画面；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14.支持箱体快速标定标序；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15.支持画面旋转90°/180°/270°；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16.支持数据组画面偏移，适用于简单异形屏；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17.支持异形构造，适用于复杂异形屏；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18.支持环路备份；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19.支持DC 3.8V~5.5V超宽工作电压。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▲20.亮色度逐点校正，能有效消除灯点色差，保证整屏的颜色亮度的均匀性和一致性，提升整体显示效果。</w:t>
            </w:r>
          </w:p>
          <w:p w14:paraId="51B035E5">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2"/>
                <w:sz w:val="21"/>
                <w:szCs w:val="21"/>
                <w:lang w:val="en-US" w:eastAsia="zh-CN" w:bidi="ar-SA"/>
              </w:rPr>
              <w:t>2.</w:t>
            </w:r>
            <w:r>
              <w:rPr>
                <w:rFonts w:hint="eastAsia" w:ascii="宋体" w:hAnsi="宋体" w:eastAsia="宋体" w:cs="宋体"/>
                <w:i w:val="0"/>
                <w:iCs w:val="0"/>
                <w:color w:val="000000"/>
                <w:kern w:val="0"/>
                <w:sz w:val="21"/>
                <w:szCs w:val="21"/>
                <w:u w:val="none"/>
                <w:lang w:val="en-US" w:eastAsia="zh-CN" w:bidi="ar"/>
              </w:rPr>
              <w:t>▲21.在10%亮度下依旧保持高灰度</w:t>
            </w:r>
          </w:p>
          <w:p w14:paraId="5F1584B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2"/>
                <w:sz w:val="21"/>
                <w:szCs w:val="21"/>
                <w:lang w:val="en-US" w:eastAsia="zh-CN" w:bidi="ar-SA"/>
              </w:rPr>
              <w:t>3.</w:t>
            </w:r>
            <w:r>
              <w:rPr>
                <w:rFonts w:hint="eastAsia" w:ascii="宋体" w:hAnsi="宋体" w:eastAsia="宋体" w:cs="宋体"/>
                <w:i w:val="0"/>
                <w:iCs w:val="0"/>
                <w:color w:val="000000"/>
                <w:kern w:val="0"/>
                <w:sz w:val="21"/>
                <w:szCs w:val="21"/>
                <w:u w:val="none"/>
                <w:lang w:val="en-US" w:eastAsia="zh-CN" w:bidi="ar"/>
              </w:rPr>
              <w:t>▲22.为便捷描点调试，描点方式为：单组数据可支持13312像素点以内任意走线</w:t>
            </w:r>
          </w:p>
          <w:p w14:paraId="2910B00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▲23.自带测试程序，实现红、绿、蓝、白四种单色显示，横扫，竖扫等方式扫描显示</w:t>
            </w:r>
          </w:p>
          <w:p w14:paraId="4BBD35D8">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24.具备信号灯显示状态：绿灯闪烁1次/秒，接收卡正常工作，网线连接正常；绿灯闪烁4次/秒，环路备份状态下，接收卡工作在备份发送卡状态。</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57B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强力巨彩</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41D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VE80(QL)</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D70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4B0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687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E7E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6720</w:t>
            </w:r>
          </w:p>
        </w:tc>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4D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含备用张2张</w:t>
            </w:r>
          </w:p>
        </w:tc>
      </w:tr>
      <w:tr w14:paraId="4A85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175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0A73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拼接处理器</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75AB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lang w:val="en-US" w:eastAsia="zh-CN" w:bidi="ar"/>
              </w:rPr>
              <w:t>1.</w:t>
            </w:r>
            <w:r>
              <w:rPr>
                <w:rFonts w:hint="eastAsia" w:ascii="宋体" w:hAnsi="宋体" w:eastAsia="宋体" w:cs="宋体"/>
                <w:i w:val="0"/>
                <w:iCs w:val="0"/>
                <w:color w:val="000000"/>
                <w:kern w:val="0"/>
                <w:sz w:val="21"/>
                <w:szCs w:val="21"/>
                <w:u w:val="none"/>
                <w:lang w:val="en-US" w:eastAsia="zh-CN" w:bidi="ar"/>
              </w:rPr>
              <w:t>采用1U标准机箱，配置12路千兆网口，输出连接LED屏幕；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2.支持单机最大带载786万像素点，最宽16384或最高8192像素；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3.支持1路DP1.2、1路HDMI2.0、4路HDMI1.4视频信号输入；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4.支持6画面显示，画面大小和位置可自由调节；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5.支持视频信号任意裁剪、缩放和无缝切换；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6.支持U盘播放图片、视频，以及用于升级设备固件；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7.支持OSD遥控屏幕菜单控制图像、声音、设置等（选配遥控器）；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8.支持画面调整，可调节设备输出的对比度、饱和度、色调、亮度补偿；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9.支持色温调节，精确色温调节和RGB分量调节；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10.支持低亮高灰，有效保证低亮度下的灰阶完整显示；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11.支持音频传输，通过DP/HDMI音频解析和3.5mm独立音频输入输出；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12.▲为保证HDMI或DVI传输信号不被非法录制，设备具备HDCP1.4高带宽数字内容保护技术。</w:t>
            </w:r>
          </w:p>
          <w:p w14:paraId="5B70BD0C">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2"/>
                <w:sz w:val="21"/>
                <w:szCs w:val="21"/>
                <w:lang w:val="en-US" w:eastAsia="zh-CN" w:bidi="ar-SA"/>
              </w:rPr>
              <w:t>2.</w:t>
            </w:r>
            <w:r>
              <w:rPr>
                <w:rFonts w:hint="eastAsia" w:ascii="宋体" w:hAnsi="宋体" w:eastAsia="宋体" w:cs="宋体"/>
                <w:i w:val="0"/>
                <w:iCs w:val="0"/>
                <w:color w:val="000000"/>
                <w:kern w:val="0"/>
                <w:sz w:val="21"/>
                <w:szCs w:val="21"/>
                <w:u w:val="none"/>
                <w:lang w:val="en-US" w:eastAsia="zh-CN" w:bidi="ar"/>
              </w:rPr>
              <w:t>13.▲支持有限转完全功能：可将输入的有限动态范围画面调整至全范围输出，可有效避免有效动态范围画面在LED显示屏上呈现黑色时有暗亮的问题。</w:t>
            </w:r>
          </w:p>
          <w:p w14:paraId="31B41F6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2"/>
                <w:sz w:val="21"/>
                <w:szCs w:val="21"/>
                <w:lang w:val="en-US" w:eastAsia="zh-CN" w:bidi="ar-SA"/>
              </w:rPr>
              <w:t>3.</w:t>
            </w:r>
            <w:r>
              <w:rPr>
                <w:rFonts w:hint="eastAsia" w:ascii="宋体" w:hAnsi="宋体" w:eastAsia="宋体" w:cs="宋体"/>
                <w:i w:val="0"/>
                <w:iCs w:val="0"/>
                <w:color w:val="000000"/>
                <w:kern w:val="0"/>
                <w:sz w:val="21"/>
                <w:szCs w:val="21"/>
                <w:u w:val="none"/>
                <w:lang w:val="en-US" w:eastAsia="zh-CN" w:bidi="ar"/>
              </w:rPr>
              <w:t>14.▲支持低亮高灰功能，支持亮度调节在低亮度时显示画面层次，小间距LED显示屏的亮度10%以下，灰度损失的程度在人眼难以察觉的范围，此功能可以在低亮度的情况下表现更广灰度范围。</w:t>
            </w:r>
          </w:p>
          <w:p w14:paraId="7A30A8E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15.▲支持信号检测功能：可检测信号大小、格式、分辨率、HDR，检查控制器数量接收卡数量；检查画面图层数量以及大小；检查温度、IP地址、屏幕参数。</w:t>
            </w:r>
          </w:p>
          <w:p w14:paraId="718E9DA8">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16.▲支持最小64x64像素点裁剪,支持最宽8192像素点或者最高8192像素点裁剪，可任意截取每个信号源的部分画面显示到大屏上。</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4AA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强力巨彩</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13F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VX12m(QL)</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86E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A87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036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D54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12800</w:t>
            </w: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3A94F">
            <w:pPr>
              <w:rPr>
                <w:rFonts w:hint="eastAsia" w:ascii="宋体" w:hAnsi="宋体" w:eastAsia="宋体" w:cs="宋体"/>
                <w:i w:val="0"/>
                <w:iCs w:val="0"/>
                <w:color w:val="000000"/>
                <w:sz w:val="21"/>
                <w:szCs w:val="21"/>
                <w:u w:val="none"/>
              </w:rPr>
            </w:pPr>
          </w:p>
        </w:tc>
      </w:tr>
      <w:tr w14:paraId="67A4F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4CE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1DBB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矩阵</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9968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1、支持不少于16个HDMI输入，16个HDMI输出；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2、采用全硬件架构，不低于3.4GHz高带宽芯片，无CPU和操作系统；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3、支持HDMI 1.3a协议版本，支持1080P@60Hz、1080P 3D@60Hz及以下分辨率，支持隔行信号；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4、支持RGB4:4:4、YUV4:4:4、YUV4:2:2色彩空间，支持x.v.Color扩展色域标准；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5、支持HDCP解密、蓝光、3D，可确保所有视频信号实时显示，不抽帧，不丢灰，画面清晰流畅；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6、支持按键、红外遥控、RS232串口指令、上位机软件等控制方式；</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A9F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嗨动</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F42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EMX1616</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51F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295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043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8EA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4800</w:t>
            </w: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73216">
            <w:pPr>
              <w:jc w:val="center"/>
              <w:rPr>
                <w:rFonts w:hint="eastAsia" w:ascii="宋体" w:hAnsi="宋体" w:eastAsia="宋体" w:cs="宋体"/>
                <w:i w:val="0"/>
                <w:iCs w:val="0"/>
                <w:color w:val="000000"/>
                <w:sz w:val="21"/>
                <w:szCs w:val="21"/>
                <w:u w:val="none"/>
              </w:rPr>
            </w:pPr>
          </w:p>
        </w:tc>
      </w:tr>
      <w:tr w14:paraId="69228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376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4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351E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中控系统</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7237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1、采用2U插卡式机箱，外壳防护等级符合GB/T4208-2017中IP20标准要求，支持 7*24小时持续稳定运行，平均无故障运行时间（MTBF）≥300000小时；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串口、I/O、RELAY、IR和视频矩阵等扩展子卡，扩展子卡支持混插和热插拔，热插拔恢复时间≤10S，主机背板采用千兆交换网络通信，实现各子卡之间的互联互通，更换板卡后无需重新配置即可恢复原始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设备前面板内嵌分辨率不低于480x270的LCD彩色液晶屏，主界面支持设备IP地址显示，可实时检测接口状态、整机温度、CPU使用率、存储空间等，同时支持网络参数、COM参数、I/O参数、固件升级、工程导入导出等配置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▲4、采用Linux操作系统，不低于四核 ，主频不低于2.0GHz，32位工业级处理器，内存不低于16GB EMMC，2GB DDR ，支持数据实时存储/掉电存储，上电后数据智能恢复；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▲5、可根据需求进行灵活搭配，整机支持不少于50路全双向通讯串行接口，接口无需转接可兼容 RS232 / RS422 / RS485/DMX512/Modbus等协议；支持不少于40路 I/O  输入输出控制接口；支持不少于60路RELAY接口；支持不少于1路IR学习接口和30路IR输出接口；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6、支持不少于1路CAN总线接口，不少于2路USB接口，支持离线升级和在线升级两种模式，支持接入U盘进行升级，支持软件进行升级，支持单设备升级和多设备批量升级；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7、支持不少于1路ETHERNET控制接口，10/100/1000Mbps千兆网口，兼容TCP、UDP组播、UDP广播；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8、整机最大支持不少于20路HDMI2.0输入和15路HDMI2.0输出，支持4K60Hz，8bit和10bit位深处理、伴随音频、独立音频以及画面回显等功能；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9、内置指令库，提供开放式的可编程设计平台，支持 3D 控件、按钮、文本、容器、窗口、登录、图片、时间、拉杆、矩阵等多种控件，支持按键音效、日期和时钟功能，客户端界面可同步显示当前日期和时间；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按钮的自锁与互锁功能，对单个按钮进行自锁，可实现点击按钮呈按下状态，再次点击按钮呈弹起状态；对多个按钮进行互锁，可实现多个按钮之间只能有一个按钮为按下状态；支持项目分辨率调整时，可自适应同步调整布局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11、支持电脑网络唤醒功能，无需增加电脑开关机卡或安装开关机插件，通过电脑MAC地址即可实现对电脑的开机操作；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12、支持通过串口、网口（TCP/UDP）、I/O等接口接收第三方设备的控制协议，实现对受控设备的触发控制；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▲13、支持对各类控制模块进行可视化呈现，多个智能操作终端之间状态同步，任意终端控制操作都实时同步至其它终端；支持查询设备的状态，解析数据后同步智能操作终端，实时显示受控设备的状态；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14、支持在Windows、iOS、Android、鸿蒙等操作系统，可通过触摸一体机、PC、平板、手机、触控面板、按键面板等多平台设备进行同时操作，轻松实现跨平台、跨系统的交互控制；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▲15、支持开机自检、定期轮巡检测、手动检测等多种检测方式对整机全面扫描，保障设备的安全运行；支持SSL加密技术、内置防火墙，全方位保障使用安全；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16、内置高精度时钟系统，实时同步网络时钟，至少支持手动校时和NTP网络校时两种校时模式，时间校对可精确到年月日时分秒。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▲17、支持一键换机功能，更换新设备时，可一键将旧设备的参数导入至新设备；支持程序导入导出，支持将中控程序从中控主机下载导入到U盘等工具，便于二次开发编辑等应用。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18、设备可满足低温极限工作温度≤-10℃（可冷启动正常），高温极限工作温度≥60℃。设备可满足高温高湿工作环境为0%RH～80%RH，无冷凝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19、设备支持在不低于1m处随包装跌落，跌落后要求产品外观和功能正常；设备的包装支持空运运输标准和三四级公路陆运运输标准；产品满足EN55032标准要求：30MHz-6G CLASS A；</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C63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嗨动</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EF1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ECS3000-2C</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F5C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D5F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675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ADF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12000</w:t>
            </w: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2A1D9">
            <w:pPr>
              <w:jc w:val="center"/>
              <w:rPr>
                <w:rFonts w:hint="eastAsia" w:ascii="宋体" w:hAnsi="宋体" w:eastAsia="宋体" w:cs="宋体"/>
                <w:i w:val="0"/>
                <w:iCs w:val="0"/>
                <w:color w:val="000000"/>
                <w:sz w:val="21"/>
                <w:szCs w:val="21"/>
                <w:u w:val="none"/>
              </w:rPr>
            </w:pPr>
          </w:p>
        </w:tc>
      </w:tr>
      <w:tr w14:paraId="723AB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FF7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D86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配电箱</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D8D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1.功率20KW；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2.具有远程监控和无人值守功能；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3.电气防护具有过流、短路、断路、过载等保护措施；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4.输出12路32A/D型空开；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5.箱体尺寸;600*500*160  双开门；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6.金属箱体外壳电泳喷粉工艺，全面防腐、防锈；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7.远程实时监控和无人自动值守功能，高效可靠；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8.实体按键/手持遥控器/电脑远控等多种控制方式，快捷方便；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9.支持以星期为单位设置每天定时通电和断电功能，设定完成后系统自动循环，满足不同场合的管理需求；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10.PLC电脑控制，中控控制，单台配电柜支持单组供电回路独立控制，和多组供电回路时序控制等两种控制运行，还能实现单台/集群配电箱集中控制；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11.内置黑盒子存储芯片，即使在不联网的情况下也能独立保存操作/运行/告警三大类别的脱机记录，电脑或中控主机可以通过网络提取这些脱网运行记录；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12.支持RS485/有线以太网等多种远程通信端口，在局域网内任意一台或多台电脑进行集中控制；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13.预留数字电表接入功能，可实时监测电流、电压、电能等多项数据；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14.系统自动保存所有操作记录、告警记录、温湿度运行数据，支持历史记录查询，导出Excel文档，打印各种报表；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15.支持触发告警后，电脑自动强制弹屏提示，PLC蜂鸣器告警/软件弹屏等多种告警方式。</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BF2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鹏安</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F32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PA-PLC20KW</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B3F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4CD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3B8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EE3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3500</w:t>
            </w:r>
          </w:p>
        </w:tc>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A7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含PLC模块</w:t>
            </w:r>
          </w:p>
        </w:tc>
      </w:tr>
      <w:tr w14:paraId="1A830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19F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9D0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控制平板</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0870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运行内存:8GB；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机身存储:256GB；</w:t>
            </w:r>
          </w:p>
          <w:p w14:paraId="2C10E24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屏幕尺寸:11.5·英寸；</w:t>
            </w:r>
          </w:p>
          <w:p w14:paraId="303B216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屏幕材质:TFT·IPS·LCD；</w:t>
            </w:r>
          </w:p>
          <w:p w14:paraId="72F354F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屏幕分辨率:2456×1600；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刷新率:120Hz；</w:t>
            </w:r>
          </w:p>
          <w:p w14:paraId="439677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支持·60/90/120Hz·智能动态调节</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DDD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华为</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B77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擎云C5</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EBC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5AE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71B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53F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5600</w:t>
            </w:r>
          </w:p>
        </w:tc>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16F32">
            <w:pPr>
              <w:rPr>
                <w:rFonts w:hint="eastAsia" w:ascii="宋体" w:hAnsi="宋体" w:eastAsia="宋体" w:cs="宋体"/>
                <w:i w:val="0"/>
                <w:iCs w:val="0"/>
                <w:color w:val="000000"/>
                <w:sz w:val="21"/>
                <w:szCs w:val="21"/>
                <w:u w:val="none"/>
              </w:rPr>
            </w:pPr>
          </w:p>
        </w:tc>
      </w:tr>
      <w:tr w14:paraId="4966E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813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D94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屏体结构及包边</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001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1、显示屏安装框架：钢结构内框，不锈钢包边。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2、美观大方，坚固耐用，与显示屏配套使用。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3、包边上下左右各4cm。</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0A5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国产</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351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E87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D7F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14.69</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533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DDB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11752</w:t>
            </w:r>
          </w:p>
        </w:tc>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01C9">
            <w:pPr>
              <w:rPr>
                <w:rFonts w:hint="eastAsia" w:ascii="宋体" w:hAnsi="宋体" w:eastAsia="宋体" w:cs="宋体"/>
                <w:i w:val="0"/>
                <w:iCs w:val="0"/>
                <w:color w:val="000000"/>
                <w:sz w:val="21"/>
                <w:szCs w:val="21"/>
                <w:u w:val="none"/>
              </w:rPr>
            </w:pPr>
          </w:p>
        </w:tc>
      </w:tr>
      <w:tr w14:paraId="5E6A4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8"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674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541B7">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安装辅材与调试</w:t>
            </w:r>
          </w:p>
        </w:tc>
        <w:tc>
          <w:tcPr>
            <w:tcW w:w="17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F65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含50米主线缆、数据线、控制线、线槽以及安装调试。</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D50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2F3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A2E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0A7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46E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21D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7600</w:t>
            </w:r>
          </w:p>
        </w:tc>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E8AB">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强力巨彩持证工程师</w:t>
            </w:r>
          </w:p>
        </w:tc>
      </w:tr>
      <w:tr w14:paraId="050BE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471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A1E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拆投影仪</w:t>
            </w:r>
          </w:p>
        </w:tc>
        <w:tc>
          <w:tcPr>
            <w:tcW w:w="1797" w:type="pct"/>
            <w:tcBorders>
              <w:top w:val="single" w:color="000000" w:sz="4" w:space="0"/>
              <w:left w:val="single" w:color="000000" w:sz="4" w:space="0"/>
              <w:bottom w:val="single" w:color="000000" w:sz="4" w:space="0"/>
              <w:right w:val="nil"/>
            </w:tcBorders>
            <w:shd w:val="clear" w:color="auto" w:fill="auto"/>
            <w:vAlign w:val="center"/>
          </w:tcPr>
          <w:p w14:paraId="73D02B4C">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拆除2台投影机迁移到指定位置进行单独安装，含支架、85英寸16：9投影幕布。</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E7C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24B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516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DE5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72" w:type="pct"/>
            <w:tcBorders>
              <w:top w:val="single" w:color="000000" w:sz="4" w:space="0"/>
              <w:left w:val="nil"/>
              <w:bottom w:val="single" w:color="000000" w:sz="4" w:space="0"/>
              <w:right w:val="single" w:color="000000" w:sz="4" w:space="0"/>
            </w:tcBorders>
            <w:shd w:val="clear" w:color="auto" w:fill="auto"/>
            <w:vAlign w:val="center"/>
          </w:tcPr>
          <w:p w14:paraId="5CF14C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53B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8000</w:t>
            </w:r>
          </w:p>
        </w:tc>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656F3">
            <w:pPr>
              <w:rPr>
                <w:rFonts w:hint="eastAsia" w:ascii="宋体" w:hAnsi="宋体" w:eastAsia="宋体" w:cs="宋体"/>
                <w:i w:val="0"/>
                <w:iCs w:val="0"/>
                <w:color w:val="000000"/>
                <w:sz w:val="21"/>
                <w:szCs w:val="21"/>
                <w:u w:val="none"/>
              </w:rPr>
            </w:pPr>
          </w:p>
        </w:tc>
      </w:tr>
      <w:tr w14:paraId="5BA4B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473F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6DB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摄像头电动伸缩升降遥控支架</w:t>
            </w:r>
          </w:p>
        </w:tc>
        <w:tc>
          <w:tcPr>
            <w:tcW w:w="1797" w:type="pct"/>
            <w:tcBorders>
              <w:top w:val="single" w:color="000000" w:sz="4" w:space="0"/>
              <w:left w:val="single" w:color="000000" w:sz="4" w:space="0"/>
              <w:bottom w:val="single" w:color="000000" w:sz="4" w:space="0"/>
              <w:right w:val="nil"/>
            </w:tcBorders>
            <w:shd w:val="clear" w:color="auto" w:fill="auto"/>
            <w:vAlign w:val="center"/>
          </w:tcPr>
          <w:p w14:paraId="4A74B055">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lang w:val="en-US" w:eastAsia="zh-CN" w:bidi="ar"/>
              </w:rPr>
              <w:t>1、</w:t>
            </w:r>
            <w:r>
              <w:rPr>
                <w:rFonts w:hint="eastAsia" w:ascii="宋体" w:hAnsi="宋体" w:eastAsia="宋体" w:cs="宋体"/>
                <w:i w:val="0"/>
                <w:iCs w:val="0"/>
                <w:color w:val="000000"/>
                <w:kern w:val="0"/>
                <w:sz w:val="21"/>
                <w:szCs w:val="21"/>
                <w:u w:val="none"/>
                <w:lang w:val="en-US" w:eastAsia="zh-CN" w:bidi="ar"/>
              </w:rPr>
              <w:t>高强度铝合金+冷轧钢板，表面静电喷塑处理，防锈防腐蚀、抗形变；</w:t>
            </w:r>
          </w:p>
          <w:p w14:paraId="41D17E76">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lang w:val="en-US" w:eastAsia="zh-CN" w:bidi="ar"/>
              </w:rPr>
              <w:t>2、</w:t>
            </w:r>
            <w:r>
              <w:rPr>
                <w:rFonts w:hint="eastAsia" w:ascii="宋体" w:hAnsi="宋体" w:eastAsia="宋体" w:cs="宋体"/>
                <w:i w:val="0"/>
                <w:iCs w:val="0"/>
                <w:color w:val="000000"/>
                <w:kern w:val="0"/>
                <w:sz w:val="21"/>
                <w:szCs w:val="21"/>
                <w:u w:val="none"/>
                <w:lang w:val="en-US" w:eastAsia="zh-CN" w:bidi="ar"/>
              </w:rPr>
              <w:t>有效升降行程2米；</w:t>
            </w:r>
          </w:p>
          <w:p w14:paraId="0024F7FF">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lang w:val="en-US" w:eastAsia="zh-CN" w:bidi="ar"/>
              </w:rPr>
              <w:t>3、</w:t>
            </w:r>
            <w:r>
              <w:rPr>
                <w:rFonts w:hint="eastAsia" w:ascii="宋体" w:hAnsi="宋体" w:eastAsia="宋体" w:cs="宋体"/>
                <w:i w:val="0"/>
                <w:iCs w:val="0"/>
                <w:color w:val="000000"/>
                <w:kern w:val="0"/>
                <w:sz w:val="21"/>
                <w:szCs w:val="21"/>
                <w:u w:val="none"/>
                <w:lang w:val="en-US" w:eastAsia="zh-CN" w:bidi="ar"/>
              </w:rPr>
              <w:t>升降速度：80mm/s～120mm/s，匀速升降、启停缓冲，无顿挫感；</w:t>
            </w:r>
          </w:p>
          <w:p w14:paraId="69F71A1A">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lang w:val="en-US" w:eastAsia="zh-CN" w:bidi="ar"/>
              </w:rPr>
              <w:t>4、</w:t>
            </w:r>
            <w:r>
              <w:rPr>
                <w:rFonts w:hint="eastAsia" w:ascii="宋体" w:hAnsi="宋体" w:eastAsia="宋体" w:cs="宋体"/>
                <w:i w:val="0"/>
                <w:iCs w:val="0"/>
                <w:color w:val="000000"/>
                <w:kern w:val="0"/>
                <w:sz w:val="21"/>
                <w:szCs w:val="21"/>
                <w:u w:val="none"/>
                <w:lang w:val="en-US" w:eastAsia="zh-CN" w:bidi="ar"/>
              </w:rPr>
              <w:t>标准承重8kg，加强款承重15kg，满足各类会议摄像机挂载需求；</w:t>
            </w:r>
          </w:p>
          <w:p w14:paraId="425DCC64">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lang w:val="en-US" w:eastAsia="zh-CN" w:bidi="ar"/>
              </w:rPr>
              <w:t>5、</w:t>
            </w:r>
            <w:r>
              <w:rPr>
                <w:rFonts w:hint="eastAsia" w:ascii="宋体" w:hAnsi="宋体" w:eastAsia="宋体" w:cs="宋体"/>
                <w:i w:val="0"/>
                <w:iCs w:val="0"/>
                <w:color w:val="000000"/>
                <w:kern w:val="0"/>
                <w:sz w:val="21"/>
                <w:szCs w:val="21"/>
                <w:u w:val="none"/>
                <w:lang w:val="en-US" w:eastAsia="zh-CN" w:bidi="ar"/>
              </w:rPr>
              <w:t>定位精准，定点升降误差≤±5mm，可记忆限位位置；</w:t>
            </w:r>
          </w:p>
          <w:p w14:paraId="31F3D2F0">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6、双轨同步伸缩结构，升降平稳无晃动，内置静音传动系统；</w:t>
            </w:r>
          </w:p>
          <w:p w14:paraId="4597099B">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7、安装方式：吊顶嵌入式安装、吸顶正装、简易吊装，适配室内吊顶、混凝土顶面、钢架顶面；</w:t>
            </w:r>
          </w:p>
          <w:p w14:paraId="08DAA2AC">
            <w:pPr>
              <w:keepNext w:val="0"/>
              <w:keepLines w:val="0"/>
              <w:widowControl/>
              <w:suppressLineNumbers w:val="0"/>
              <w:jc w:val="both"/>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8、包含安装调试。</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3C7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定制</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6F4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定制</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D92C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750A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72" w:type="pct"/>
            <w:tcBorders>
              <w:top w:val="single" w:color="000000" w:sz="4" w:space="0"/>
              <w:left w:val="nil"/>
              <w:bottom w:val="single" w:color="000000" w:sz="4" w:space="0"/>
              <w:right w:val="single" w:color="000000" w:sz="4" w:space="0"/>
            </w:tcBorders>
            <w:shd w:val="clear" w:color="auto" w:fill="auto"/>
            <w:vAlign w:val="center"/>
          </w:tcPr>
          <w:p w14:paraId="3C15E92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3D30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3500</w:t>
            </w:r>
          </w:p>
        </w:tc>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DDF3E">
            <w:pPr>
              <w:rPr>
                <w:rFonts w:hint="eastAsia" w:ascii="宋体" w:hAnsi="宋体" w:eastAsia="宋体" w:cs="宋体"/>
                <w:i w:val="0"/>
                <w:iCs w:val="0"/>
                <w:color w:val="000000"/>
                <w:sz w:val="21"/>
                <w:szCs w:val="21"/>
                <w:u w:val="none"/>
              </w:rPr>
            </w:pPr>
          </w:p>
        </w:tc>
      </w:tr>
      <w:tr w14:paraId="47377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3"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63B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4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BF10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547" w:type="pct"/>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3E373F1">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大写：壹拾柒万玖仟玖佰陆拾肆元整</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9E715">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177264</w:t>
            </w:r>
          </w:p>
        </w:tc>
        <w:tc>
          <w:tcPr>
            <w:tcW w:w="35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A2BC8">
            <w:pPr>
              <w:rPr>
                <w:rFonts w:hint="default" w:ascii="宋体" w:hAnsi="宋体" w:eastAsia="宋体" w:cs="宋体"/>
                <w:i w:val="0"/>
                <w:iCs w:val="0"/>
                <w:color w:val="000000"/>
                <w:sz w:val="21"/>
                <w:szCs w:val="21"/>
                <w:u w:val="none"/>
                <w:lang w:val="en-US" w:eastAsia="zh-CN"/>
              </w:rPr>
            </w:pPr>
          </w:p>
        </w:tc>
      </w:tr>
      <w:tr w14:paraId="1A73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7" w:hRule="atLeast"/>
          <w:jc w:val="center"/>
        </w:trPr>
        <w:tc>
          <w:tcPr>
            <w:tcW w:w="226" w:type="pct"/>
            <w:shd w:val="clear" w:color="auto" w:fill="auto"/>
            <w:noWrap/>
            <w:vAlign w:val="top"/>
          </w:tcPr>
          <w:p w14:paraId="381311FF">
            <w:pPr>
              <w:jc w:val="center"/>
              <w:rPr>
                <w:rFonts w:hint="eastAsia" w:ascii="宋体" w:hAnsi="宋体" w:cs="宋体"/>
                <w:b/>
                <w:bCs/>
                <w:szCs w:val="21"/>
              </w:rPr>
            </w:pPr>
          </w:p>
          <w:p w14:paraId="34E0C1E2">
            <w:pPr>
              <w:jc w:val="center"/>
              <w:rPr>
                <w:rFonts w:hint="eastAsia" w:ascii="宋体" w:hAnsi="宋体" w:cs="宋体"/>
                <w:b/>
                <w:bCs/>
                <w:szCs w:val="21"/>
              </w:rPr>
            </w:pPr>
          </w:p>
          <w:p w14:paraId="476FAFED">
            <w:pPr>
              <w:jc w:val="center"/>
              <w:rPr>
                <w:rFonts w:hint="eastAsia" w:ascii="宋体" w:hAnsi="宋体" w:cs="宋体"/>
                <w:b/>
                <w:bCs/>
                <w:szCs w:val="21"/>
              </w:rPr>
            </w:pPr>
          </w:p>
          <w:p w14:paraId="4C5C6265">
            <w:pPr>
              <w:jc w:val="center"/>
              <w:rPr>
                <w:rFonts w:hint="eastAsia" w:ascii="宋体" w:hAnsi="宋体" w:cs="宋体"/>
                <w:b/>
                <w:bCs/>
                <w:szCs w:val="21"/>
              </w:rPr>
            </w:pPr>
          </w:p>
          <w:p w14:paraId="1453EB92">
            <w:pPr>
              <w:jc w:val="center"/>
              <w:rPr>
                <w:rFonts w:hint="eastAsia" w:ascii="宋体" w:hAnsi="宋体" w:cs="宋体"/>
                <w:b/>
                <w:bCs/>
                <w:szCs w:val="21"/>
              </w:rPr>
            </w:pPr>
          </w:p>
          <w:p w14:paraId="7DB47C03">
            <w:pPr>
              <w:jc w:val="center"/>
              <w:rPr>
                <w:rFonts w:hint="eastAsia" w:ascii="宋体" w:hAnsi="宋体" w:cs="宋体"/>
                <w:b/>
                <w:bCs/>
                <w:szCs w:val="21"/>
              </w:rPr>
            </w:pPr>
          </w:p>
          <w:p w14:paraId="556B685B">
            <w:pPr>
              <w:jc w:val="center"/>
              <w:rPr>
                <w:rFonts w:hint="eastAsia" w:ascii="宋体" w:hAnsi="宋体" w:cs="宋体"/>
                <w:b/>
                <w:bCs/>
                <w:szCs w:val="21"/>
              </w:rPr>
            </w:pPr>
          </w:p>
          <w:p w14:paraId="616CE4BF">
            <w:pPr>
              <w:jc w:val="center"/>
              <w:rPr>
                <w:rFonts w:hint="eastAsia" w:ascii="宋体" w:hAnsi="宋体" w:cs="宋体"/>
                <w:b/>
                <w:bCs/>
                <w:szCs w:val="21"/>
              </w:rPr>
            </w:pPr>
          </w:p>
          <w:p w14:paraId="18193B01">
            <w:pPr>
              <w:jc w:val="center"/>
              <w:rPr>
                <w:rFonts w:hint="eastAsia" w:ascii="宋体" w:hAnsi="宋体" w:cs="宋体"/>
                <w:b/>
                <w:bCs/>
                <w:szCs w:val="21"/>
              </w:rPr>
            </w:pPr>
          </w:p>
          <w:p w14:paraId="75795D33">
            <w:pPr>
              <w:jc w:val="center"/>
              <w:rPr>
                <w:rFonts w:hint="eastAsia" w:ascii="宋体" w:hAnsi="宋体" w:cs="宋体"/>
                <w:b/>
                <w:bCs/>
                <w:szCs w:val="21"/>
              </w:rPr>
            </w:pPr>
          </w:p>
          <w:p w14:paraId="1CACEACE">
            <w:pPr>
              <w:jc w:val="center"/>
              <w:rPr>
                <w:rFonts w:hint="eastAsia" w:ascii="宋体" w:hAnsi="宋体" w:cs="宋体"/>
                <w:b/>
                <w:bCs/>
                <w:szCs w:val="21"/>
              </w:rPr>
            </w:pPr>
          </w:p>
          <w:p w14:paraId="165A81DA">
            <w:pPr>
              <w:jc w:val="center"/>
              <w:rPr>
                <w:rFonts w:hint="eastAsia" w:ascii="宋体" w:hAnsi="宋体" w:cs="宋体"/>
                <w:b/>
                <w:bCs/>
                <w:szCs w:val="21"/>
              </w:rPr>
            </w:pPr>
          </w:p>
          <w:p w14:paraId="24F4263D">
            <w:pPr>
              <w:jc w:val="center"/>
              <w:rPr>
                <w:rFonts w:hint="eastAsia" w:ascii="宋体" w:hAnsi="宋体" w:cs="宋体"/>
                <w:b/>
                <w:bCs/>
                <w:szCs w:val="21"/>
              </w:rPr>
            </w:pPr>
          </w:p>
          <w:p w14:paraId="01EAC2E0">
            <w:pPr>
              <w:jc w:val="center"/>
              <w:rPr>
                <w:rFonts w:hint="eastAsia" w:ascii="宋体" w:hAnsi="宋体" w:cs="宋体"/>
                <w:b/>
                <w:bCs/>
                <w:szCs w:val="21"/>
              </w:rPr>
            </w:pPr>
          </w:p>
          <w:p w14:paraId="73D868D6">
            <w:pPr>
              <w:jc w:val="center"/>
              <w:rPr>
                <w:rFonts w:hint="eastAsia" w:ascii="宋体" w:hAnsi="宋体" w:cs="宋体"/>
                <w:b/>
                <w:bCs/>
                <w:szCs w:val="21"/>
              </w:rPr>
            </w:pPr>
          </w:p>
          <w:p w14:paraId="7438DB24">
            <w:pPr>
              <w:jc w:val="center"/>
              <w:rPr>
                <w:rFonts w:hint="eastAsia" w:ascii="宋体" w:hAnsi="宋体" w:cs="宋体"/>
                <w:b/>
                <w:bCs/>
                <w:szCs w:val="21"/>
              </w:rPr>
            </w:pPr>
          </w:p>
          <w:p w14:paraId="59984836">
            <w:pPr>
              <w:jc w:val="center"/>
              <w:rPr>
                <w:rFonts w:hint="eastAsia" w:ascii="宋体" w:hAnsi="宋体" w:cs="宋体"/>
                <w:b/>
                <w:bCs/>
                <w:szCs w:val="21"/>
              </w:rPr>
            </w:pPr>
          </w:p>
          <w:p w14:paraId="2BF0E9E1">
            <w:pPr>
              <w:jc w:val="center"/>
              <w:rPr>
                <w:rFonts w:hint="eastAsia" w:ascii="宋体" w:hAnsi="宋体" w:cs="宋体"/>
                <w:b/>
                <w:bCs/>
                <w:szCs w:val="21"/>
              </w:rPr>
            </w:pPr>
          </w:p>
          <w:p w14:paraId="2E87AB05">
            <w:pPr>
              <w:jc w:val="center"/>
              <w:rPr>
                <w:rFonts w:hint="eastAsia" w:ascii="宋体" w:hAnsi="宋体" w:cs="宋体"/>
                <w:b/>
                <w:bCs/>
                <w:szCs w:val="21"/>
              </w:rPr>
            </w:pPr>
          </w:p>
          <w:p w14:paraId="56A67B32">
            <w:pPr>
              <w:jc w:val="center"/>
              <w:rPr>
                <w:rFonts w:hint="eastAsia" w:ascii="宋体" w:hAnsi="宋体" w:cs="宋体"/>
                <w:b/>
                <w:bCs/>
                <w:szCs w:val="21"/>
              </w:rPr>
            </w:pPr>
          </w:p>
          <w:p w14:paraId="7A758C7D">
            <w:pPr>
              <w:jc w:val="center"/>
              <w:rPr>
                <w:rFonts w:hint="eastAsia" w:ascii="宋体" w:hAnsi="宋体" w:cs="宋体"/>
                <w:b/>
                <w:bCs/>
                <w:szCs w:val="21"/>
              </w:rPr>
            </w:pPr>
          </w:p>
          <w:p w14:paraId="3C01936E">
            <w:pPr>
              <w:jc w:val="center"/>
              <w:rPr>
                <w:rFonts w:ascii="宋体" w:hAnsi="宋体" w:cs="宋体"/>
                <w:b/>
                <w:bCs/>
                <w:szCs w:val="21"/>
              </w:rPr>
            </w:pPr>
            <w:r>
              <w:rPr>
                <w:rFonts w:hint="eastAsia" w:ascii="宋体" w:hAnsi="宋体" w:cs="宋体"/>
                <w:b/>
                <w:bCs/>
                <w:szCs w:val="21"/>
              </w:rPr>
              <w:t>商务条款</w:t>
            </w:r>
          </w:p>
        </w:tc>
        <w:tc>
          <w:tcPr>
            <w:tcW w:w="4773" w:type="pct"/>
            <w:gridSpan w:val="9"/>
            <w:shd w:val="clear" w:color="auto" w:fill="auto"/>
            <w:noWrap/>
            <w:vAlign w:val="center"/>
          </w:tcPr>
          <w:p w14:paraId="53FEC64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一、合同签订及</w:t>
            </w:r>
            <w:r>
              <w:rPr>
                <w:rFonts w:hint="eastAsia" w:ascii="黑体" w:hAnsi="黑体" w:eastAsia="黑体" w:cs="黑体"/>
                <w:sz w:val="24"/>
                <w:szCs w:val="24"/>
                <w:lang w:val="en-US" w:eastAsia="zh-CN"/>
              </w:rPr>
              <w:t>质保修</w:t>
            </w:r>
            <w:r>
              <w:rPr>
                <w:rFonts w:hint="eastAsia" w:ascii="黑体" w:hAnsi="黑体" w:eastAsia="黑体" w:cs="黑体"/>
                <w:kern w:val="2"/>
                <w:sz w:val="24"/>
                <w:szCs w:val="24"/>
                <w:lang w:val="en-US" w:eastAsia="zh-CN" w:bidi="ar-SA"/>
              </w:rPr>
              <w:t>期</w:t>
            </w:r>
          </w:p>
          <w:p w14:paraId="51123E4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合同签订期：</w:t>
            </w:r>
          </w:p>
          <w:p w14:paraId="74E5371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rPr>
              <w:t>自成交通知书发出之日起</w:t>
            </w:r>
            <w:r>
              <w:rPr>
                <w:rFonts w:hint="eastAsia" w:ascii="宋体" w:hAnsi="宋体" w:eastAsia="宋体" w:cs="宋体"/>
                <w:sz w:val="24"/>
                <w:szCs w:val="24"/>
                <w:lang w:val="en-US" w:eastAsia="zh-CN"/>
              </w:rPr>
              <w:t>3</w:t>
            </w:r>
            <w:r>
              <w:rPr>
                <w:rFonts w:hint="eastAsia" w:ascii="宋体" w:hAnsi="宋体" w:eastAsia="宋体" w:cs="宋体"/>
                <w:sz w:val="24"/>
                <w:szCs w:val="24"/>
              </w:rPr>
              <w:t>个工作日内</w:t>
            </w:r>
          </w:p>
          <w:p w14:paraId="08EE723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w:t>
            </w:r>
            <w:r>
              <w:rPr>
                <w:rFonts w:hint="eastAsia" w:ascii="宋体" w:hAnsi="宋体" w:eastAsia="宋体" w:cs="宋体"/>
                <w:sz w:val="24"/>
                <w:szCs w:val="24"/>
                <w:lang w:val="en-US" w:eastAsia="zh-CN"/>
              </w:rPr>
              <w:t>质保修</w:t>
            </w:r>
            <w:r>
              <w:rPr>
                <w:rFonts w:hint="eastAsia" w:ascii="宋体" w:hAnsi="宋体" w:eastAsia="宋体" w:cs="宋体"/>
                <w:kern w:val="2"/>
                <w:sz w:val="24"/>
                <w:szCs w:val="24"/>
                <w:lang w:val="en-US" w:eastAsia="zh-CN" w:bidi="ar-SA"/>
              </w:rPr>
              <w:t>期：</w:t>
            </w:r>
          </w:p>
          <w:p w14:paraId="04F38FE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r>
              <w:rPr>
                <w:rFonts w:hint="eastAsia" w:ascii="宋体" w:hAnsi="宋体" w:eastAsia="宋体" w:cs="宋体"/>
                <w:kern w:val="2"/>
                <w:sz w:val="24"/>
                <w:szCs w:val="24"/>
                <w:lang w:val="en-US" w:eastAsia="zh-CN" w:bidi="ar-SA"/>
              </w:rPr>
              <w:t>整体质保期为5年（从验收合格次日起计算）。</w:t>
            </w:r>
          </w:p>
          <w:p w14:paraId="517C920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w:t>
            </w:r>
            <w:r>
              <w:rPr>
                <w:rFonts w:hint="eastAsia" w:ascii="宋体" w:hAnsi="宋体" w:eastAsia="宋体" w:cs="宋体"/>
                <w:kern w:val="2"/>
                <w:sz w:val="24"/>
                <w:szCs w:val="24"/>
                <w:lang w:val="en-US" w:eastAsia="zh-CN" w:bidi="ar-SA"/>
              </w:rPr>
              <w:t>质量保证及维保要求：按国家有关产品“三包”规定执行“三包”服务，国家没有明确规定或没有特别说明的。</w:t>
            </w:r>
          </w:p>
          <w:p w14:paraId="46387B6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故障响应时间：乙方在接到甲方通知后在按4小时内到达现场进行处理，到达现场后</w:t>
            </w:r>
            <w:r>
              <w:rPr>
                <w:rFonts w:hint="eastAsia" w:ascii="宋体" w:hAnsi="宋体" w:eastAsia="宋体" w:cs="宋体"/>
                <w:sz w:val="24"/>
                <w:szCs w:val="24"/>
                <w:lang w:val="en-US" w:eastAsia="zh-CN"/>
              </w:rPr>
              <w:t>24</w:t>
            </w:r>
            <w:r>
              <w:rPr>
                <w:rFonts w:hint="eastAsia" w:ascii="宋体" w:hAnsi="宋体" w:eastAsia="宋体" w:cs="宋体"/>
                <w:sz w:val="24"/>
                <w:szCs w:val="24"/>
              </w:rPr>
              <w:t>小时内排除故障，恢复正常使用。</w:t>
            </w:r>
          </w:p>
          <w:p w14:paraId="73C7320B">
            <w:pPr>
              <w:wordWrap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在质量保证期内设备非因人为及不可抗拒因素的原因而引起损坏或质量问题，供应商应提供技术服务、维修或设备更换服务，上述相应服务费用及与之相关的零部件的费用均含在总报价中，不另行列出</w:t>
            </w:r>
            <w:r>
              <w:rPr>
                <w:rFonts w:hint="eastAsia" w:ascii="宋体" w:hAnsi="宋体" w:eastAsia="宋体" w:cs="宋体"/>
                <w:sz w:val="24"/>
                <w:szCs w:val="24"/>
                <w:lang w:eastAsia="zh-CN"/>
              </w:rPr>
              <w:t>。</w:t>
            </w:r>
            <w:r>
              <w:rPr>
                <w:rFonts w:hint="eastAsia" w:ascii="宋体" w:hAnsi="宋体" w:eastAsia="宋体" w:cs="宋体"/>
                <w:sz w:val="24"/>
                <w:szCs w:val="24"/>
              </w:rPr>
              <w:t>因人为因素出现的故障不在保修范围内，供应商也要积极帮助采购人修理，并提供优惠价格的配件和服务。</w:t>
            </w:r>
          </w:p>
          <w:p w14:paraId="73D58282">
            <w:pPr>
              <w:wordWrap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超过质量保证期的货物，中标人提供维修、保养服务，维修时只收部件成本费。</w:t>
            </w:r>
          </w:p>
          <w:p w14:paraId="502A33B6">
            <w:pPr>
              <w:wordWrap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中标人随时优惠提供产品更新、改造服务。</w:t>
            </w:r>
          </w:p>
          <w:p w14:paraId="6455916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二、交货地点、验收及付款方式</w:t>
            </w:r>
          </w:p>
          <w:p w14:paraId="2A07FE2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（一）交货地点：南宁市良庆区平乐大道10号，自治区商务厅。</w:t>
            </w:r>
          </w:p>
          <w:p w14:paraId="7696848E">
            <w:pPr>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（二）验收要求：</w:t>
            </w:r>
            <w:r>
              <w:rPr>
                <w:rFonts w:hint="eastAsia" w:ascii="宋体" w:hAnsi="宋体" w:eastAsia="宋体" w:cs="宋体"/>
                <w:sz w:val="24"/>
                <w:szCs w:val="24"/>
                <w:lang w:val="en-US" w:eastAsia="zh-CN"/>
              </w:rPr>
              <w:t>1、</w:t>
            </w:r>
            <w:r>
              <w:rPr>
                <w:rFonts w:hint="eastAsia" w:ascii="宋体" w:hAnsi="宋体" w:eastAsia="宋体" w:cs="宋体"/>
                <w:sz w:val="24"/>
                <w:szCs w:val="24"/>
              </w:rPr>
              <w:t>交付时所有产品均严格按招标文件上的品牌型号及技术参数实质的要求、投标人响应和承诺的技术参数及性能等有关标准进行验收；采购人将按采购需求逐条核对，有虚假响应的情况一律不予验收，且由此产生的一切后果由中标单位承担</w:t>
            </w:r>
            <w:r>
              <w:rPr>
                <w:rFonts w:hint="eastAsia" w:ascii="宋体" w:hAnsi="宋体" w:eastAsia="宋体" w:cs="宋体"/>
                <w:sz w:val="24"/>
                <w:szCs w:val="24"/>
                <w:lang w:val="en-US" w:eastAsia="zh-CN"/>
              </w:rPr>
              <w:t>；2、</w:t>
            </w:r>
            <w:r>
              <w:rPr>
                <w:rFonts w:hint="eastAsia" w:ascii="宋体" w:hAnsi="宋体" w:eastAsia="宋体" w:cs="宋体"/>
                <w:sz w:val="24"/>
                <w:szCs w:val="24"/>
              </w:rPr>
              <w:t>如有不符合采购要求的，成交供应商必须在采购人指定的时间内无条件更换，由此造成的损失和责任由成交供应商承担。更换后，采购人对所更换的货物进行检验，验收仍不合格的，采购人有权解除合同并追究该供应商的法律责任</w:t>
            </w:r>
            <w:r>
              <w:rPr>
                <w:rFonts w:hint="eastAsia" w:ascii="宋体" w:hAnsi="宋体" w:eastAsia="宋体" w:cs="宋体"/>
                <w:sz w:val="24"/>
                <w:szCs w:val="24"/>
                <w:lang w:val="en-US" w:eastAsia="zh-CN"/>
              </w:rPr>
              <w:t>；3、</w:t>
            </w:r>
            <w:r>
              <w:rPr>
                <w:rFonts w:hint="eastAsia" w:ascii="宋体" w:hAnsi="宋体" w:eastAsia="宋体" w:cs="宋体"/>
                <w:sz w:val="24"/>
                <w:szCs w:val="24"/>
              </w:rPr>
              <w:t>成交供应商负责安装工人人身、产品安全责任，验收前，产品丢失自行负责。</w:t>
            </w:r>
          </w:p>
          <w:p w14:paraId="72012F0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（三）付款方式：</w:t>
            </w:r>
            <w:r>
              <w:rPr>
                <w:rFonts w:hint="eastAsia" w:ascii="宋体" w:hAnsi="宋体" w:eastAsia="宋体" w:cs="宋体"/>
                <w:sz w:val="24"/>
                <w:szCs w:val="24"/>
              </w:rPr>
              <w:t>一次性支付</w:t>
            </w:r>
            <w:r>
              <w:rPr>
                <w:rFonts w:hint="eastAsia" w:ascii="宋体" w:hAnsi="宋体" w:eastAsia="宋体" w:cs="宋体"/>
                <w:sz w:val="24"/>
                <w:szCs w:val="24"/>
                <w:lang w:eastAsia="zh-CN"/>
              </w:rPr>
              <w:t>，</w:t>
            </w:r>
            <w:r>
              <w:rPr>
                <w:rFonts w:hint="eastAsia" w:ascii="宋体" w:hAnsi="宋体" w:eastAsia="宋体" w:cs="宋体"/>
                <w:sz w:val="24"/>
                <w:szCs w:val="24"/>
              </w:rPr>
              <w:t xml:space="preserve">本合同项下的全部货物经最终验收合格后 </w:t>
            </w:r>
            <w:r>
              <w:rPr>
                <w:rFonts w:hint="eastAsia" w:ascii="宋体" w:hAnsi="宋体" w:eastAsia="宋体" w:cs="宋体"/>
                <w:sz w:val="24"/>
                <w:szCs w:val="24"/>
                <w:lang w:val="en-US" w:eastAsia="zh-CN"/>
              </w:rPr>
              <w:t>10</w:t>
            </w:r>
            <w:r>
              <w:rPr>
                <w:rFonts w:hint="eastAsia" w:ascii="宋体" w:hAnsi="宋体" w:eastAsia="宋体" w:cs="宋体"/>
                <w:sz w:val="24"/>
                <w:szCs w:val="24"/>
              </w:rPr>
              <w:t xml:space="preserve"> 个工作日内，采购人收到乙方开具的全额发票，且财政批复本项目用款计划后向乙方支付全部合同价款。</w:t>
            </w:r>
          </w:p>
          <w:p w14:paraId="41C5A55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三、诚信要求</w:t>
            </w:r>
          </w:p>
          <w:p w14:paraId="45C8034A">
            <w:pPr>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对在“信用中国”网站、中国政府采购网被列入失信被执行人、重大税收违法案件当事人名单、政府采购严重违法失信行为记录名单及其他不符合《中华人民共和国政府采购法》第二十二条第（四）规定的供应商，不得参与投标报价。</w:t>
            </w:r>
          </w:p>
          <w:p w14:paraId="7750AE28">
            <w:pPr>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w:t>
            </w:r>
            <w:r>
              <w:rPr>
                <w:rFonts w:hint="eastAsia" w:ascii="宋体" w:hAnsi="宋体" w:eastAsia="宋体" w:cs="宋体"/>
                <w:sz w:val="24"/>
                <w:szCs w:val="24"/>
              </w:rPr>
              <w:t>成交供应商在收到成交结果通知之日起3个工作日内必须向采购人提供</w:t>
            </w:r>
            <w:r>
              <w:rPr>
                <w:rFonts w:hint="eastAsia" w:ascii="宋体" w:hAnsi="宋体" w:eastAsia="宋体" w:cs="宋体"/>
                <w:sz w:val="24"/>
                <w:szCs w:val="24"/>
                <w:lang w:val="en-US" w:eastAsia="zh-CN"/>
              </w:rPr>
              <w:t>询</w:t>
            </w:r>
            <w:r>
              <w:rPr>
                <w:rFonts w:hint="eastAsia" w:ascii="宋体" w:hAnsi="宋体" w:eastAsia="宋体" w:cs="宋体"/>
                <w:sz w:val="24"/>
                <w:szCs w:val="24"/>
              </w:rPr>
              <w:t>价货物的以下纸质资料：</w:t>
            </w:r>
          </w:p>
          <w:p w14:paraId="7BD02FBB">
            <w:pPr>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为确保货物质量及原厂品质，中标供应商在正式供货时必须提供生产厂家针对此项目的售后服务保证原件或供货证明原件，否则采购方将不予验收通过。</w:t>
            </w:r>
          </w:p>
          <w:p w14:paraId="56C17E66">
            <w:pPr>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p w14:paraId="0E61445A">
            <w:pPr>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本项目采购任务急，现特向潜在供应商作出相关提醒：供应商存在不按要求报价、不按要求提供审查资料、或资料审查不合格、成交后无故放弃、不按合同履行等违约行为的，采购人将上报监督管理部门，由此所产生的后果由成交供应商自行承担,并列入本</w:t>
            </w:r>
            <w:r>
              <w:rPr>
                <w:rFonts w:hint="eastAsia" w:ascii="宋体" w:hAnsi="宋体" w:eastAsia="宋体" w:cs="宋体"/>
                <w:sz w:val="24"/>
                <w:szCs w:val="24"/>
                <w:lang w:val="en-US" w:eastAsia="zh-CN"/>
              </w:rPr>
              <w:t>单位</w:t>
            </w:r>
            <w:r>
              <w:rPr>
                <w:rFonts w:hint="eastAsia" w:ascii="宋体" w:hAnsi="宋体" w:eastAsia="宋体" w:cs="宋体"/>
                <w:sz w:val="24"/>
                <w:szCs w:val="24"/>
              </w:rPr>
              <w:t>供应商黑名单目录。</w:t>
            </w:r>
          </w:p>
          <w:p w14:paraId="384FDD7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4、</w:t>
            </w:r>
            <w:r>
              <w:rPr>
                <w:rFonts w:hint="eastAsia" w:ascii="宋体" w:hAnsi="宋体" w:eastAsia="宋体" w:cs="宋体"/>
                <w:sz w:val="24"/>
                <w:szCs w:val="24"/>
              </w:rPr>
              <w:t>本项目需求(含技术需求及商务需求)均不允许负偏离，出现负偏离则被认为是实质性要求和条件不响应，作竞价无效处理。</w:t>
            </w:r>
          </w:p>
          <w:p w14:paraId="7818A6F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四、其它</w:t>
            </w:r>
          </w:p>
          <w:p w14:paraId="2E714EBC">
            <w:pPr>
              <w:pStyle w:val="20"/>
              <w:pageBreakBefore w:val="0"/>
              <w:numPr>
                <w:ilvl w:val="0"/>
                <w:numId w:val="0"/>
              </w:numPr>
              <w:kinsoku/>
              <w:wordWrap/>
              <w:overflowPunct/>
              <w:topLinePunct w:val="0"/>
              <w:autoSpaceDE/>
              <w:autoSpaceDN/>
              <w:bidi w:val="0"/>
              <w:adjustRightInd/>
              <w:snapToGrid/>
              <w:spacing w:line="400" w:lineRule="exact"/>
              <w:ind w:left="840" w:leftChars="0" w:hanging="360" w:firstLineChars="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（一）</w:t>
            </w:r>
            <w:r>
              <w:rPr>
                <w:rFonts w:hint="eastAsia" w:ascii="宋体" w:hAnsi="宋体" w:eastAsia="宋体" w:cs="宋体"/>
                <w:sz w:val="24"/>
                <w:szCs w:val="24"/>
              </w:rPr>
              <w:t>采购需求参数要求中带“▲”号的技术参数，</w:t>
            </w:r>
            <w:r>
              <w:rPr>
                <w:rFonts w:hint="eastAsia" w:ascii="宋体" w:hAnsi="宋体" w:eastAsia="宋体" w:cs="宋体"/>
                <w:sz w:val="24"/>
                <w:szCs w:val="24"/>
                <w:lang w:val="en-US" w:eastAsia="zh-CN"/>
              </w:rPr>
              <w:t>为硬性参数</w:t>
            </w:r>
            <w:r>
              <w:rPr>
                <w:rFonts w:hint="eastAsia" w:ascii="宋体" w:hAnsi="宋体" w:eastAsia="宋体" w:cs="宋体"/>
                <w:sz w:val="24"/>
                <w:szCs w:val="24"/>
              </w:rPr>
              <w:t>。</w:t>
            </w:r>
          </w:p>
          <w:p w14:paraId="09256F5E">
            <w:pPr>
              <w:pStyle w:val="20"/>
              <w:pageBreakBefore w:val="0"/>
              <w:numPr>
                <w:ilvl w:val="0"/>
                <w:numId w:val="0"/>
              </w:numPr>
              <w:kinsoku/>
              <w:wordWrap/>
              <w:overflowPunct/>
              <w:topLinePunct w:val="0"/>
              <w:autoSpaceDE/>
              <w:autoSpaceDN/>
              <w:bidi w:val="0"/>
              <w:adjustRightInd/>
              <w:snapToGrid/>
              <w:spacing w:line="400" w:lineRule="exact"/>
              <w:ind w:left="840" w:leftChars="0" w:hanging="360" w:firstLineChars="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（二）</w:t>
            </w:r>
            <w:r>
              <w:rPr>
                <w:rFonts w:hint="eastAsia" w:ascii="宋体" w:hAnsi="宋体" w:eastAsia="宋体" w:cs="宋体"/>
                <w:sz w:val="24"/>
                <w:szCs w:val="24"/>
                <w:lang w:val="en-US" w:eastAsia="zh-CN"/>
              </w:rPr>
              <w:t>投标时提供施工平面图及效果图。</w:t>
            </w:r>
          </w:p>
          <w:p w14:paraId="523AD3A8">
            <w:pPr>
              <w:pStyle w:val="20"/>
              <w:pageBreakBefore w:val="0"/>
              <w:numPr>
                <w:ilvl w:val="0"/>
                <w:numId w:val="0"/>
              </w:numPr>
              <w:kinsoku/>
              <w:wordWrap/>
              <w:overflowPunct/>
              <w:topLinePunct w:val="0"/>
              <w:autoSpaceDE/>
              <w:autoSpaceDN/>
              <w:bidi w:val="0"/>
              <w:adjustRightInd/>
              <w:snapToGrid/>
              <w:spacing w:line="400" w:lineRule="exact"/>
              <w:ind w:left="840" w:leftChars="0" w:hanging="36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（三）所有货物应当免费送货上门，免费安装、调试。</w:t>
            </w:r>
          </w:p>
          <w:p w14:paraId="46F693C1">
            <w:pPr>
              <w:wordWrap w:val="0"/>
              <w:spacing w:line="320" w:lineRule="exact"/>
              <w:rPr>
                <w:rFonts w:ascii="宋体" w:hAnsi="宋体" w:cs="宋体"/>
                <w:szCs w:val="21"/>
              </w:rPr>
            </w:pPr>
          </w:p>
        </w:tc>
      </w:tr>
    </w:tbl>
    <w:p w14:paraId="7D54BEF0">
      <w:pPr>
        <w:rPr>
          <w:rFonts w:hint="eastAsia"/>
          <w:sz w:val="21"/>
          <w:lang w:eastAsia="zh-CN"/>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90E7E">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C397D4">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C397D4">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3C0FD9"/>
    <w:multiLevelType w:val="multilevel"/>
    <w:tmpl w:val="0F3C0FD9"/>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pStyle w:val="5"/>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63E12B46"/>
    <w:multiLevelType w:val="multilevel"/>
    <w:tmpl w:val="63E12B46"/>
    <w:lvl w:ilvl="0" w:tentative="0">
      <w:start w:val="1"/>
      <w:numFmt w:val="decimal"/>
      <w:lvlText w:val="%1."/>
      <w:lvlJc w:val="left"/>
      <w:pPr>
        <w:ind w:left="432" w:hanging="432"/>
      </w:pPr>
      <w:rPr>
        <w:rFonts w:hint="default"/>
        <w:sz w:val="32"/>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1A1F8B"/>
    <w:rsid w:val="02D8246C"/>
    <w:rsid w:val="05BF3D7B"/>
    <w:rsid w:val="0639002D"/>
    <w:rsid w:val="07EF42D3"/>
    <w:rsid w:val="09895238"/>
    <w:rsid w:val="0BD554C3"/>
    <w:rsid w:val="11703BB7"/>
    <w:rsid w:val="16B571BC"/>
    <w:rsid w:val="16CA4ABC"/>
    <w:rsid w:val="19DB4116"/>
    <w:rsid w:val="1B1A1F8B"/>
    <w:rsid w:val="1CA212B8"/>
    <w:rsid w:val="1CE40FF2"/>
    <w:rsid w:val="1E4A0464"/>
    <w:rsid w:val="1FBA6F24"/>
    <w:rsid w:val="20C27806"/>
    <w:rsid w:val="2325297C"/>
    <w:rsid w:val="28C37ECD"/>
    <w:rsid w:val="2B46475B"/>
    <w:rsid w:val="2C002D77"/>
    <w:rsid w:val="2C0E27EB"/>
    <w:rsid w:val="2C2D4A7A"/>
    <w:rsid w:val="2D86504B"/>
    <w:rsid w:val="306509CE"/>
    <w:rsid w:val="360E4973"/>
    <w:rsid w:val="38C23C8C"/>
    <w:rsid w:val="39243E44"/>
    <w:rsid w:val="39B6268C"/>
    <w:rsid w:val="3B4F547A"/>
    <w:rsid w:val="402D09B9"/>
    <w:rsid w:val="42200A52"/>
    <w:rsid w:val="433912BE"/>
    <w:rsid w:val="43BB14EB"/>
    <w:rsid w:val="44906321"/>
    <w:rsid w:val="452569B5"/>
    <w:rsid w:val="45832352"/>
    <w:rsid w:val="4C2C7391"/>
    <w:rsid w:val="4C3E3F05"/>
    <w:rsid w:val="50F26416"/>
    <w:rsid w:val="529674E9"/>
    <w:rsid w:val="5306352D"/>
    <w:rsid w:val="55432921"/>
    <w:rsid w:val="58D45574"/>
    <w:rsid w:val="5ADB7BB3"/>
    <w:rsid w:val="5EC37085"/>
    <w:rsid w:val="60626793"/>
    <w:rsid w:val="609F7A22"/>
    <w:rsid w:val="613966C2"/>
    <w:rsid w:val="635D78BF"/>
    <w:rsid w:val="63854914"/>
    <w:rsid w:val="639018B9"/>
    <w:rsid w:val="63EE4A70"/>
    <w:rsid w:val="643E375E"/>
    <w:rsid w:val="652B35FC"/>
    <w:rsid w:val="66916127"/>
    <w:rsid w:val="69F01095"/>
    <w:rsid w:val="72B0697E"/>
    <w:rsid w:val="75296D4B"/>
    <w:rsid w:val="77222A52"/>
    <w:rsid w:val="78106880"/>
    <w:rsid w:val="795D3D1D"/>
    <w:rsid w:val="7D0D1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spacing w:line="360" w:lineRule="auto"/>
      <w:jc w:val="center"/>
      <w:outlineLvl w:val="0"/>
    </w:pPr>
    <w:rPr>
      <w:rFonts w:eastAsia="宋体" w:cs="Times New Roman" w:asciiTheme="minorAscii" w:hAnsiTheme="minorAscii"/>
      <w:b/>
      <w:sz w:val="32"/>
      <w:szCs w:val="22"/>
    </w:rPr>
  </w:style>
  <w:style w:type="paragraph" w:styleId="3">
    <w:name w:val="heading 2"/>
    <w:basedOn w:val="1"/>
    <w:next w:val="1"/>
    <w:link w:val="18"/>
    <w:unhideWhenUsed/>
    <w:qFormat/>
    <w:uiPriority w:val="0"/>
    <w:pPr>
      <w:spacing w:line="360" w:lineRule="auto"/>
      <w:jc w:val="center"/>
      <w:outlineLvl w:val="1"/>
    </w:pPr>
    <w:rPr>
      <w:rFonts w:ascii="宋体" w:hAnsi="宋体" w:eastAsia="宋体" w:cs="Times New Roman"/>
      <w:b/>
      <w:sz w:val="30"/>
    </w:rPr>
  </w:style>
  <w:style w:type="paragraph" w:styleId="4">
    <w:name w:val="heading 3"/>
    <w:basedOn w:val="1"/>
    <w:next w:val="1"/>
    <w:semiHidden/>
    <w:unhideWhenUsed/>
    <w:qFormat/>
    <w:uiPriority w:val="0"/>
    <w:pPr>
      <w:keepNext/>
      <w:keepLines/>
      <w:spacing w:before="60" w:after="60" w:line="360" w:lineRule="auto"/>
      <w:jc w:val="center"/>
      <w:outlineLvl w:val="2"/>
    </w:pPr>
    <w:rPr>
      <w:rFonts w:ascii="Times New Roman" w:hAnsi="Times New Roman" w:eastAsia="宋体" w:cs="Times New Roman"/>
      <w:bCs/>
      <w:sz w:val="24"/>
      <w:szCs w:val="32"/>
    </w:rPr>
  </w:style>
  <w:style w:type="paragraph" w:styleId="5">
    <w:name w:val="heading 4"/>
    <w:basedOn w:val="1"/>
    <w:next w:val="1"/>
    <w:semiHidden/>
    <w:unhideWhenUsed/>
    <w:qFormat/>
    <w:uiPriority w:val="0"/>
    <w:pPr>
      <w:keepNext/>
      <w:keepLines/>
      <w:numPr>
        <w:ilvl w:val="3"/>
        <w:numId w:val="1"/>
      </w:numPr>
      <w:spacing w:before="280" w:after="290" w:line="376" w:lineRule="auto"/>
      <w:outlineLvl w:val="3"/>
    </w:pPr>
    <w:rPr>
      <w:rFonts w:asciiTheme="majorAscii" w:hAnsiTheme="majorAscii" w:eastAsiaTheme="majorEastAsia" w:cstheme="majorBidi"/>
      <w:b/>
      <w:bCs/>
      <w:sz w:val="28"/>
      <w:szCs w:val="28"/>
    </w:rPr>
  </w:style>
  <w:style w:type="paragraph" w:styleId="6">
    <w:name w:val="heading 5"/>
    <w:basedOn w:val="1"/>
    <w:next w:val="1"/>
    <w:semiHidden/>
    <w:unhideWhenUsed/>
    <w:qFormat/>
    <w:uiPriority w:val="0"/>
    <w:pPr>
      <w:keepNext/>
      <w:keepLines/>
      <w:numPr>
        <w:ilvl w:val="4"/>
        <w:numId w:val="2"/>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0"/>
    <w:pPr>
      <w:keepNext/>
      <w:keepLines/>
      <w:numPr>
        <w:ilvl w:val="5"/>
        <w:numId w:val="2"/>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2"/>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2"/>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2"/>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pPr>
      <w:keepNext w:val="0"/>
      <w:keepLines w:val="0"/>
      <w:widowControl w:val="0"/>
      <w:suppressLineNumbers w:val="0"/>
      <w:spacing w:before="0" w:beforeAutospacing="0" w:after="0" w:afterAutospacing="0" w:line="360" w:lineRule="auto"/>
      <w:ind w:left="0" w:right="0"/>
      <w:jc w:val="both"/>
    </w:pPr>
    <w:rPr>
      <w:rFonts w:ascii="Times New Roman" w:hAnsi="Times New Roman" w:eastAsia="宋体" w:cs="Times New Roman"/>
      <w:sz w:val="24"/>
      <w:lang w:bidi="ar"/>
    </w:rPr>
  </w:style>
  <w:style w:type="character" w:styleId="17">
    <w:name w:val="annotation reference"/>
    <w:qFormat/>
    <w:uiPriority w:val="0"/>
    <w:rPr>
      <w:sz w:val="21"/>
      <w:szCs w:val="21"/>
    </w:rPr>
  </w:style>
  <w:style w:type="character" w:customStyle="1" w:styleId="18">
    <w:name w:val="标题 2 Char"/>
    <w:link w:val="3"/>
    <w:autoRedefine/>
    <w:qFormat/>
    <w:uiPriority w:val="0"/>
    <w:rPr>
      <w:rFonts w:ascii="宋体" w:hAnsi="宋体" w:eastAsia="宋体" w:cs="Times New Roman"/>
      <w:b/>
      <w:sz w:val="32"/>
      <w:szCs w:val="22"/>
      <w:lang w:eastAsia="en-US"/>
    </w:rPr>
  </w:style>
  <w:style w:type="character" w:customStyle="1" w:styleId="19">
    <w:name w:val="标题 1 Char"/>
    <w:link w:val="2"/>
    <w:qFormat/>
    <w:uiPriority w:val="0"/>
    <w:rPr>
      <w:rFonts w:eastAsia="宋体" w:cs="Times New Roman" w:asciiTheme="minorAscii" w:hAnsiTheme="minorAscii"/>
      <w:b/>
      <w:sz w:val="32"/>
      <w:szCs w:val="22"/>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7317</Words>
  <Characters>8681</Characters>
  <Lines>0</Lines>
  <Paragraphs>0</Paragraphs>
  <TotalTime>0</TotalTime>
  <ScaleCrop>false</ScaleCrop>
  <LinksUpToDate>false</LinksUpToDate>
  <CharactersWithSpaces>8744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2026-07-29T02:02:00Z</dcterms:created>
  <dc:creator>administrator</dc:creator>
  <cp:lastModifiedBy>WPS_1593409249</cp:lastModifiedBy>
  <dcterms:modified xsi:type="dcterms:W3CDTF">2026-08-10T08:22:44Z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641175049C25425A8A1161E07F7CBF78_13</vt:lpwstr>
  </property>
  <property fmtid="{D5CDD505-2E9C-101B-9397-08002B2CF9AE}" pid="4" name="KSOTemplateDocerSaveRecord">
    <vt:lpwstr>eyJoZGlkIjoiZmNjN2Y5MTAyZTM0ZGE0ZTMxMDI2MjVjZjliNjFjN2IiLCJ1c2VySWQiOiIxMDI0NzQyNjAyIn0=</vt:lpwstr>
  </property>
</Properties>
</file>