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DEFB1">
      <w:pPr>
        <w:wordWrap w:val="0"/>
        <w:jc w:val="center"/>
        <w:rPr>
          <w:rFonts w:hint="eastAsia"/>
          <w:b/>
          <w:bCs/>
          <w:color w:val="auto"/>
          <w:sz w:val="36"/>
          <w:szCs w:val="32"/>
        </w:rPr>
      </w:pPr>
      <w:r>
        <w:rPr>
          <w:rFonts w:hint="eastAsia"/>
          <w:b/>
          <w:bCs/>
          <w:color w:val="auto"/>
          <w:sz w:val="36"/>
          <w:szCs w:val="32"/>
        </w:rPr>
        <w:t>右江民族医学院互联网络专线租赁服务采购项目</w:t>
      </w:r>
      <w:r>
        <w:rPr>
          <w:rFonts w:hint="eastAsia"/>
          <w:b/>
          <w:bCs/>
          <w:color w:val="auto"/>
          <w:sz w:val="36"/>
          <w:szCs w:val="32"/>
          <w:lang w:eastAsia="zh-CN"/>
        </w:rPr>
        <w:t>（分标一）</w:t>
      </w:r>
      <w:r>
        <w:rPr>
          <w:rFonts w:hint="eastAsia"/>
          <w:b/>
          <w:bCs/>
          <w:color w:val="auto"/>
          <w:sz w:val="36"/>
          <w:szCs w:val="32"/>
        </w:rPr>
        <w:t>需求文件</w:t>
      </w:r>
    </w:p>
    <w:p w14:paraId="70EEF6EE">
      <w:pPr>
        <w:wordWrap w:val="0"/>
        <w:jc w:val="center"/>
        <w:rPr>
          <w:rFonts w:hint="eastAsia"/>
          <w:b/>
          <w:bCs/>
          <w:color w:val="auto"/>
          <w:sz w:val="36"/>
          <w:szCs w:val="32"/>
        </w:rPr>
      </w:pPr>
    </w:p>
    <w:p w14:paraId="51D2CC8E">
      <w:pPr>
        <w:rPr>
          <w:rFonts w:hint="eastAsia"/>
          <w:b/>
          <w:bCs w:val="0"/>
          <w:color w:val="auto"/>
          <w:sz w:val="28"/>
          <w:szCs w:val="32"/>
          <w:lang w:eastAsia="zh-CN"/>
        </w:rPr>
      </w:pPr>
      <w:r>
        <w:rPr>
          <w:rFonts w:hint="eastAsia"/>
          <w:b/>
          <w:bCs w:val="0"/>
          <w:color w:val="auto"/>
          <w:sz w:val="28"/>
          <w:szCs w:val="32"/>
        </w:rPr>
        <w:t>项目名称：右江民族医学院互联网络专线租赁服务采购项目</w:t>
      </w:r>
      <w:r>
        <w:rPr>
          <w:rFonts w:hint="eastAsia"/>
          <w:b/>
          <w:bCs w:val="0"/>
          <w:color w:val="auto"/>
          <w:sz w:val="28"/>
          <w:szCs w:val="32"/>
          <w:lang w:eastAsia="zh-CN"/>
        </w:rPr>
        <w:t>（分标一）</w:t>
      </w:r>
    </w:p>
    <w:p w14:paraId="1FF5390B">
      <w:pPr>
        <w:rPr>
          <w:b/>
          <w:bCs w:val="0"/>
          <w:color w:val="auto"/>
          <w:sz w:val="28"/>
          <w:szCs w:val="32"/>
        </w:rPr>
      </w:pPr>
      <w:r>
        <w:rPr>
          <w:rFonts w:hint="eastAsia"/>
          <w:b/>
          <w:bCs w:val="0"/>
          <w:color w:val="auto"/>
          <w:sz w:val="28"/>
          <w:szCs w:val="32"/>
        </w:rPr>
        <w:t>项目预算：360000</w:t>
      </w:r>
      <w:r>
        <w:rPr>
          <w:rFonts w:hint="eastAsia"/>
          <w:b/>
          <w:bCs w:val="0"/>
          <w:color w:val="auto"/>
          <w:sz w:val="28"/>
          <w:szCs w:val="32"/>
          <w:lang w:val="en-US" w:eastAsia="zh-CN"/>
        </w:rPr>
        <w:t>.00</w:t>
      </w:r>
      <w:r>
        <w:rPr>
          <w:b/>
          <w:bCs w:val="0"/>
          <w:color w:val="auto"/>
          <w:sz w:val="28"/>
          <w:szCs w:val="32"/>
        </w:rPr>
        <w:t>元</w:t>
      </w:r>
    </w:p>
    <w:p w14:paraId="74DC6679">
      <w:pPr>
        <w:wordWrap w:val="0"/>
        <w:rPr>
          <w:rFonts w:hint="eastAsia"/>
          <w:b/>
          <w:bCs w:val="0"/>
          <w:color w:val="auto"/>
          <w:sz w:val="28"/>
          <w:szCs w:val="32"/>
        </w:rPr>
      </w:pPr>
      <w:r>
        <w:rPr>
          <w:rFonts w:hint="eastAsia"/>
          <w:b/>
          <w:bCs w:val="0"/>
          <w:color w:val="auto"/>
          <w:sz w:val="28"/>
          <w:szCs w:val="32"/>
        </w:rPr>
        <w:t>采购方式：在线询价（竞价）采购</w:t>
      </w:r>
    </w:p>
    <w:p w14:paraId="05258E9E">
      <w:pPr>
        <w:wordWrap w:val="0"/>
        <w:spacing w:line="500" w:lineRule="exact"/>
        <w:ind w:firstLine="560" w:firstLineChars="200"/>
        <w:rPr>
          <w:rFonts w:hint="eastAsia"/>
          <w:bCs/>
          <w:color w:val="auto"/>
          <w:sz w:val="28"/>
          <w:szCs w:val="32"/>
        </w:rPr>
      </w:pPr>
      <w:r>
        <w:rPr>
          <w:rFonts w:hint="eastAsia"/>
          <w:bCs/>
          <w:color w:val="auto"/>
          <w:sz w:val="28"/>
          <w:szCs w:val="32"/>
        </w:rPr>
        <w:t>项目概况：本项目拟对右江民族医学院互联网络专线租赁服务进行采购，总体要求：</w:t>
      </w:r>
    </w:p>
    <w:p w14:paraId="25A8B440">
      <w:pPr>
        <w:wordWrap w:val="0"/>
        <w:spacing w:line="500" w:lineRule="exact"/>
        <w:ind w:firstLine="560" w:firstLineChars="200"/>
        <w:rPr>
          <w:rFonts w:hint="eastAsia"/>
          <w:bCs/>
          <w:color w:val="auto"/>
          <w:sz w:val="28"/>
          <w:szCs w:val="32"/>
        </w:rPr>
      </w:pPr>
      <w:r>
        <w:rPr>
          <w:rFonts w:hint="eastAsia"/>
          <w:bCs/>
          <w:color w:val="auto"/>
          <w:sz w:val="28"/>
          <w:szCs w:val="32"/>
        </w:rPr>
        <w:t xml:space="preserve">为保障我校网络服务的高可用性、稳定性和安全性，满足我校日常办公、教学及数据传输需求，同时避免单一运营商垄断，提升链路服务质量和抗风险能力，拟采购2条互联网出口链路及配套负载均衡设备，本次采购分为两个分标（分标一、分标二），总体要求如下： </w:t>
      </w:r>
    </w:p>
    <w:p w14:paraId="483D7D95">
      <w:pPr>
        <w:wordWrap w:val="0"/>
        <w:spacing w:line="500" w:lineRule="exact"/>
        <w:ind w:firstLine="562" w:firstLineChars="200"/>
        <w:rPr>
          <w:rFonts w:hint="eastAsia"/>
          <w:b/>
          <w:bCs w:val="0"/>
          <w:color w:val="auto"/>
          <w:sz w:val="28"/>
          <w:szCs w:val="32"/>
        </w:rPr>
      </w:pPr>
      <w:r>
        <w:rPr>
          <w:rFonts w:hint="eastAsia"/>
          <w:b/>
          <w:bCs w:val="0"/>
          <w:color w:val="auto"/>
          <w:sz w:val="28"/>
          <w:szCs w:val="32"/>
        </w:rPr>
        <w:t>1、本次采购设两个分标，分标一、分标二各对应1条互联网出口链路及配套硬件及服务，每个分标单独评审、单独确定</w:t>
      </w:r>
      <w:r>
        <w:rPr>
          <w:rFonts w:hint="eastAsia"/>
          <w:b/>
          <w:bCs w:val="0"/>
          <w:color w:val="auto"/>
          <w:sz w:val="28"/>
          <w:szCs w:val="32"/>
          <w:lang w:eastAsia="zh-CN"/>
        </w:rPr>
        <w:t>成交</w:t>
      </w:r>
      <w:r>
        <w:rPr>
          <w:rFonts w:hint="eastAsia"/>
          <w:b/>
          <w:bCs w:val="0"/>
          <w:color w:val="auto"/>
          <w:sz w:val="28"/>
          <w:szCs w:val="32"/>
        </w:rPr>
        <w:t>人。</w:t>
      </w:r>
    </w:p>
    <w:p w14:paraId="20487B96">
      <w:pPr>
        <w:wordWrap w:val="0"/>
        <w:spacing w:line="500" w:lineRule="exact"/>
        <w:ind w:firstLine="562" w:firstLineChars="200"/>
        <w:rPr>
          <w:rFonts w:hint="eastAsia"/>
          <w:b/>
          <w:bCs w:val="0"/>
          <w:color w:val="auto"/>
          <w:sz w:val="28"/>
          <w:szCs w:val="32"/>
        </w:rPr>
      </w:pPr>
      <w:r>
        <w:rPr>
          <w:rFonts w:hint="eastAsia"/>
          <w:b/>
          <w:bCs w:val="0"/>
          <w:color w:val="auto"/>
          <w:sz w:val="28"/>
          <w:szCs w:val="32"/>
        </w:rPr>
        <w:t>2、两个分标须确定不同运营商作为</w:t>
      </w:r>
      <w:r>
        <w:rPr>
          <w:rFonts w:hint="eastAsia"/>
          <w:b/>
          <w:bCs w:val="0"/>
          <w:color w:val="auto"/>
          <w:sz w:val="28"/>
          <w:szCs w:val="32"/>
          <w:lang w:eastAsia="zh-CN"/>
        </w:rPr>
        <w:t>成交</w:t>
      </w:r>
      <w:r>
        <w:rPr>
          <w:rFonts w:hint="eastAsia"/>
          <w:b/>
          <w:bCs w:val="0"/>
          <w:color w:val="auto"/>
          <w:sz w:val="28"/>
          <w:szCs w:val="32"/>
        </w:rPr>
        <w:t>人，确保两条链路来自不同运营商，实现链路冗余的核心目标，两条专线链路的带宽、接入方式等具体参数详见各分标具体要求。</w:t>
      </w:r>
    </w:p>
    <w:p w14:paraId="6C0BCD12">
      <w:pPr>
        <w:wordWrap w:val="0"/>
        <w:spacing w:line="500" w:lineRule="exact"/>
        <w:ind w:firstLine="562" w:firstLineChars="200"/>
        <w:rPr>
          <w:rFonts w:hint="eastAsia"/>
          <w:b/>
          <w:bCs w:val="0"/>
          <w:color w:val="auto"/>
          <w:sz w:val="28"/>
          <w:szCs w:val="32"/>
        </w:rPr>
      </w:pPr>
      <w:r>
        <w:rPr>
          <w:rFonts w:hint="eastAsia"/>
          <w:b/>
          <w:bCs w:val="0"/>
          <w:color w:val="auto"/>
          <w:sz w:val="28"/>
          <w:szCs w:val="32"/>
        </w:rPr>
        <w:t>3、其他要求：两条链路可通过负载均衡设备（由</w:t>
      </w:r>
      <w:r>
        <w:rPr>
          <w:rFonts w:hint="eastAsia"/>
          <w:b/>
          <w:bCs w:val="0"/>
          <w:color w:val="auto"/>
          <w:sz w:val="28"/>
          <w:szCs w:val="32"/>
          <w:lang w:eastAsia="zh-CN"/>
        </w:rPr>
        <w:t>成交</w:t>
      </w:r>
      <w:r>
        <w:rPr>
          <w:rFonts w:hint="eastAsia"/>
          <w:b/>
          <w:bCs w:val="0"/>
          <w:color w:val="auto"/>
          <w:sz w:val="28"/>
          <w:szCs w:val="32"/>
        </w:rPr>
        <w:t>人提供）实现流量智能分配；当其中一条链路出现如带宽拥堵、延迟过高、断网等故障时，负载均衡设备须自动启用另一条链路，确保互联网访问不中断。</w:t>
      </w:r>
    </w:p>
    <w:p w14:paraId="0222E1B2">
      <w:pPr>
        <w:wordWrap w:val="0"/>
        <w:spacing w:line="500" w:lineRule="exact"/>
        <w:ind w:left="278" w:leftChars="116" w:firstLine="281" w:firstLineChars="100"/>
        <w:rPr>
          <w:rFonts w:hint="eastAsia" w:ascii="宋体" w:hAnsi="宋体" w:eastAsia="宋体" w:cs="宋体"/>
          <w:bCs/>
          <w:color w:val="FF0000"/>
          <w:sz w:val="28"/>
          <w:szCs w:val="32"/>
        </w:rPr>
      </w:pPr>
      <w:r>
        <w:rPr>
          <w:rFonts w:hint="eastAsia" w:ascii="宋体" w:hAnsi="宋体" w:eastAsia="宋体" w:cs="宋体"/>
          <w:b/>
          <w:bCs w:val="0"/>
          <w:color w:val="FF0000"/>
          <w:sz w:val="28"/>
          <w:szCs w:val="32"/>
        </w:rPr>
        <w:t>报价说明</w:t>
      </w:r>
      <w:r>
        <w:rPr>
          <w:rFonts w:hint="eastAsia" w:ascii="宋体" w:hAnsi="宋体" w:eastAsia="宋体" w:cs="宋体"/>
          <w:b/>
          <w:bCs w:val="0"/>
          <w:color w:val="FF0000"/>
          <w:sz w:val="28"/>
          <w:szCs w:val="32"/>
          <w:lang w:eastAsia="zh-CN"/>
        </w:rPr>
        <w:t>：</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1.</w:t>
      </w:r>
      <w:r>
        <w:rPr>
          <w:rFonts w:hint="eastAsia" w:ascii="宋体" w:hAnsi="宋体" w:eastAsia="宋体" w:cs="宋体"/>
          <w:b w:val="0"/>
          <w:bCs/>
          <w:color w:val="FF0000"/>
          <w:sz w:val="28"/>
          <w:szCs w:val="32"/>
        </w:rPr>
        <w:t>潜在供应商可同时对分标一、分标二报价，但同一供应商只能成交其中一个分标。</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2.</w:t>
      </w:r>
      <w:r>
        <w:rPr>
          <w:rFonts w:hint="eastAsia" w:ascii="宋体" w:hAnsi="宋体" w:eastAsia="宋体" w:cs="宋体"/>
          <w:b w:val="0"/>
          <w:bCs/>
          <w:color w:val="FF0000"/>
          <w:sz w:val="28"/>
          <w:szCs w:val="32"/>
        </w:rPr>
        <w:t>评审顺序：先分标一，后分标二。</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 xml:space="preserve">  </w:t>
      </w:r>
      <w:r>
        <w:rPr>
          <w:rFonts w:hint="eastAsia" w:ascii="宋体" w:hAnsi="宋体" w:eastAsia="宋体" w:cs="宋体"/>
          <w:b/>
          <w:bCs w:val="0"/>
          <w:color w:val="FF0000"/>
          <w:sz w:val="28"/>
          <w:szCs w:val="32"/>
        </w:rPr>
        <w:t>分标一评审规则</w:t>
      </w:r>
      <w:r>
        <w:rPr>
          <w:rFonts w:hint="eastAsia" w:ascii="宋体" w:hAnsi="宋体" w:eastAsia="宋体" w:cs="宋体"/>
          <w:b/>
          <w:bCs w:val="0"/>
          <w:color w:val="FF0000"/>
          <w:sz w:val="28"/>
          <w:szCs w:val="32"/>
          <w:lang w:eastAsia="zh-CN"/>
        </w:rPr>
        <w:t>：</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1.</w:t>
      </w:r>
      <w:r>
        <w:rPr>
          <w:rFonts w:hint="eastAsia" w:ascii="宋体" w:hAnsi="宋体" w:eastAsia="宋体" w:cs="宋体"/>
          <w:b w:val="0"/>
          <w:bCs/>
          <w:color w:val="FF0000"/>
          <w:sz w:val="28"/>
          <w:szCs w:val="32"/>
        </w:rPr>
        <w:t>在满足采购需求的前提下，按报价从低到高排序，报价最低者为第一成交候选人。</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2.</w:t>
      </w:r>
      <w:r>
        <w:rPr>
          <w:rFonts w:hint="eastAsia" w:ascii="宋体" w:hAnsi="宋体" w:eastAsia="宋体" w:cs="宋体"/>
          <w:b w:val="0"/>
          <w:bCs/>
          <w:color w:val="FF0000"/>
          <w:sz w:val="28"/>
          <w:szCs w:val="32"/>
        </w:rPr>
        <w:t>若最低报价相同，按以下顺序确定排序：</w:t>
      </w:r>
      <w:r>
        <w:rPr>
          <w:rFonts w:hint="eastAsia" w:ascii="宋体" w:hAnsi="宋体" w:eastAsia="宋体" w:cs="宋体"/>
          <w:b w:val="0"/>
          <w:bCs/>
          <w:color w:val="FF0000"/>
          <w:sz w:val="28"/>
          <w:szCs w:val="32"/>
        </w:rPr>
        <w:br w:type="textWrapping"/>
      </w:r>
      <w:r>
        <w:rPr>
          <w:rFonts w:hint="eastAsia" w:ascii="宋体" w:hAnsi="宋体" w:eastAsia="宋体" w:cs="宋体"/>
          <w:b w:val="0"/>
          <w:bCs/>
          <w:color w:val="FF0000"/>
          <w:sz w:val="28"/>
          <w:szCs w:val="32"/>
          <w:lang w:eastAsia="zh-CN"/>
        </w:rPr>
        <w:t>（</w:t>
      </w:r>
      <w:r>
        <w:rPr>
          <w:rFonts w:hint="eastAsia" w:ascii="宋体" w:hAnsi="宋体" w:eastAsia="宋体" w:cs="宋体"/>
          <w:b w:val="0"/>
          <w:bCs/>
          <w:color w:val="FF0000"/>
          <w:sz w:val="28"/>
          <w:szCs w:val="32"/>
          <w:lang w:val="en-US" w:eastAsia="zh-CN"/>
        </w:rPr>
        <w:t>1</w:t>
      </w:r>
      <w:r>
        <w:rPr>
          <w:rFonts w:hint="eastAsia" w:ascii="宋体" w:hAnsi="宋体" w:eastAsia="宋体" w:cs="宋体"/>
          <w:b w:val="0"/>
          <w:bCs/>
          <w:color w:val="FF0000"/>
          <w:sz w:val="28"/>
          <w:szCs w:val="32"/>
          <w:lang w:eastAsia="zh-CN"/>
        </w:rPr>
        <w:t>）</w:t>
      </w:r>
      <w:r>
        <w:rPr>
          <w:rFonts w:hint="eastAsia" w:ascii="宋体" w:hAnsi="宋体" w:eastAsia="宋体" w:cs="宋体"/>
          <w:b w:val="0"/>
          <w:bCs/>
          <w:color w:val="FF0000"/>
          <w:sz w:val="28"/>
          <w:szCs w:val="32"/>
        </w:rPr>
        <w:t>技术参数更优、交付时间更短、售后服务更好等，优者在前；</w:t>
      </w:r>
      <w:r>
        <w:rPr>
          <w:rFonts w:hint="eastAsia" w:ascii="宋体" w:hAnsi="宋体" w:eastAsia="宋体" w:cs="宋体"/>
          <w:b w:val="0"/>
          <w:bCs/>
          <w:color w:val="FF0000"/>
          <w:sz w:val="28"/>
          <w:szCs w:val="32"/>
        </w:rPr>
        <w:br w:type="textWrapping"/>
      </w:r>
      <w:r>
        <w:rPr>
          <w:rFonts w:hint="eastAsia" w:ascii="宋体" w:hAnsi="宋体" w:eastAsia="宋体" w:cs="宋体"/>
          <w:b w:val="0"/>
          <w:bCs/>
          <w:color w:val="FF0000"/>
          <w:sz w:val="28"/>
          <w:szCs w:val="32"/>
          <w:lang w:eastAsia="zh-CN"/>
        </w:rPr>
        <w:t>（</w:t>
      </w:r>
      <w:r>
        <w:rPr>
          <w:rFonts w:hint="eastAsia" w:cs="宋体"/>
          <w:b w:val="0"/>
          <w:bCs/>
          <w:color w:val="FF0000"/>
          <w:sz w:val="28"/>
          <w:szCs w:val="32"/>
          <w:lang w:val="en-US" w:eastAsia="zh-CN"/>
        </w:rPr>
        <w:t>2</w:t>
      </w:r>
      <w:r>
        <w:rPr>
          <w:rFonts w:hint="eastAsia" w:ascii="宋体" w:hAnsi="宋体" w:eastAsia="宋体" w:cs="宋体"/>
          <w:b w:val="0"/>
          <w:bCs/>
          <w:color w:val="FF0000"/>
          <w:sz w:val="28"/>
          <w:szCs w:val="32"/>
          <w:lang w:eastAsia="zh-CN"/>
        </w:rPr>
        <w:t>）</w:t>
      </w:r>
      <w:r>
        <w:rPr>
          <w:rFonts w:hint="eastAsia" w:ascii="宋体" w:hAnsi="宋体" w:eastAsia="宋体" w:cs="宋体"/>
          <w:b w:val="0"/>
          <w:bCs/>
          <w:color w:val="FF0000"/>
          <w:sz w:val="28"/>
          <w:szCs w:val="32"/>
        </w:rPr>
        <w:t>仍相同，按响应文件递交时间先后，先递交者在前；</w:t>
      </w:r>
      <w:r>
        <w:rPr>
          <w:rFonts w:hint="eastAsia" w:ascii="宋体" w:hAnsi="宋体" w:eastAsia="宋体" w:cs="宋体"/>
          <w:b w:val="0"/>
          <w:bCs/>
          <w:color w:val="FF0000"/>
          <w:sz w:val="28"/>
          <w:szCs w:val="32"/>
        </w:rPr>
        <w:br w:type="textWrapping"/>
      </w:r>
      <w:r>
        <w:rPr>
          <w:rFonts w:hint="eastAsia" w:ascii="宋体" w:hAnsi="宋体" w:eastAsia="宋体" w:cs="宋体"/>
          <w:b w:val="0"/>
          <w:bCs/>
          <w:color w:val="FF0000"/>
          <w:sz w:val="28"/>
          <w:szCs w:val="32"/>
          <w:lang w:eastAsia="zh-CN"/>
        </w:rPr>
        <w:t>（</w:t>
      </w:r>
      <w:r>
        <w:rPr>
          <w:rFonts w:hint="eastAsia" w:cs="宋体"/>
          <w:b w:val="0"/>
          <w:bCs/>
          <w:color w:val="FF0000"/>
          <w:sz w:val="28"/>
          <w:szCs w:val="32"/>
          <w:lang w:val="en-US" w:eastAsia="zh-CN"/>
        </w:rPr>
        <w:t>3</w:t>
      </w:r>
      <w:r>
        <w:rPr>
          <w:rFonts w:hint="eastAsia" w:ascii="宋体" w:hAnsi="宋体" w:eastAsia="宋体" w:cs="宋体"/>
          <w:b w:val="0"/>
          <w:bCs/>
          <w:color w:val="FF0000"/>
          <w:sz w:val="28"/>
          <w:szCs w:val="32"/>
          <w:lang w:eastAsia="zh-CN"/>
        </w:rPr>
        <w:t>）</w:t>
      </w:r>
      <w:r>
        <w:rPr>
          <w:rFonts w:hint="eastAsia" w:ascii="宋体" w:hAnsi="宋体" w:eastAsia="宋体" w:cs="宋体"/>
          <w:b w:val="0"/>
          <w:bCs/>
          <w:color w:val="FF0000"/>
          <w:sz w:val="28"/>
          <w:szCs w:val="32"/>
        </w:rPr>
        <w:t>仍相同，由评审人员随机抽签确定。</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 xml:space="preserve">  </w:t>
      </w:r>
      <w:r>
        <w:rPr>
          <w:rFonts w:hint="eastAsia" w:ascii="宋体" w:hAnsi="宋体" w:eastAsia="宋体" w:cs="宋体"/>
          <w:b/>
          <w:bCs w:val="0"/>
          <w:color w:val="FF0000"/>
          <w:sz w:val="28"/>
          <w:szCs w:val="32"/>
        </w:rPr>
        <w:t>分标二评审规则</w:t>
      </w:r>
      <w:r>
        <w:rPr>
          <w:rFonts w:hint="eastAsia" w:ascii="宋体" w:hAnsi="宋体" w:eastAsia="宋体" w:cs="宋体"/>
          <w:b/>
          <w:bCs w:val="0"/>
          <w:color w:val="FF0000"/>
          <w:sz w:val="28"/>
          <w:szCs w:val="32"/>
          <w:lang w:eastAsia="zh-CN"/>
        </w:rPr>
        <w:t>：</w:t>
      </w:r>
      <w:r>
        <w:rPr>
          <w:rFonts w:hint="eastAsia" w:ascii="宋体" w:hAnsi="宋体" w:eastAsia="宋体" w:cs="宋体"/>
          <w:b/>
          <w:bCs w:val="0"/>
          <w:color w:val="FF0000"/>
          <w:sz w:val="28"/>
          <w:szCs w:val="32"/>
        </w:rPr>
        <w:br w:type="textWrapping"/>
      </w:r>
      <w:r>
        <w:rPr>
          <w:rFonts w:hint="eastAsia" w:cs="宋体"/>
          <w:b/>
          <w:bCs w:val="0"/>
          <w:color w:val="FF0000"/>
          <w:sz w:val="28"/>
          <w:szCs w:val="32"/>
          <w:lang w:val="en-US" w:eastAsia="zh-CN"/>
        </w:rPr>
        <w:t>1.</w:t>
      </w:r>
      <w:r>
        <w:rPr>
          <w:rFonts w:hint="eastAsia" w:ascii="宋体" w:hAnsi="宋体" w:eastAsia="宋体" w:cs="宋体"/>
          <w:b w:val="0"/>
          <w:bCs/>
          <w:color w:val="FF0000"/>
          <w:sz w:val="28"/>
          <w:szCs w:val="32"/>
        </w:rPr>
        <w:t>以分标一评审结果为基础，遵循“同一供应商不得同时成为两个分标的第一成交候选人”原则。</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2.</w:t>
      </w:r>
      <w:r>
        <w:rPr>
          <w:rFonts w:hint="eastAsia" w:ascii="宋体" w:hAnsi="宋体" w:eastAsia="宋体" w:cs="宋体"/>
          <w:b w:val="0"/>
          <w:bCs/>
          <w:color w:val="FF0000"/>
          <w:sz w:val="28"/>
          <w:szCs w:val="32"/>
        </w:rPr>
        <w:t>对分标二的有效供应商按报价从低到高排序（报价相同时，排序方式同分标一）。</w:t>
      </w:r>
      <w:r>
        <w:rPr>
          <w:rFonts w:hint="eastAsia" w:ascii="宋体" w:hAnsi="宋体" w:eastAsia="宋体" w:cs="宋体"/>
          <w:b w:val="0"/>
          <w:bCs/>
          <w:color w:val="FF0000"/>
          <w:sz w:val="28"/>
          <w:szCs w:val="32"/>
        </w:rPr>
        <w:br w:type="textWrapping"/>
      </w:r>
      <w:r>
        <w:rPr>
          <w:rFonts w:hint="eastAsia" w:cs="宋体"/>
          <w:b w:val="0"/>
          <w:bCs/>
          <w:color w:val="FF0000"/>
          <w:sz w:val="28"/>
          <w:szCs w:val="32"/>
          <w:lang w:val="en-US" w:eastAsia="zh-CN"/>
        </w:rPr>
        <w:t>3.</w:t>
      </w:r>
      <w:r>
        <w:rPr>
          <w:rFonts w:hint="eastAsia" w:ascii="宋体" w:hAnsi="宋体" w:eastAsia="宋体" w:cs="宋体"/>
          <w:b w:val="0"/>
          <w:bCs/>
          <w:color w:val="FF0000"/>
          <w:sz w:val="28"/>
          <w:szCs w:val="32"/>
        </w:rPr>
        <w:t>若排序第一的供应商已是分标一的第一成交候选人，则取消其资格，由排序第二的供应商递补；如第二也被取消资格，则继续顺延，</w:t>
      </w:r>
      <w:r>
        <w:rPr>
          <w:rFonts w:hint="eastAsia" w:ascii="宋体" w:hAnsi="宋体" w:eastAsia="宋体" w:cs="宋体"/>
          <w:bCs/>
          <w:color w:val="FF0000"/>
          <w:sz w:val="28"/>
          <w:szCs w:val="32"/>
        </w:rPr>
        <w:t>直至确定一名未被取消资格的成交候选人。</w:t>
      </w:r>
    </w:p>
    <w:p w14:paraId="17C35D33">
      <w:pPr>
        <w:wordWrap w:val="0"/>
        <w:spacing w:line="500" w:lineRule="exact"/>
        <w:ind w:firstLine="560" w:firstLineChars="200"/>
        <w:rPr>
          <w:bCs/>
          <w:color w:val="auto"/>
          <w:sz w:val="28"/>
          <w:szCs w:val="32"/>
        </w:rPr>
      </w:pPr>
      <w:r>
        <w:rPr>
          <w:rFonts w:hint="eastAsia"/>
          <w:bCs/>
          <w:color w:val="auto"/>
          <w:sz w:val="28"/>
          <w:szCs w:val="32"/>
        </w:rPr>
        <w:t>请各供应商对项目采购需求一览表的内容进行报价（报价含</w:t>
      </w:r>
      <w:r>
        <w:rPr>
          <w:rFonts w:hint="eastAsia"/>
          <w:bCs/>
          <w:color w:val="auto"/>
          <w:sz w:val="28"/>
          <w:szCs w:val="32"/>
          <w:lang w:val="en-US" w:eastAsia="zh-CN"/>
        </w:rPr>
        <w:t>服务价款</w:t>
      </w:r>
      <w:r>
        <w:rPr>
          <w:rFonts w:hint="eastAsia"/>
          <w:bCs/>
          <w:color w:val="auto"/>
          <w:sz w:val="28"/>
          <w:szCs w:val="32"/>
        </w:rPr>
        <w:t>、税费、运费、安装费等所有费用）。</w:t>
      </w:r>
    </w:p>
    <w:p w14:paraId="0E85EB3F">
      <w:pPr>
        <w:ind w:firstLine="643" w:firstLineChars="200"/>
        <w:jc w:val="center"/>
        <w:rPr>
          <w:rFonts w:hint="eastAsia"/>
          <w:b/>
          <w:bCs/>
          <w:color w:val="auto"/>
          <w:sz w:val="32"/>
          <w:szCs w:val="32"/>
        </w:rPr>
      </w:pPr>
    </w:p>
    <w:p w14:paraId="1BED995D">
      <w:pPr>
        <w:ind w:firstLine="643" w:firstLineChars="200"/>
        <w:jc w:val="center"/>
        <w:rPr>
          <w:rFonts w:hint="eastAsia"/>
          <w:b/>
          <w:bCs/>
          <w:color w:val="auto"/>
          <w:sz w:val="32"/>
          <w:szCs w:val="32"/>
        </w:rPr>
      </w:pPr>
      <w:r>
        <w:rPr>
          <w:rFonts w:hint="eastAsia"/>
          <w:b/>
          <w:bCs/>
          <w:color w:val="auto"/>
          <w:sz w:val="32"/>
          <w:szCs w:val="32"/>
        </w:rPr>
        <w:t>项目采购需求一览表</w:t>
      </w:r>
    </w:p>
    <w:tbl>
      <w:tblPr>
        <w:tblStyle w:val="8"/>
        <w:tblW w:w="1411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791"/>
        <w:gridCol w:w="1155"/>
        <w:gridCol w:w="7383"/>
        <w:gridCol w:w="600"/>
        <w:gridCol w:w="934"/>
        <w:gridCol w:w="1000"/>
        <w:gridCol w:w="1200"/>
        <w:gridCol w:w="1056"/>
      </w:tblGrid>
      <w:tr w14:paraId="31D3E40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91" w:type="dxa"/>
            <w:tcBorders>
              <w:top w:val="outset" w:color="auto" w:sz="6" w:space="0"/>
              <w:left w:val="outset" w:color="auto" w:sz="6" w:space="0"/>
              <w:bottom w:val="outset" w:color="auto" w:sz="6" w:space="0"/>
              <w:right w:val="outset" w:color="auto" w:sz="6" w:space="0"/>
            </w:tcBorders>
            <w:noWrap/>
            <w:vAlign w:val="center"/>
          </w:tcPr>
          <w:p w14:paraId="50143D01">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1155" w:type="dxa"/>
            <w:tcBorders>
              <w:top w:val="outset" w:color="auto" w:sz="6" w:space="0"/>
              <w:left w:val="outset" w:color="auto" w:sz="6" w:space="0"/>
              <w:bottom w:val="outset" w:color="auto" w:sz="6" w:space="0"/>
              <w:right w:val="outset" w:color="auto" w:sz="6" w:space="0"/>
            </w:tcBorders>
            <w:vAlign w:val="center"/>
          </w:tcPr>
          <w:p w14:paraId="68ECA637">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7383" w:type="dxa"/>
            <w:tcBorders>
              <w:top w:val="outset" w:color="auto" w:sz="6" w:space="0"/>
              <w:left w:val="outset" w:color="auto" w:sz="6" w:space="0"/>
              <w:bottom w:val="outset" w:color="auto" w:sz="6" w:space="0"/>
              <w:right w:val="outset" w:color="auto" w:sz="6" w:space="0"/>
            </w:tcBorders>
            <w:vAlign w:val="center"/>
          </w:tcPr>
          <w:p w14:paraId="04F745A6">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详细技术参数及性能配置要求</w:t>
            </w:r>
          </w:p>
        </w:tc>
        <w:tc>
          <w:tcPr>
            <w:tcW w:w="600" w:type="dxa"/>
            <w:tcBorders>
              <w:top w:val="outset" w:color="auto" w:sz="6" w:space="0"/>
              <w:left w:val="outset" w:color="auto" w:sz="6" w:space="0"/>
              <w:bottom w:val="outset" w:color="auto" w:sz="6" w:space="0"/>
              <w:right w:val="outset" w:color="auto" w:sz="6" w:space="0"/>
            </w:tcBorders>
            <w:vAlign w:val="center"/>
          </w:tcPr>
          <w:p w14:paraId="66DE1446">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计量单位</w:t>
            </w:r>
          </w:p>
        </w:tc>
        <w:tc>
          <w:tcPr>
            <w:tcW w:w="934" w:type="dxa"/>
            <w:tcBorders>
              <w:top w:val="outset" w:color="auto" w:sz="6" w:space="0"/>
              <w:left w:val="outset" w:color="auto" w:sz="6" w:space="0"/>
              <w:bottom w:val="outset" w:color="auto" w:sz="6" w:space="0"/>
              <w:right w:val="outset" w:color="auto" w:sz="6" w:space="0"/>
            </w:tcBorders>
            <w:shd w:val="clear" w:color="auto" w:fill="auto"/>
            <w:vAlign w:val="center"/>
          </w:tcPr>
          <w:p w14:paraId="07F517C4">
            <w:pPr>
              <w:spacing w:line="400" w:lineRule="exact"/>
              <w:jc w:val="center"/>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rPr>
              <w:t>数量</w:t>
            </w:r>
          </w:p>
        </w:tc>
        <w:tc>
          <w:tcPr>
            <w:tcW w:w="1000" w:type="dxa"/>
            <w:tcBorders>
              <w:top w:val="outset" w:color="auto" w:sz="6" w:space="0"/>
              <w:left w:val="outset" w:color="auto" w:sz="6" w:space="0"/>
              <w:bottom w:val="outset" w:color="auto" w:sz="6" w:space="0"/>
              <w:right w:val="outset" w:color="auto" w:sz="6" w:space="0"/>
            </w:tcBorders>
            <w:vAlign w:val="center"/>
          </w:tcPr>
          <w:p w14:paraId="08FF5302">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预算单价（元）</w:t>
            </w:r>
          </w:p>
        </w:tc>
        <w:tc>
          <w:tcPr>
            <w:tcW w:w="1200" w:type="dxa"/>
            <w:tcBorders>
              <w:top w:val="outset" w:color="auto" w:sz="6" w:space="0"/>
              <w:left w:val="outset" w:color="auto" w:sz="6" w:space="0"/>
              <w:bottom w:val="outset" w:color="auto" w:sz="6" w:space="0"/>
              <w:right w:val="outset" w:color="auto" w:sz="6" w:space="0"/>
            </w:tcBorders>
            <w:vAlign w:val="center"/>
          </w:tcPr>
          <w:p w14:paraId="00476B65">
            <w:pPr>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预算合计（元）</w:t>
            </w:r>
          </w:p>
        </w:tc>
        <w:tc>
          <w:tcPr>
            <w:tcW w:w="1056" w:type="dxa"/>
            <w:tcBorders>
              <w:top w:val="outset" w:color="auto" w:sz="6" w:space="0"/>
              <w:left w:val="outset" w:color="auto" w:sz="6" w:space="0"/>
              <w:bottom w:val="outset" w:color="auto" w:sz="6" w:space="0"/>
              <w:right w:val="outset" w:color="auto" w:sz="6" w:space="0"/>
            </w:tcBorders>
            <w:vAlign w:val="center"/>
          </w:tcPr>
          <w:p w14:paraId="0BE4139A">
            <w:pPr>
              <w:wordWrap w:val="0"/>
              <w:spacing w:line="40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14:paraId="5F68AF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0C09784B">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w:t>
            </w:r>
          </w:p>
        </w:tc>
        <w:tc>
          <w:tcPr>
            <w:tcW w:w="1155" w:type="dxa"/>
            <w:tcBorders>
              <w:top w:val="outset" w:color="auto" w:sz="6" w:space="0"/>
              <w:left w:val="outset" w:color="auto" w:sz="6" w:space="0"/>
              <w:bottom w:val="outset" w:color="auto" w:sz="6" w:space="0"/>
              <w:right w:val="outset" w:color="auto" w:sz="6" w:space="0"/>
            </w:tcBorders>
            <w:shd w:val="clear" w:color="auto" w:fill="auto"/>
            <w:vAlign w:val="center"/>
          </w:tcPr>
          <w:p w14:paraId="57E26D2F">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右江民族医学院互联网络专线租赁服务</w:t>
            </w:r>
            <w:r>
              <w:rPr>
                <w:rFonts w:hint="eastAsia" w:cs="宋体"/>
                <w:b w:val="0"/>
                <w:bCs w:val="0"/>
                <w:color w:val="auto"/>
                <w:sz w:val="21"/>
                <w:szCs w:val="21"/>
                <w:lang w:eastAsia="zh-CN"/>
              </w:rPr>
              <w:t>（</w:t>
            </w:r>
            <w:r>
              <w:rPr>
                <w:rFonts w:hint="eastAsia" w:ascii="宋体" w:hAnsi="宋体" w:eastAsia="宋体" w:cs="宋体"/>
                <w:b w:val="0"/>
                <w:bCs w:val="0"/>
                <w:color w:val="auto"/>
                <w:sz w:val="21"/>
                <w:szCs w:val="21"/>
              </w:rPr>
              <w:t>分标一</w:t>
            </w:r>
            <w:r>
              <w:rPr>
                <w:rFonts w:hint="eastAsia" w:cs="宋体"/>
                <w:b w:val="0"/>
                <w:bCs w:val="0"/>
                <w:color w:val="auto"/>
                <w:sz w:val="21"/>
                <w:szCs w:val="21"/>
                <w:lang w:eastAsia="zh-CN"/>
              </w:rPr>
              <w:t>）</w:t>
            </w:r>
          </w:p>
        </w:tc>
        <w:tc>
          <w:tcPr>
            <w:tcW w:w="7383" w:type="dxa"/>
            <w:tcBorders>
              <w:top w:val="outset" w:color="auto" w:sz="6" w:space="0"/>
              <w:left w:val="outset" w:color="auto" w:sz="6" w:space="0"/>
              <w:bottom w:val="outset" w:color="auto" w:sz="6" w:space="0"/>
              <w:right w:val="outset" w:color="auto" w:sz="6" w:space="0"/>
            </w:tcBorders>
            <w:shd w:val="clear" w:color="auto" w:fill="auto"/>
            <w:vAlign w:val="center"/>
          </w:tcPr>
          <w:p w14:paraId="1A913556">
            <w:pPr>
              <w:wordWrap w:val="0"/>
              <w:spacing w:line="40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rPr>
              <w:t>分标一：</w:t>
            </w:r>
          </w:p>
          <w:p w14:paraId="4FB7EA73">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一、提供1条≥550Mbps的互联网出口带宽服务，并提供≥5个公网静态IPv4地址和/1个/56IPv6前缀地址。</w:t>
            </w:r>
          </w:p>
          <w:p w14:paraId="627B2D02">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二、供应商汇聚层和骨干层线路需具有自愈环保护功能和不超过50ms保护倒换能力，保证专线不会因光缆的意外阻断或部分设备故障而中断。</w:t>
            </w:r>
          </w:p>
          <w:p w14:paraId="2A7A84E3">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三、要求全网的传输设备均具备网管能力，全程提供端到端的网管监控功能，实行7*24小时不间断监控，可有效地检测并定位网络故障。</w:t>
            </w:r>
          </w:p>
          <w:p w14:paraId="67EEB497">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四、</w:t>
            </w:r>
            <w:r>
              <w:rPr>
                <w:rFonts w:hint="eastAsia" w:cs="宋体"/>
                <w:color w:val="auto"/>
                <w:sz w:val="21"/>
                <w:szCs w:val="21"/>
                <w:lang w:eastAsia="zh-CN"/>
              </w:rPr>
              <w:t>供应商</w:t>
            </w:r>
            <w:r>
              <w:rPr>
                <w:rFonts w:hint="eastAsia" w:ascii="宋体" w:hAnsi="宋体" w:eastAsia="宋体" w:cs="宋体"/>
                <w:color w:val="auto"/>
                <w:sz w:val="21"/>
                <w:szCs w:val="21"/>
              </w:rPr>
              <w:t>须负责链路的接入施工，为避免某校区的出口链路因不可抗因素发生断路导致网络中断，须将链路分别接入学校的两个校区（百城校区和百东校区）机房，并根据实际预设配置路由，当某个校区出口链路发生断路时，可将互联网专线的总出口快速切换至另一个校区，确保网络业务的持续性。负责完成两校区出口链路的光纤铺设、端口配置、路由调试等全部工作，确保链路可正常使用，接入过程须符合学校机房安全管理规定，避免对现有网络系统造成影响。同时提供本次专线接入所需的相关硬件设备，包括路由器、交换机、光缆、尾纤跳线、光模块等。</w:t>
            </w:r>
          </w:p>
          <w:p w14:paraId="37E720F6">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五、线路技术指标：≥1000M互联网带宽裸机测试，上、下行速率对称，且稳定在1000Mbps。链路年可用性≥99.9%，平均延迟≤50ms，丢包率≤3‰；链路支持动态带宽调整（根据单位需求可灵活扩容），扩容过程不影响现有网络服务。</w:t>
            </w:r>
          </w:p>
          <w:p w14:paraId="67636E5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六、采用双路由接入学校出口设备，确保其中一路中断，另外一路仍能继续提供服务。</w:t>
            </w:r>
          </w:p>
          <w:p w14:paraId="6C8D82D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七、线路安全方面支持抗DDos防御及流量清洗能力。</w:t>
            </w:r>
          </w:p>
          <w:p w14:paraId="0BE1F7AF">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八、学校网络需要扩展或升级时，须提供相应解决方案等技术支持。</w:t>
            </w:r>
          </w:p>
          <w:p w14:paraId="2AFE24F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九.根据学校实际需求，提供百城校区和百东校区的网络互通服务。</w:t>
            </w:r>
          </w:p>
          <w:p w14:paraId="18E4D11C">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十、由</w:t>
            </w:r>
            <w:r>
              <w:rPr>
                <w:rFonts w:hint="eastAsia" w:cs="宋体"/>
                <w:color w:val="auto"/>
                <w:sz w:val="21"/>
                <w:szCs w:val="21"/>
                <w:lang w:eastAsia="zh-CN"/>
              </w:rPr>
              <w:t>供应商</w:t>
            </w:r>
            <w:r>
              <w:rPr>
                <w:rFonts w:hint="eastAsia" w:ascii="宋体" w:hAnsi="宋体" w:eastAsia="宋体" w:cs="宋体"/>
                <w:color w:val="auto"/>
                <w:sz w:val="21"/>
                <w:szCs w:val="21"/>
              </w:rPr>
              <w:t>免费提供1台负载均衡设备（含硬件、配套软件及终身授权），设备规格须满足两条链路的智能流量分配及故障自动切换的核心需求，且与单位现有网络设备（交换机、路由器等）兼容；设备须为原厂全新正品，提供原厂供货证明及原厂售后服务承诺函，严禁提供翻新、拼装、二手设备。</w:t>
            </w:r>
          </w:p>
          <w:p w14:paraId="7BBE1F2B">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1、设备四层吞吐量≥20Gbps，四层并发连接数≥800万，七层并发连接数≥100万，新建连接数≥35万。</w:t>
            </w:r>
          </w:p>
          <w:p w14:paraId="47BEAF6E">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2、硬盘容量不少于≥480GB SSD；内存≥8GB；配置不少于6个千兆电口，4个万兆光口SFP+；配置冗余电源，2U机架式。</w:t>
            </w:r>
          </w:p>
          <w:p w14:paraId="795CDDB5">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3、单一设备可同时支持包括链路负载均衡、服务器负载均衡和全局负载均衡的功能，功能同时处于激活可使用状态，无需额外购买相应授权。</w:t>
            </w:r>
          </w:p>
          <w:p w14:paraId="7AB26548">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4、负载均衡支持在Web页面配置实现基于管理员自定义的时间计划来进行出站访问的流量调度，支持基于应用协议的智能选路，内置网上银行、Web流媒体、游戏、音频视频规则库，并且规则库不少于5000条。</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28E4772A">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5、具备强大负载均衡算法，支持HTTP、TCP、HTTPS、SIP-TCP、SIP-UDP、8583、DNS等服务类型，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p>
          <w:p w14:paraId="5FBC5169">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6、具备DNS功能，支持A、AAAA、DNSSEC、CAA和DS记录，支持DNS缓存和RPZ防火墙功能。</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568C0A1A">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7、设备需支持多种编程语言脚本（如lua和TCL）实现功能配置，对IP、TCP、UDP、SSL、HTTP和HTTPS等类型的流量进行分发、修改和统计等操作，具备对可编程脚本语法的校验功能，能够识别出脚本语言是否正确，定位到具体的错误语句。</w:t>
            </w:r>
          </w:p>
          <w:p w14:paraId="556C62EF">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8、为了方便管控和调节业务服务的压力，支持基于WEB图形化界面支持对虚拟服务、节点设置上行和下行流量限制，支持配置每台的业务主机的并发连接数、新建连接数和每秒请求数限制，同时可配置每个虚拟服务的单个IP或所有IP的最大新建和最大并发限制来调节真实业务服务器压力。</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3A1C3C59">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9、具备多种类型的会话保持技术，支持源IP、Cookie（插入/被动/改写）、HTTP-Passive（应答被动、请求被动）、Radius、SSL Session ID、SIP（CALL-ID）和源IP+源端口等多种会话保持机制，支持跨虚拟服务的会话保持。</w:t>
            </w:r>
          </w:p>
          <w:p w14:paraId="6843EDC8">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10、具备多种类型的健康检查技术，支持常见的主动式健康检查功能，提供基于SNMP、ICMP、SIP、ICMPv6、TCP、UDP、FTP、HTTP、DNS、RADIUS、HTTPS、LDAP、HTTP2、ORACLE、MSSQL、MYSQL数据库等多种类型的探测判断机制，支持外部应用监视器健康检查功能，同时可配置间隔时间、超时时间，同时可通过Web页面执行命令，并且能开启/关闭调试日志功能。</w:t>
            </w:r>
          </w:p>
          <w:p w14:paraId="11060E7D">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11、为了适应未来应用国产化应用改造，负载均衡设备需支持国产数据库负载，支持OceanBase、达梦和人大金仓数据库的负载均衡。</w:t>
            </w:r>
          </w:p>
          <w:p w14:paraId="30669C6A">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12、为了保障业务可用性优先，出现节点繁忙的情况时，可以有多种选择（如连接排队、强制调度、调度失败等），并且可以直接在Web页面直接进行选择配置，支持对于超过服务器的连接数上限或者请求数上限的新建连接缓存起来放入队列中，后续分批逐步发送给服务器，而不是直接丢弃数据包。</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6B8B6187">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13、为了便于业务上线前对业务进行验证，且操作简单，设备支持模拟健康监测功能，无需完成真实的业务配置即可提前采用icmp、http、https、tcp、ftp以及DNS等健康检查方式模拟检查业务的状态；且支持完成链路负载均衡配置后，可以直接在Web页面验证负载配置后的效果。</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5D295BC5">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14、支持在WEB页面配置TOA(TCP Option Address)源地址插入功能,降低通过脚本实现此功能对设备的硬件资源开销，从而提升整体设备性能。</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16B28BC8">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15、为了保障cookie会话保持的安全性，避免cookie混乱泄漏，支持cookie作用域和作用路径的自定义，支持cookie加密，提升cookie安全性。</w:t>
            </w:r>
          </w:p>
          <w:p w14:paraId="5AA92AC2">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16、为了简化运维，支持在同一个虚拟服务下同时配置多个IPv4和IPv6地址，服务器池节点支持域名和IP两种形式，可设置指定域名解析间隔时间。</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26DA29AC">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17、支持HTTP2网关部署，在不改变web服务器的情况下将对外服务协议从HTTP1.1/1.0升级至HTTP/2，支持HTTP2策略，可设置每连接最大流量数、空闲超时时间、接收窗口大小和头部表大小等。</w:t>
            </w:r>
          </w:p>
          <w:p w14:paraId="1A7D731E">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18、为了能够有效提升应用的稳定性和用户体验，确保在高并发情况下的流量管理和资源利用，支持TCP策略，实现三层、四层和七层虚拟服务模式。</w:t>
            </w:r>
          </w:p>
          <w:p w14:paraId="59B61240">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19、为了提升web页面加载速度，支持图片优化技术，通过对图片格式的转换，减少传输流量，无需改动服务器端的图片源文件，可根据浏览器种类自动识别转换类型，将图片转换为对应支持的WebP或JPEG格式，优化加速效果。</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38E6FE9D">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20、支持虚拟服务地图方式展示VS和Pool与Memeber的关联关系以及对应的状态信息，可按虚拟服务名称或者状态来进行排序。</w:t>
            </w:r>
          </w:p>
          <w:p w14:paraId="10C28CF4">
            <w:pPr>
              <w:wordWrap w:val="0"/>
              <w:spacing w:line="400" w:lineRule="exact"/>
              <w:rPr>
                <w:rFonts w:hint="eastAsia" w:ascii="宋体" w:hAnsi="宋体" w:eastAsia="宋体" w:cs="宋体"/>
                <w:b/>
                <w:bCs/>
                <w:color w:val="auto"/>
                <w:sz w:val="21"/>
                <w:szCs w:val="21"/>
                <w:highlight w:val="cyan"/>
              </w:rPr>
            </w:pPr>
            <w:r>
              <w:rPr>
                <w:rFonts w:hint="eastAsia" w:ascii="宋体" w:hAnsi="宋体" w:eastAsia="宋体" w:cs="宋体"/>
                <w:color w:val="auto"/>
                <w:sz w:val="21"/>
                <w:szCs w:val="21"/>
              </w:rPr>
              <w:t>21、为了帮助管理员来对设备更好的运维排障，支持对管理日志进行对比，能直观的看到设备配置的变化，支持直接通过web页面进行命令管理和进行抓包排障，可以设置抓包时长，提升管理效率。</w:t>
            </w:r>
            <w:r>
              <w:rPr>
                <w:rFonts w:hint="eastAsia" w:ascii="宋体" w:hAnsi="宋体" w:eastAsia="宋体" w:cs="宋体"/>
                <w:b/>
                <w:bCs/>
                <w:color w:val="auto"/>
                <w:sz w:val="21"/>
                <w:szCs w:val="21"/>
                <w:highlight w:val="cyan"/>
              </w:rPr>
              <w:t>（提供产品界面截图并加盖</w:t>
            </w:r>
            <w:r>
              <w:rPr>
                <w:rFonts w:hint="eastAsia" w:cs="宋体"/>
                <w:b/>
                <w:bCs/>
                <w:color w:val="auto"/>
                <w:sz w:val="21"/>
                <w:szCs w:val="21"/>
                <w:highlight w:val="cyan"/>
                <w:lang w:eastAsia="zh-CN"/>
              </w:rPr>
              <w:t>供应商</w:t>
            </w:r>
            <w:r>
              <w:rPr>
                <w:rFonts w:hint="eastAsia" w:ascii="宋体" w:hAnsi="宋体" w:eastAsia="宋体" w:cs="宋体"/>
                <w:b/>
                <w:bCs/>
                <w:color w:val="auto"/>
                <w:sz w:val="21"/>
                <w:szCs w:val="21"/>
                <w:highlight w:val="cyan"/>
              </w:rPr>
              <w:t>公章）</w:t>
            </w:r>
          </w:p>
          <w:p w14:paraId="51D517D1">
            <w:pPr>
              <w:wordWrap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22、设备质保：在专线租赁服务期内，提供设备的免费维修、更换服务，若设备出现故障，</w:t>
            </w:r>
            <w:r>
              <w:rPr>
                <w:rFonts w:hint="eastAsia" w:cs="宋体"/>
                <w:color w:val="auto"/>
                <w:sz w:val="21"/>
                <w:szCs w:val="21"/>
                <w:lang w:eastAsia="zh-CN"/>
              </w:rPr>
              <w:t>供应商</w:t>
            </w:r>
            <w:r>
              <w:rPr>
                <w:rFonts w:hint="eastAsia" w:ascii="宋体" w:hAnsi="宋体" w:eastAsia="宋体" w:cs="宋体"/>
                <w:color w:val="auto"/>
                <w:sz w:val="21"/>
                <w:szCs w:val="21"/>
              </w:rPr>
              <w:t>须在2小时内响应，24小时内完成维修或更换，确保设备正常运行。</w:t>
            </w:r>
          </w:p>
          <w:p w14:paraId="409A20B0">
            <w:pPr>
              <w:wordWrap w:val="0"/>
              <w:spacing w:line="400" w:lineRule="exact"/>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十一、付款方式：服务费用按三年分期支付，每年支付一次，每期费用为合同总金额的1/3。签订合同后乙方向甲方开具12个月服务费用的合法增值税专用发票，甲方收到发票后30日进行支付。</w:t>
            </w:r>
          </w:p>
        </w:tc>
        <w:tc>
          <w:tcPr>
            <w:tcW w:w="600" w:type="dxa"/>
            <w:tcBorders>
              <w:top w:val="outset" w:color="auto" w:sz="6" w:space="0"/>
              <w:left w:val="outset" w:color="auto" w:sz="6" w:space="0"/>
              <w:bottom w:val="outset" w:color="auto" w:sz="6" w:space="0"/>
              <w:right w:val="outset" w:color="auto" w:sz="6" w:space="0"/>
            </w:tcBorders>
            <w:shd w:val="clear" w:color="auto" w:fill="auto"/>
            <w:vAlign w:val="center"/>
          </w:tcPr>
          <w:p w14:paraId="11BC307E">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年</w:t>
            </w:r>
          </w:p>
        </w:tc>
        <w:tc>
          <w:tcPr>
            <w:tcW w:w="934" w:type="dxa"/>
            <w:tcBorders>
              <w:top w:val="outset" w:color="auto" w:sz="6" w:space="0"/>
              <w:left w:val="outset" w:color="auto" w:sz="6" w:space="0"/>
              <w:bottom w:val="outset" w:color="auto" w:sz="6" w:space="0"/>
              <w:right w:val="outset" w:color="auto" w:sz="6" w:space="0"/>
            </w:tcBorders>
            <w:shd w:val="clear" w:color="auto" w:fill="auto"/>
            <w:vAlign w:val="center"/>
          </w:tcPr>
          <w:p w14:paraId="2CC9EA7A">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3</w:t>
            </w:r>
          </w:p>
        </w:tc>
        <w:tc>
          <w:tcPr>
            <w:tcW w:w="1000" w:type="dxa"/>
            <w:tcBorders>
              <w:top w:val="outset" w:color="auto" w:sz="6" w:space="0"/>
              <w:left w:val="outset" w:color="auto" w:sz="6" w:space="0"/>
              <w:bottom w:val="outset" w:color="auto" w:sz="6" w:space="0"/>
              <w:right w:val="outset" w:color="auto" w:sz="6" w:space="0"/>
            </w:tcBorders>
            <w:shd w:val="clear" w:color="auto" w:fill="auto"/>
            <w:vAlign w:val="center"/>
          </w:tcPr>
          <w:p w14:paraId="752BCAD4">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12</w:t>
            </w:r>
            <w:r>
              <w:rPr>
                <w:rFonts w:hint="eastAsia" w:cs="宋体"/>
                <w:color w:val="auto"/>
                <w:sz w:val="21"/>
                <w:szCs w:val="21"/>
                <w:lang w:val="en-US" w:eastAsia="zh-CN"/>
              </w:rPr>
              <w:t>0</w:t>
            </w:r>
            <w:r>
              <w:rPr>
                <w:rFonts w:hint="eastAsia" w:ascii="宋体" w:hAnsi="宋体" w:eastAsia="宋体" w:cs="宋体"/>
                <w:color w:val="auto"/>
                <w:sz w:val="21"/>
                <w:szCs w:val="21"/>
              </w:rPr>
              <w:t>000</w:t>
            </w:r>
          </w:p>
        </w:tc>
        <w:tc>
          <w:tcPr>
            <w:tcW w:w="1200" w:type="dxa"/>
            <w:tcBorders>
              <w:top w:val="outset" w:color="auto" w:sz="6" w:space="0"/>
              <w:left w:val="outset" w:color="auto" w:sz="6" w:space="0"/>
              <w:bottom w:val="outset" w:color="auto" w:sz="6" w:space="0"/>
              <w:right w:val="outset" w:color="auto" w:sz="6" w:space="0"/>
            </w:tcBorders>
            <w:shd w:val="clear" w:color="auto" w:fill="auto"/>
            <w:vAlign w:val="center"/>
          </w:tcPr>
          <w:p w14:paraId="0F286C37">
            <w:pPr>
              <w:wordWrap w:val="0"/>
              <w:spacing w:line="400" w:lineRule="exact"/>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3</w:t>
            </w:r>
            <w:r>
              <w:rPr>
                <w:rFonts w:hint="eastAsia" w:cs="宋体"/>
                <w:color w:val="auto"/>
                <w:sz w:val="21"/>
                <w:szCs w:val="21"/>
                <w:lang w:val="en-US" w:eastAsia="zh-CN"/>
              </w:rPr>
              <w:t>60</w:t>
            </w:r>
            <w:r>
              <w:rPr>
                <w:rFonts w:hint="eastAsia" w:ascii="宋体" w:hAnsi="宋体" w:eastAsia="宋体" w:cs="宋体"/>
                <w:color w:val="auto"/>
                <w:sz w:val="21"/>
                <w:szCs w:val="21"/>
              </w:rPr>
              <w:t>000</w:t>
            </w:r>
          </w:p>
        </w:tc>
        <w:tc>
          <w:tcPr>
            <w:tcW w:w="1056" w:type="dxa"/>
            <w:tcBorders>
              <w:top w:val="outset" w:color="auto" w:sz="6" w:space="0"/>
              <w:left w:val="outset" w:color="auto" w:sz="6" w:space="0"/>
              <w:bottom w:val="outset" w:color="auto" w:sz="6" w:space="0"/>
              <w:right w:val="outset" w:color="auto" w:sz="6" w:space="0"/>
            </w:tcBorders>
            <w:vAlign w:val="center"/>
          </w:tcPr>
          <w:p w14:paraId="1B5EAF9E">
            <w:pPr>
              <w:wordWrap w:val="0"/>
              <w:spacing w:line="400" w:lineRule="exact"/>
              <w:jc w:val="both"/>
              <w:rPr>
                <w:rFonts w:hint="eastAsia" w:ascii="宋体" w:hAnsi="宋体" w:eastAsia="宋体" w:cs="宋体"/>
                <w:color w:val="auto"/>
                <w:sz w:val="21"/>
                <w:szCs w:val="21"/>
              </w:rPr>
            </w:pPr>
          </w:p>
        </w:tc>
      </w:tr>
      <w:tr w14:paraId="1514DD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96" w:hRule="atLeast"/>
        </w:trPr>
        <w:tc>
          <w:tcPr>
            <w:tcW w:w="791" w:type="dxa"/>
            <w:tcBorders>
              <w:top w:val="outset" w:color="auto" w:sz="6" w:space="0"/>
              <w:left w:val="outset" w:color="auto" w:sz="6" w:space="0"/>
              <w:bottom w:val="outset" w:color="auto" w:sz="6" w:space="0"/>
              <w:right w:val="outset" w:color="auto" w:sz="6" w:space="0"/>
            </w:tcBorders>
            <w:vAlign w:val="center"/>
          </w:tcPr>
          <w:p w14:paraId="5E93AD71">
            <w:pPr>
              <w:wordWrap w:val="0"/>
              <w:spacing w:line="400" w:lineRule="exact"/>
              <w:jc w:val="center"/>
              <w:rPr>
                <w:rFonts w:hint="eastAsia" w:ascii="宋体" w:hAnsi="宋体" w:eastAsia="宋体" w:cs="宋体"/>
                <w:bCs/>
                <w:color w:val="auto"/>
                <w:kern w:val="2"/>
                <w:sz w:val="21"/>
                <w:szCs w:val="21"/>
                <w:lang w:bidi="ar"/>
              </w:rPr>
            </w:pPr>
            <w:r>
              <w:rPr>
                <w:rFonts w:hint="eastAsia" w:ascii="宋体" w:hAnsi="宋体" w:eastAsia="宋体" w:cs="宋体"/>
                <w:bCs/>
                <w:color w:val="auto"/>
                <w:kern w:val="2"/>
                <w:sz w:val="21"/>
                <w:szCs w:val="21"/>
                <w:lang w:bidi="ar"/>
              </w:rPr>
              <w:t>合计</w:t>
            </w:r>
          </w:p>
        </w:tc>
        <w:tc>
          <w:tcPr>
            <w:tcW w:w="1155" w:type="dxa"/>
            <w:tcBorders>
              <w:top w:val="outset" w:color="auto" w:sz="6" w:space="0"/>
              <w:left w:val="outset" w:color="auto" w:sz="6" w:space="0"/>
              <w:bottom w:val="outset" w:color="auto" w:sz="6" w:space="0"/>
              <w:right w:val="outset" w:color="auto" w:sz="6" w:space="0"/>
            </w:tcBorders>
            <w:vAlign w:val="center"/>
          </w:tcPr>
          <w:p w14:paraId="40CC603E">
            <w:pPr>
              <w:wordWrap w:val="0"/>
              <w:spacing w:line="400" w:lineRule="exact"/>
              <w:jc w:val="both"/>
              <w:rPr>
                <w:rFonts w:hint="eastAsia" w:ascii="宋体" w:hAnsi="宋体" w:eastAsia="宋体" w:cs="宋体"/>
                <w:bCs/>
                <w:color w:val="auto"/>
                <w:kern w:val="2"/>
                <w:sz w:val="21"/>
                <w:szCs w:val="21"/>
                <w:lang w:bidi="ar"/>
              </w:rPr>
            </w:pPr>
          </w:p>
        </w:tc>
        <w:tc>
          <w:tcPr>
            <w:tcW w:w="7383" w:type="dxa"/>
            <w:tcBorders>
              <w:top w:val="outset" w:color="auto" w:sz="6" w:space="0"/>
              <w:left w:val="outset" w:color="auto" w:sz="6" w:space="0"/>
              <w:bottom w:val="outset" w:color="auto" w:sz="6" w:space="0"/>
              <w:right w:val="outset" w:color="auto" w:sz="6" w:space="0"/>
            </w:tcBorders>
            <w:vAlign w:val="center"/>
          </w:tcPr>
          <w:p w14:paraId="1FDE7E0C">
            <w:pPr>
              <w:wordWrap w:val="0"/>
              <w:spacing w:line="400" w:lineRule="exact"/>
              <w:jc w:val="both"/>
              <w:rPr>
                <w:rFonts w:hint="eastAsia" w:ascii="宋体" w:hAnsi="宋体" w:eastAsia="宋体" w:cs="宋体"/>
                <w:bCs/>
                <w:color w:val="auto"/>
                <w:kern w:val="2"/>
                <w:sz w:val="21"/>
                <w:szCs w:val="21"/>
                <w:lang w:bidi="ar"/>
              </w:rPr>
            </w:pPr>
          </w:p>
        </w:tc>
        <w:tc>
          <w:tcPr>
            <w:tcW w:w="600" w:type="dxa"/>
            <w:tcBorders>
              <w:top w:val="outset" w:color="auto" w:sz="6" w:space="0"/>
              <w:left w:val="outset" w:color="auto" w:sz="6" w:space="0"/>
              <w:bottom w:val="outset" w:color="auto" w:sz="6" w:space="0"/>
              <w:right w:val="outset" w:color="auto" w:sz="6" w:space="0"/>
            </w:tcBorders>
            <w:shd w:val="clear" w:color="auto" w:fill="auto"/>
            <w:vAlign w:val="center"/>
          </w:tcPr>
          <w:p w14:paraId="192E497A">
            <w:pPr>
              <w:wordWrap w:val="0"/>
              <w:spacing w:line="400" w:lineRule="exact"/>
              <w:jc w:val="center"/>
              <w:rPr>
                <w:rFonts w:hint="eastAsia" w:ascii="宋体" w:hAnsi="宋体" w:eastAsia="宋体" w:cs="宋体"/>
                <w:bCs/>
                <w:color w:val="auto"/>
                <w:kern w:val="2"/>
                <w:sz w:val="21"/>
                <w:szCs w:val="21"/>
                <w:lang w:val="en-US" w:eastAsia="zh-CN" w:bidi="ar"/>
              </w:rPr>
            </w:pPr>
          </w:p>
        </w:tc>
        <w:tc>
          <w:tcPr>
            <w:tcW w:w="934" w:type="dxa"/>
            <w:tcBorders>
              <w:top w:val="outset" w:color="auto" w:sz="6" w:space="0"/>
              <w:left w:val="outset" w:color="auto" w:sz="6" w:space="0"/>
              <w:bottom w:val="outset" w:color="auto" w:sz="6" w:space="0"/>
              <w:right w:val="outset" w:color="auto" w:sz="6" w:space="0"/>
            </w:tcBorders>
            <w:vAlign w:val="center"/>
          </w:tcPr>
          <w:p w14:paraId="153011D0">
            <w:pPr>
              <w:wordWrap w:val="0"/>
              <w:spacing w:line="400" w:lineRule="exact"/>
              <w:jc w:val="center"/>
              <w:rPr>
                <w:rFonts w:hint="eastAsia" w:ascii="宋体" w:hAnsi="宋体" w:eastAsia="宋体" w:cs="宋体"/>
                <w:bCs/>
                <w:color w:val="auto"/>
                <w:kern w:val="2"/>
                <w:sz w:val="21"/>
                <w:szCs w:val="21"/>
                <w:lang w:bidi="ar"/>
              </w:rPr>
            </w:pPr>
          </w:p>
        </w:tc>
        <w:tc>
          <w:tcPr>
            <w:tcW w:w="1000" w:type="dxa"/>
            <w:tcBorders>
              <w:top w:val="outset" w:color="auto" w:sz="6" w:space="0"/>
              <w:left w:val="outset" w:color="auto" w:sz="6" w:space="0"/>
              <w:bottom w:val="outset" w:color="auto" w:sz="6" w:space="0"/>
              <w:right w:val="outset" w:color="auto" w:sz="6" w:space="0"/>
            </w:tcBorders>
            <w:vAlign w:val="center"/>
          </w:tcPr>
          <w:p w14:paraId="67092556">
            <w:pPr>
              <w:wordWrap w:val="0"/>
              <w:spacing w:line="400" w:lineRule="exact"/>
              <w:jc w:val="both"/>
              <w:rPr>
                <w:rFonts w:hint="default" w:ascii="宋体" w:hAnsi="宋体" w:eastAsia="宋体" w:cs="宋体"/>
                <w:color w:val="auto"/>
                <w:sz w:val="21"/>
                <w:szCs w:val="21"/>
                <w:lang w:val="en-US" w:eastAsia="zh-CN"/>
              </w:rPr>
            </w:pPr>
          </w:p>
        </w:tc>
        <w:tc>
          <w:tcPr>
            <w:tcW w:w="1200" w:type="dxa"/>
            <w:tcBorders>
              <w:top w:val="outset" w:color="auto" w:sz="6" w:space="0"/>
              <w:left w:val="outset" w:color="auto" w:sz="6" w:space="0"/>
              <w:bottom w:val="outset" w:color="auto" w:sz="6" w:space="0"/>
              <w:right w:val="outset" w:color="auto" w:sz="6" w:space="0"/>
            </w:tcBorders>
            <w:vAlign w:val="center"/>
          </w:tcPr>
          <w:p w14:paraId="6DA789BB">
            <w:pPr>
              <w:wordWrap w:val="0"/>
              <w:spacing w:line="400" w:lineRule="exact"/>
              <w:jc w:val="both"/>
              <w:rPr>
                <w:rFonts w:hint="eastAsia" w:ascii="宋体" w:hAnsi="宋体" w:eastAsia="宋体" w:cs="宋体"/>
                <w:color w:val="auto"/>
                <w:sz w:val="21"/>
                <w:szCs w:val="21"/>
              </w:rPr>
            </w:pPr>
            <w:r>
              <w:rPr>
                <w:rFonts w:hint="eastAsia" w:ascii="宋体" w:hAnsi="宋体" w:eastAsia="宋体" w:cs="宋体"/>
                <w:color w:val="auto"/>
                <w:sz w:val="21"/>
                <w:szCs w:val="21"/>
              </w:rPr>
              <w:t>360000</w:t>
            </w:r>
            <w:r>
              <w:rPr>
                <w:rFonts w:hint="eastAsia" w:cs="宋体"/>
                <w:color w:val="auto"/>
                <w:sz w:val="21"/>
                <w:szCs w:val="21"/>
                <w:lang w:val="en-US" w:eastAsia="zh-CN"/>
              </w:rPr>
              <w:t>.00</w:t>
            </w:r>
          </w:p>
        </w:tc>
        <w:tc>
          <w:tcPr>
            <w:tcW w:w="1056" w:type="dxa"/>
            <w:tcBorders>
              <w:top w:val="outset" w:color="auto" w:sz="6" w:space="0"/>
              <w:left w:val="outset" w:color="auto" w:sz="6" w:space="0"/>
              <w:bottom w:val="outset" w:color="auto" w:sz="6" w:space="0"/>
              <w:right w:val="outset" w:color="auto" w:sz="6" w:space="0"/>
            </w:tcBorders>
            <w:vAlign w:val="center"/>
          </w:tcPr>
          <w:p w14:paraId="6B9BFED6">
            <w:pPr>
              <w:wordWrap w:val="0"/>
              <w:spacing w:line="400" w:lineRule="exact"/>
              <w:jc w:val="both"/>
              <w:rPr>
                <w:rFonts w:hint="eastAsia" w:ascii="宋体" w:hAnsi="宋体" w:eastAsia="宋体" w:cs="宋体"/>
                <w:color w:val="auto"/>
                <w:sz w:val="21"/>
                <w:szCs w:val="21"/>
              </w:rPr>
            </w:pPr>
          </w:p>
        </w:tc>
      </w:tr>
    </w:tbl>
    <w:p w14:paraId="1BFE756E">
      <w:pPr>
        <w:rPr>
          <w:rFonts w:ascii="华文仿宋" w:hAnsi="华文仿宋" w:eastAsia="华文仿宋" w:cs="华文仿宋"/>
          <w:b/>
          <w:bCs/>
          <w:color w:val="auto"/>
          <w:sz w:val="30"/>
          <w:szCs w:val="30"/>
        </w:rPr>
      </w:pPr>
    </w:p>
    <w:p w14:paraId="1BD08E1E">
      <w:pPr>
        <w:rPr>
          <w:rFonts w:ascii="华文仿宋" w:hAnsi="华文仿宋" w:eastAsia="华文仿宋" w:cs="华文仿宋"/>
          <w:b/>
          <w:bCs/>
          <w:color w:val="auto"/>
          <w:sz w:val="30"/>
          <w:szCs w:val="30"/>
        </w:rPr>
      </w:pPr>
      <w:r>
        <w:rPr>
          <w:rFonts w:ascii="华文仿宋" w:hAnsi="华文仿宋" w:eastAsia="华文仿宋" w:cs="华文仿宋"/>
          <w:b/>
          <w:bCs/>
          <w:color w:val="auto"/>
          <w:sz w:val="30"/>
          <w:szCs w:val="30"/>
        </w:rPr>
        <w:br w:type="page"/>
      </w:r>
    </w:p>
    <w:p w14:paraId="54F3070E">
      <w:pPr>
        <w:rPr>
          <w:rFonts w:ascii="华文仿宋" w:hAnsi="华文仿宋" w:eastAsia="华文仿宋" w:cs="华文仿宋"/>
          <w:b/>
          <w:bCs/>
          <w:color w:val="auto"/>
          <w:sz w:val="30"/>
          <w:szCs w:val="30"/>
        </w:rPr>
        <w:sectPr>
          <w:footerReference r:id="rId3" w:type="default"/>
          <w:pgSz w:w="16838" w:h="11906" w:orient="landscape"/>
          <w:pgMar w:top="1800" w:right="1440" w:bottom="1800" w:left="1440" w:header="851" w:footer="992" w:gutter="0"/>
          <w:cols w:space="425" w:num="1"/>
          <w:docGrid w:type="lines" w:linePitch="326" w:charSpace="0"/>
        </w:sectPr>
      </w:pPr>
    </w:p>
    <w:p w14:paraId="479F1B89">
      <w:pPr>
        <w:spacing w:after="120"/>
        <w:jc w:val="center"/>
        <w:rPr>
          <w:b/>
          <w:bCs/>
          <w:color w:val="auto"/>
          <w:sz w:val="36"/>
          <w:szCs w:val="36"/>
        </w:rPr>
      </w:pPr>
      <w:r>
        <w:rPr>
          <w:rFonts w:hint="eastAsia"/>
          <w:b/>
          <w:bCs/>
          <w:color w:val="auto"/>
          <w:sz w:val="36"/>
          <w:szCs w:val="36"/>
          <w:lang w:bidi="ar"/>
        </w:rPr>
        <w:t>本项目商务要求</w:t>
      </w:r>
    </w:p>
    <w:tbl>
      <w:tblPr>
        <w:tblStyle w:val="8"/>
        <w:tblW w:w="12531" w:type="dxa"/>
        <w:jc w:val="center"/>
        <w:tblLayout w:type="fixed"/>
        <w:tblCellMar>
          <w:top w:w="0" w:type="dxa"/>
          <w:left w:w="0" w:type="dxa"/>
          <w:bottom w:w="0" w:type="dxa"/>
          <w:right w:w="0" w:type="dxa"/>
        </w:tblCellMar>
      </w:tblPr>
      <w:tblGrid>
        <w:gridCol w:w="913"/>
        <w:gridCol w:w="1923"/>
        <w:gridCol w:w="9695"/>
      </w:tblGrid>
      <w:tr w14:paraId="0DFE059F">
        <w:tblPrEx>
          <w:tblCellMar>
            <w:top w:w="0" w:type="dxa"/>
            <w:left w:w="0" w:type="dxa"/>
            <w:bottom w:w="0" w:type="dxa"/>
            <w:right w:w="0" w:type="dxa"/>
          </w:tblCellMar>
        </w:tblPrEx>
        <w:trPr>
          <w:trHeight w:val="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44FD16A9">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序号</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275EAB24">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条款</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24EAA489">
            <w:pPr>
              <w:spacing w:line="400" w:lineRule="exact"/>
              <w:ind w:firstLine="480" w:firstLineChars="20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要求</w:t>
            </w:r>
          </w:p>
        </w:tc>
      </w:tr>
      <w:tr w14:paraId="138C441E">
        <w:tblPrEx>
          <w:tblCellMar>
            <w:top w:w="0" w:type="dxa"/>
            <w:left w:w="0" w:type="dxa"/>
            <w:bottom w:w="0" w:type="dxa"/>
            <w:right w:w="0" w:type="dxa"/>
          </w:tblCellMar>
        </w:tblPrEx>
        <w:trPr>
          <w:trHeight w:val="4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C74E707">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01FCECE3">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报价及其他要求</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777B1275">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rPr>
              <w:t>要求</w:t>
            </w:r>
            <w:r>
              <w:rPr>
                <w:rFonts w:hint="eastAsia" w:cs="宋体"/>
                <w:color w:val="auto"/>
                <w:szCs w:val="24"/>
                <w:highlight w:val="none"/>
                <w:lang w:val="en-US" w:eastAsia="zh-CN"/>
              </w:rPr>
              <w:t>提供的</w:t>
            </w:r>
            <w:r>
              <w:rPr>
                <w:rFonts w:hint="eastAsia" w:ascii="宋体" w:hAnsi="宋体" w:eastAsia="宋体" w:cs="宋体"/>
                <w:color w:val="auto"/>
                <w:szCs w:val="24"/>
                <w:highlight w:val="none"/>
                <w:lang w:val="en-US" w:eastAsia="zh-CN"/>
              </w:rPr>
              <w:t>网络专线租赁服务设备</w:t>
            </w:r>
            <w:r>
              <w:rPr>
                <w:rFonts w:hint="eastAsia" w:ascii="宋体" w:hAnsi="宋体" w:eastAsia="宋体" w:cs="宋体"/>
                <w:color w:val="auto"/>
                <w:szCs w:val="24"/>
                <w:highlight w:val="none"/>
              </w:rPr>
              <w:t>是全新的、合格的、满足本项目技术需求及要求的。所有零部件、配件必须是未经使用的全新的并符合国家有关质量安全标准的产品。</w:t>
            </w:r>
          </w:p>
          <w:p w14:paraId="3B5D171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2.本次报价须为人民币报价，</w:t>
            </w:r>
            <w:r>
              <w:rPr>
                <w:rFonts w:hint="eastAsia" w:ascii="宋体" w:hAnsi="宋体" w:eastAsia="宋体" w:cs="宋体"/>
                <w:color w:val="auto"/>
                <w:highlight w:val="none"/>
                <w:lang w:val="en-US" w:eastAsia="zh-CN"/>
              </w:rPr>
              <w:t>包含满足本次</w:t>
            </w:r>
            <w:r>
              <w:rPr>
                <w:rFonts w:hint="eastAsia" w:cs="宋体"/>
                <w:color w:val="auto"/>
                <w:highlight w:val="none"/>
                <w:lang w:val="en-US" w:eastAsia="zh-CN"/>
              </w:rPr>
              <w:t>响应</w:t>
            </w:r>
            <w:r>
              <w:rPr>
                <w:rFonts w:hint="eastAsia" w:ascii="宋体" w:hAnsi="宋体" w:eastAsia="宋体" w:cs="宋体"/>
                <w:color w:val="auto"/>
                <w:highlight w:val="none"/>
                <w:lang w:val="en-US" w:eastAsia="zh-CN"/>
              </w:rPr>
              <w:t>全部采购需求所应提供的服务</w:t>
            </w:r>
            <w:r>
              <w:rPr>
                <w:rFonts w:hint="eastAsia" w:ascii="宋体" w:hAnsi="宋体" w:eastAsia="宋体" w:cs="宋体"/>
                <w:color w:val="auto"/>
                <w:szCs w:val="24"/>
                <w:highlight w:val="none"/>
                <w:lang w:bidi="ar"/>
              </w:rPr>
              <w:t>：</w:t>
            </w:r>
            <w:r>
              <w:rPr>
                <w:rFonts w:hint="eastAsia" w:ascii="宋体" w:hAnsi="宋体" w:eastAsia="宋体" w:cs="宋体"/>
                <w:color w:val="auto"/>
                <w:highlight w:val="none"/>
                <w:lang w:val="en-US" w:eastAsia="zh-CN"/>
              </w:rPr>
              <w:t>含服务</w:t>
            </w:r>
            <w:r>
              <w:rPr>
                <w:rFonts w:hint="eastAsia" w:cs="宋体"/>
                <w:color w:val="auto"/>
                <w:highlight w:val="none"/>
                <w:lang w:val="en-US" w:eastAsia="zh-CN"/>
              </w:rPr>
              <w:t>价款</w:t>
            </w:r>
            <w:r>
              <w:rPr>
                <w:rFonts w:hint="eastAsia" w:ascii="宋体" w:hAnsi="宋体" w:eastAsia="宋体" w:cs="宋体"/>
                <w:color w:val="auto"/>
                <w:highlight w:val="none"/>
                <w:lang w:val="en-US" w:eastAsia="zh-CN"/>
              </w:rPr>
              <w:t>、完成本项目服务工作所需的人员成本、</w:t>
            </w:r>
            <w:r>
              <w:rPr>
                <w:rFonts w:hint="eastAsia" w:ascii="宋体" w:hAnsi="宋体" w:eastAsia="宋体" w:cs="宋体"/>
                <w:color w:val="auto"/>
                <w:szCs w:val="24"/>
                <w:highlight w:val="none"/>
                <w:lang w:bidi="ar"/>
              </w:rPr>
              <w:t>标准附件、备品备件、专用工具、辅材、专用工具、安装调试</w:t>
            </w:r>
            <w:r>
              <w:rPr>
                <w:rFonts w:hint="eastAsia" w:ascii="宋体" w:hAnsi="宋体" w:eastAsia="宋体" w:cs="宋体"/>
                <w:color w:val="auto"/>
                <w:highlight w:val="none"/>
                <w:lang w:bidi="ar"/>
              </w:rPr>
              <w:t>（包括但不限于各类硬件、系统等的安装、试运行等费用）</w:t>
            </w:r>
            <w:r>
              <w:rPr>
                <w:rFonts w:hint="eastAsia" w:ascii="宋体" w:hAnsi="宋体" w:eastAsia="宋体" w:cs="宋体"/>
                <w:color w:val="auto"/>
                <w:szCs w:val="24"/>
                <w:highlight w:val="none"/>
                <w:lang w:bidi="ar"/>
              </w:rPr>
              <w:t>、包装、运输、装卸、保险费、各类税费、产品检测、检验费、验收费、产品质保期内维护费、技术培训费</w:t>
            </w:r>
            <w:r>
              <w:rPr>
                <w:rFonts w:hint="eastAsia" w:ascii="宋体" w:hAnsi="宋体" w:eastAsia="宋体" w:cs="宋体"/>
                <w:color w:val="auto"/>
                <w:highlight w:val="none"/>
                <w:lang w:bidi="ar"/>
              </w:rPr>
              <w:t>（包括但不限于场地费、教材费用等）</w:t>
            </w:r>
            <w:r>
              <w:rPr>
                <w:rFonts w:hint="eastAsia" w:ascii="宋体" w:hAnsi="宋体" w:eastAsia="宋体" w:cs="宋体"/>
                <w:color w:val="auto"/>
                <w:szCs w:val="24"/>
                <w:highlight w:val="none"/>
                <w:lang w:bidi="ar"/>
              </w:rPr>
              <w:t>、技术资料及其它与本项目有关的未列明的一切费用。对于本文件中未列明，而供应商认为必需的费用也需列入总报价。在合同实施时，采购人将不予支付成交供应商没有列入的项目费用，并认为此项目的费用已包括在响应总报价中。</w:t>
            </w:r>
          </w:p>
        </w:tc>
      </w:tr>
      <w:tr w14:paraId="64346FEB">
        <w:tblPrEx>
          <w:tblCellMar>
            <w:top w:w="0" w:type="dxa"/>
            <w:left w:w="0" w:type="dxa"/>
            <w:bottom w:w="0" w:type="dxa"/>
            <w:right w:w="0" w:type="dxa"/>
          </w:tblCellMar>
        </w:tblPrEx>
        <w:trPr>
          <w:trHeight w:val="65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B476F0A">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4B1CAEB2">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合同签订日期</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71D1EEA2">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成交通知书发出后25个日历日内。</w:t>
            </w:r>
          </w:p>
        </w:tc>
      </w:tr>
      <w:tr w14:paraId="316D7065">
        <w:tblPrEx>
          <w:tblCellMar>
            <w:top w:w="0" w:type="dxa"/>
            <w:left w:w="0" w:type="dxa"/>
            <w:bottom w:w="0" w:type="dxa"/>
            <w:right w:w="0" w:type="dxa"/>
          </w:tblCellMar>
        </w:tblPrEx>
        <w:trPr>
          <w:trHeight w:val="641"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68B8717">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3</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37688E4E">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bidi="ar"/>
              </w:rPr>
              <w:t>服务交付</w:t>
            </w:r>
            <w:r>
              <w:rPr>
                <w:rFonts w:hint="eastAsia" w:ascii="宋体" w:hAnsi="宋体" w:eastAsia="宋体" w:cs="宋体"/>
                <w:color w:val="auto"/>
                <w:szCs w:val="24"/>
                <w:highlight w:val="none"/>
                <w:lang w:bidi="ar"/>
              </w:rPr>
              <w:t>时间</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38B8ECF2">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成交供应商接到采购人通知供货后</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个工作日内交付。</w:t>
            </w:r>
          </w:p>
        </w:tc>
      </w:tr>
      <w:tr w14:paraId="066F1D36">
        <w:tblPrEx>
          <w:tblCellMar>
            <w:top w:w="0" w:type="dxa"/>
            <w:left w:w="0" w:type="dxa"/>
            <w:bottom w:w="0" w:type="dxa"/>
            <w:right w:w="0" w:type="dxa"/>
          </w:tblCellMar>
        </w:tblPrEx>
        <w:trPr>
          <w:trHeight w:val="80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677260C5">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4</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78BA81C6">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及</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51D98D74">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3年，自合同签订之日起开始计算</w:t>
            </w:r>
            <w:r>
              <w:rPr>
                <w:rFonts w:hint="eastAsia" w:ascii="宋体" w:hAnsi="宋体" w:eastAsia="宋体" w:cs="宋体"/>
                <w:color w:val="auto"/>
                <w:szCs w:val="24"/>
                <w:highlight w:val="none"/>
              </w:rPr>
              <w:t>。</w:t>
            </w:r>
          </w:p>
          <w:p w14:paraId="2982A327">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地点：广西百色市采购人指定地点。</w:t>
            </w:r>
          </w:p>
        </w:tc>
      </w:tr>
      <w:tr w14:paraId="469EE82F">
        <w:tblPrEx>
          <w:tblCellMar>
            <w:top w:w="0" w:type="dxa"/>
            <w:left w:w="0" w:type="dxa"/>
            <w:bottom w:w="0" w:type="dxa"/>
            <w:right w:w="0" w:type="dxa"/>
          </w:tblCellMar>
        </w:tblPrEx>
        <w:trPr>
          <w:trHeight w:val="1074"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59B76E98">
            <w:pPr>
              <w:spacing w:line="400" w:lineRule="exact"/>
              <w:jc w:val="center"/>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5</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4BCC5EA9">
            <w:pPr>
              <w:spacing w:line="40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rPr>
              <w:t>设备质保</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AC9D489">
            <w:pPr>
              <w:spacing w:line="400" w:lineRule="exact"/>
              <w:rPr>
                <w:rFonts w:hint="eastAsia" w:ascii="宋体" w:hAnsi="宋体" w:eastAsia="宋体" w:cs="宋体"/>
                <w:color w:val="auto"/>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在专线租赁服务期内，提供设备的免费维修、更换服务，若设备出现故障，</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须在2小时内响应，24小时内完成维修或更换，确保设备正常运行。</w:t>
            </w:r>
          </w:p>
        </w:tc>
      </w:tr>
      <w:tr w14:paraId="1589D564">
        <w:tblPrEx>
          <w:tblCellMar>
            <w:top w:w="0" w:type="dxa"/>
            <w:left w:w="0" w:type="dxa"/>
            <w:bottom w:w="0" w:type="dxa"/>
            <w:right w:w="0" w:type="dxa"/>
          </w:tblCellMar>
        </w:tblPrEx>
        <w:trPr>
          <w:trHeight w:val="1674"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0C2AAC06">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6</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19F69EF5">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验收标准</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7EBE0C23">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1.验收要求：</w:t>
            </w:r>
          </w:p>
          <w:p w14:paraId="16F41A5C">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（1）要求履约过程中所有服务行为、成果文件等均不涉及任何法律纠纷。</w:t>
            </w:r>
          </w:p>
          <w:p w14:paraId="06D5D86C">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时由采购人对照采购需求的技术指标全面核对检验，如不符合采购需求的技术需求或提供虚假承诺的，采购人有权拒绝验收，成交供应商承担所有责任和费用，采购人有权解除合同并保留进一步追究责任的权利。</w:t>
            </w:r>
          </w:p>
          <w:p w14:paraId="765E2F23">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（3）本项目须严格执行国家、行业、地方相关验收标准及规范及采购需求和合同要求。</w:t>
            </w:r>
          </w:p>
          <w:p w14:paraId="03C0B33C">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2.验收标准：</w:t>
            </w:r>
          </w:p>
          <w:p w14:paraId="030E506D">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1</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须满足现行国家、行业及地方标准、规范。如具体采购需求与标准、规范不一致的，高于标准、规范的，按具体采购需求执行，低于标准、规范的，按标准、规范执行。</w:t>
            </w:r>
          </w:p>
          <w:p w14:paraId="7709DF55">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2</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未尽事宜，按《关于印发广西壮族自治区政府采购项目履约验收管理办法的通知》（桂财采〔2015〕22号）执行。</w:t>
            </w:r>
          </w:p>
        </w:tc>
      </w:tr>
      <w:tr w14:paraId="61EA8183">
        <w:tblPrEx>
          <w:tblCellMar>
            <w:top w:w="0" w:type="dxa"/>
            <w:left w:w="0" w:type="dxa"/>
            <w:bottom w:w="0" w:type="dxa"/>
            <w:right w:w="0" w:type="dxa"/>
          </w:tblCellMar>
        </w:tblPrEx>
        <w:trPr>
          <w:trHeight w:val="0"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10D010F">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7</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1A635099">
            <w:pPr>
              <w:spacing w:line="4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lang w:bidi="ar"/>
              </w:rPr>
              <w:t>售后服务要求</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5C770613">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1）在租用期限内，成交供应商应严格遵守《中华人民共和国电信条例》，维护双方权益，应按信息产业部颁布的&lt;电信服务标准&gt;的电路质量要求，保证招标人租用线路畅通及安全使用。</w:t>
            </w:r>
          </w:p>
          <w:p w14:paraId="692EA3CD">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2）供应商在电路租用期间应提供免费传输知识培训，指导采购人技术人员做好日常维护。</w:t>
            </w:r>
          </w:p>
          <w:p w14:paraId="79A869E4">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3）提供售后服务承诺书，提供售后服务机构及联系人名单，列明详细地址及联系方式。</w:t>
            </w:r>
          </w:p>
          <w:p w14:paraId="683FE33C">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4）提供7×24小时热线电话服务,并提供多个故障申告途径及绿色通道，做到全方位响应，并指定专人负责上门受理调试日常维护及平时协助甲方维护检测等工作；提供365×24小时的售后服务响应。</w:t>
            </w:r>
          </w:p>
          <w:p w14:paraId="4C6E829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5）保证网络的畅通，负责运营商到用户单位主干光缆所有设备的免费运行维护，如光端机、转换器等设备，如果主干网络出现问题，必须在接到报告后4小时内响应，8个小时内到达现场排除故障，直到网络恢复正常。如设备故障在8小时内无法解决的应免费提供备件，确保网络正常运行,问题解决时间要求不超过24个小时。</w:t>
            </w:r>
          </w:p>
          <w:p w14:paraId="6BB04E9F">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6）每个季度对网络进行一次巡检，检查网络设备和主干光缆的运行情况，提交巡检报告。</w:t>
            </w:r>
          </w:p>
          <w:p w14:paraId="41E180BF">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7）当用户网络需要扩展或升级时，负责免费提供相应解决方案等技术支持；因成交人施工、网络割接等原因影响网络运行的，应当提前一天通知用户，并提供相应的技术解决方案，尽快消除故障、恢复通信线路。</w:t>
            </w:r>
          </w:p>
        </w:tc>
      </w:tr>
      <w:tr w14:paraId="7EFC0AFA">
        <w:tblPrEx>
          <w:tblCellMar>
            <w:top w:w="0" w:type="dxa"/>
            <w:left w:w="0" w:type="dxa"/>
            <w:bottom w:w="0" w:type="dxa"/>
            <w:right w:w="0" w:type="dxa"/>
          </w:tblCellMar>
        </w:tblPrEx>
        <w:trPr>
          <w:trHeight w:val="140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102FB250">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8</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4503A09C">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知识产权</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260432D9">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采购人在中华人民共和国境内使用供应商提供的产品及服务时免受第三方提出的侵犯其专利权或其它知识产权的起诉。如果第三方提出侵权指控，成交供应商应承担由此而引起的一切法律责任和费用。</w:t>
            </w:r>
          </w:p>
        </w:tc>
      </w:tr>
      <w:tr w14:paraId="70264C60">
        <w:tblPrEx>
          <w:tblCellMar>
            <w:top w:w="0" w:type="dxa"/>
            <w:left w:w="0" w:type="dxa"/>
            <w:bottom w:w="0" w:type="dxa"/>
            <w:right w:w="0" w:type="dxa"/>
          </w:tblCellMar>
        </w:tblPrEx>
        <w:trPr>
          <w:trHeight w:val="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70AC9B20">
            <w:pPr>
              <w:spacing w:line="400" w:lineRule="exact"/>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val="en-US" w:eastAsia="zh-CN" w:bidi="ar"/>
              </w:rPr>
              <w:t>9</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61F438F7">
            <w:pPr>
              <w:spacing w:line="400" w:lineRule="exact"/>
              <w:jc w:val="center"/>
              <w:rPr>
                <w:rFonts w:hint="eastAsia" w:ascii="宋体" w:hAnsi="宋体" w:eastAsia="宋体" w:cs="宋体"/>
                <w:color w:val="auto"/>
                <w:szCs w:val="24"/>
                <w:highlight w:val="none"/>
                <w:shd w:val="pct10" w:color="auto" w:fill="FFFFFF"/>
              </w:rPr>
            </w:pPr>
            <w:r>
              <w:rPr>
                <w:rFonts w:hint="eastAsia" w:ascii="宋体" w:hAnsi="宋体" w:eastAsia="宋体" w:cs="宋体"/>
                <w:color w:val="auto"/>
                <w:szCs w:val="24"/>
                <w:highlight w:val="none"/>
                <w:lang w:bidi="ar"/>
              </w:rPr>
              <w:t>付款方式、时间及条件</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9EBC4F9">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lang w:val="en-US" w:eastAsia="zh-CN" w:bidi="ar"/>
              </w:rPr>
              <w:t>成交供应商每期提供服务完毕经采购人验收合格无异议后</w:t>
            </w:r>
            <w:r>
              <w:rPr>
                <w:rFonts w:hint="eastAsia" w:ascii="宋体" w:hAnsi="宋体" w:eastAsia="宋体" w:cs="宋体"/>
                <w:color w:val="auto"/>
                <w:szCs w:val="24"/>
                <w:highlight w:val="none"/>
                <w:lang w:bidi="ar"/>
              </w:rPr>
              <w:t>，采购人签署项目验收书；</w:t>
            </w:r>
          </w:p>
          <w:p w14:paraId="55AC6BB9">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2．</w:t>
            </w:r>
            <w:r>
              <w:rPr>
                <w:rFonts w:hint="eastAsia" w:ascii="宋体" w:hAnsi="宋体" w:eastAsia="宋体" w:cs="宋体"/>
                <w:color w:val="auto"/>
                <w:szCs w:val="24"/>
                <w:highlight w:val="none"/>
                <w:lang w:val="en-US" w:eastAsia="zh-CN" w:bidi="ar"/>
              </w:rPr>
              <w:t>成交</w:t>
            </w:r>
            <w:r>
              <w:rPr>
                <w:rFonts w:hint="eastAsia" w:ascii="宋体" w:hAnsi="宋体" w:eastAsia="宋体" w:cs="宋体"/>
                <w:color w:val="auto"/>
                <w:szCs w:val="24"/>
                <w:highlight w:val="none"/>
                <w:lang w:bidi="ar"/>
              </w:rPr>
              <w:t>供应商向采购人开具</w:t>
            </w:r>
            <w:r>
              <w:rPr>
                <w:rFonts w:hint="eastAsia" w:ascii="宋体" w:hAnsi="宋体" w:eastAsia="宋体" w:cs="宋体"/>
                <w:color w:val="auto"/>
                <w:szCs w:val="24"/>
                <w:highlight w:val="none"/>
                <w:lang w:val="en-US" w:eastAsia="zh-CN" w:bidi="ar"/>
              </w:rPr>
              <w:t>每期</w:t>
            </w:r>
            <w:r>
              <w:rPr>
                <w:rFonts w:hint="eastAsia" w:ascii="宋体" w:hAnsi="宋体" w:eastAsia="宋体" w:cs="宋体"/>
                <w:color w:val="auto"/>
                <w:szCs w:val="24"/>
                <w:highlight w:val="none"/>
                <w:lang w:bidi="ar"/>
              </w:rPr>
              <w:t>服务费用的合法增值税专用发票和验收书向采购人提出付款申请；</w:t>
            </w:r>
          </w:p>
          <w:p w14:paraId="502B83F3">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3．票据要求：成交供应商必须按照采购人要求提供真实、有效、合法的增值税专用发票。一旦发现成交供应商提供虚假发票，除须向采购人补开合法发票外，须赔偿采购人发票票面金额三倍的违约金，且采购人有权终止合同，成交供应商不得提出异议，因终止合同而产生的一切损失均由成交供应商承担；</w:t>
            </w:r>
          </w:p>
          <w:p w14:paraId="597CE925">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4．付款方式：服务费用按三年分期支付，每年支付一次，每期费用为合同总金额的1/3。签订合同后乙方向甲方开具12个月服务费用的合法增值税专用发票，甲方收到发票后30日进行支付。</w:t>
            </w:r>
          </w:p>
          <w:p w14:paraId="75A9B962">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5．本合同使用货币币制如未作特别说明均为人民币。</w:t>
            </w:r>
          </w:p>
        </w:tc>
      </w:tr>
      <w:tr w14:paraId="71F7F61B">
        <w:tblPrEx>
          <w:tblCellMar>
            <w:top w:w="0" w:type="dxa"/>
            <w:left w:w="0" w:type="dxa"/>
            <w:bottom w:w="0" w:type="dxa"/>
            <w:right w:w="0" w:type="dxa"/>
          </w:tblCellMar>
        </w:tblPrEx>
        <w:trPr>
          <w:trHeight w:val="517"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52A03CFC">
            <w:pPr>
              <w:spacing w:line="40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bidi="ar"/>
              </w:rPr>
              <w:t>10</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33A4ED47">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履约保证金</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79B1D75">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1</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履约保证金金额：</w:t>
            </w:r>
            <w:r>
              <w:rPr>
                <w:rFonts w:hint="eastAsia" w:ascii="宋体" w:hAnsi="宋体" w:eastAsia="宋体" w:cs="宋体"/>
                <w:b w:val="0"/>
                <w:bCs w:val="0"/>
                <w:color w:val="auto"/>
                <w:szCs w:val="24"/>
                <w:highlight w:val="none"/>
                <w:u w:val="single"/>
                <w:lang w:bidi="ar"/>
              </w:rPr>
              <w:t>按成交总金额的 5 %。</w:t>
            </w:r>
            <w:r>
              <w:rPr>
                <w:rFonts w:hint="eastAsia" w:ascii="宋体" w:hAnsi="宋体" w:eastAsia="宋体" w:cs="宋体"/>
                <w:b w:val="0"/>
                <w:bCs w:val="0"/>
                <w:color w:val="auto"/>
                <w:szCs w:val="24"/>
                <w:highlight w:val="none"/>
                <w:lang w:bidi="ar"/>
              </w:rPr>
              <w:t>（对中小企业收取的履约保证金数额为成交总金额的2%）</w:t>
            </w:r>
          </w:p>
          <w:p w14:paraId="01E255B1">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2</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否则，不予办理签订合同。履约保证金提交时必须备注项目名称、项目编号（合同编号）。如：XXXXX项目履约保证金，项目编号/合同编号XXXXX-XXXXXX。</w:t>
            </w:r>
          </w:p>
          <w:p w14:paraId="4595CBC2">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3</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签订合同后，如成交供应商出现不按双方签订的合同规定履约，则其全部履约保证金不予退还，履约保证金不足以赔偿损失的，按实际损失赔偿。</w:t>
            </w:r>
          </w:p>
          <w:p w14:paraId="28B6E584">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4</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成交供应商按合同约定履约且无违约行为，在服务期满后，向采购人提交合格的合同验收书，填写履约保证金退付意见等材料并经采购人确认后，采购人在5个工作日内无息退还履约保证金。</w:t>
            </w:r>
          </w:p>
          <w:p w14:paraId="435F02F7">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5</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在履约保证金退还日期前，若成交供应商的开户名称、开户银行、账号有变动的，请以书面形式通知采购人，否则由此产生的后果由成交供应商自负。</w:t>
            </w:r>
          </w:p>
          <w:p w14:paraId="2C275C1E">
            <w:pPr>
              <w:spacing w:line="400" w:lineRule="exact"/>
              <w:ind w:firstLine="480" w:firstLineChars="200"/>
              <w:rPr>
                <w:rFonts w:hint="eastAsia" w:ascii="宋体" w:hAnsi="宋体" w:eastAsia="宋体" w:cs="宋体"/>
                <w:color w:val="auto"/>
                <w:szCs w:val="24"/>
                <w:highlight w:val="none"/>
                <w:lang w:bidi="ar"/>
              </w:rPr>
            </w:pPr>
          </w:p>
        </w:tc>
      </w:tr>
      <w:tr w14:paraId="4D09A8C3">
        <w:tblPrEx>
          <w:tblCellMar>
            <w:top w:w="0" w:type="dxa"/>
            <w:left w:w="0" w:type="dxa"/>
            <w:bottom w:w="0" w:type="dxa"/>
            <w:right w:w="0" w:type="dxa"/>
          </w:tblCellMar>
        </w:tblPrEx>
        <w:trPr>
          <w:trHeight w:val="1584" w:hRule="atLeast"/>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14:paraId="505DE4B7">
            <w:pPr>
              <w:spacing w:line="400" w:lineRule="exact"/>
              <w:jc w:val="cente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bidi="ar"/>
              </w:rPr>
              <w:t>11</w:t>
            </w:r>
          </w:p>
        </w:tc>
        <w:tc>
          <w:tcPr>
            <w:tcW w:w="1923" w:type="dxa"/>
            <w:tcBorders>
              <w:top w:val="single" w:color="auto" w:sz="4" w:space="0"/>
              <w:left w:val="single" w:color="auto" w:sz="4" w:space="0"/>
              <w:bottom w:val="single" w:color="auto" w:sz="4" w:space="0"/>
              <w:right w:val="single" w:color="auto" w:sz="4" w:space="0"/>
            </w:tcBorders>
            <w:shd w:val="clear" w:color="auto" w:fill="auto"/>
            <w:vAlign w:val="center"/>
          </w:tcPr>
          <w:p w14:paraId="18E8C022">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文件上传要求</w:t>
            </w:r>
          </w:p>
        </w:tc>
        <w:tc>
          <w:tcPr>
            <w:tcW w:w="9695" w:type="dxa"/>
            <w:tcBorders>
              <w:top w:val="single" w:color="auto" w:sz="4" w:space="0"/>
              <w:left w:val="single" w:color="auto" w:sz="4" w:space="0"/>
              <w:bottom w:val="single" w:color="auto" w:sz="4" w:space="0"/>
              <w:right w:val="single" w:color="auto" w:sz="4" w:space="0"/>
            </w:tcBorders>
            <w:shd w:val="clear" w:color="auto" w:fill="auto"/>
            <w:vAlign w:val="center"/>
          </w:tcPr>
          <w:p w14:paraId="4AB5D45D">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供应商</w:t>
            </w:r>
            <w:r>
              <w:rPr>
                <w:rFonts w:hint="eastAsia" w:ascii="宋体" w:hAnsi="宋体" w:eastAsia="宋体" w:cs="宋体"/>
                <w:b/>
                <w:bCs/>
                <w:color w:val="FF0000"/>
                <w:szCs w:val="24"/>
                <w:highlight w:val="none"/>
                <w:lang w:eastAsia="zh-CN" w:bidi="ar"/>
              </w:rPr>
              <w:t>必须</w:t>
            </w:r>
            <w:r>
              <w:rPr>
                <w:rFonts w:hint="eastAsia" w:ascii="宋体" w:hAnsi="宋体" w:eastAsia="宋体" w:cs="宋体"/>
                <w:b/>
                <w:bCs/>
                <w:color w:val="FF0000"/>
                <w:szCs w:val="24"/>
                <w:highlight w:val="none"/>
                <w:lang w:bidi="ar"/>
              </w:rPr>
              <w:t>上传以下材料</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u w:val="double"/>
                <w:lang w:eastAsia="zh-CN" w:bidi="ar"/>
              </w:rPr>
              <w:t>所提供材料必须加盖</w:t>
            </w:r>
            <w:r>
              <w:rPr>
                <w:rFonts w:hint="eastAsia" w:cs="宋体"/>
                <w:b/>
                <w:bCs/>
                <w:color w:val="FF0000"/>
                <w:szCs w:val="24"/>
                <w:highlight w:val="none"/>
                <w:u w:val="double"/>
                <w:lang w:val="en-US" w:eastAsia="zh-CN" w:bidi="ar"/>
              </w:rPr>
              <w:t>供应商</w:t>
            </w:r>
            <w:r>
              <w:rPr>
                <w:rFonts w:hint="eastAsia" w:ascii="宋体" w:hAnsi="宋体" w:eastAsia="宋体" w:cs="宋体"/>
                <w:b/>
                <w:bCs/>
                <w:color w:val="FF0000"/>
                <w:szCs w:val="24"/>
                <w:highlight w:val="none"/>
                <w:u w:val="double"/>
                <w:lang w:bidi="ar"/>
              </w:rPr>
              <w:t>公章</w:t>
            </w:r>
            <w:r>
              <w:rPr>
                <w:rFonts w:hint="eastAsia" w:ascii="宋体" w:hAnsi="宋体" w:eastAsia="宋体" w:cs="宋体"/>
                <w:b/>
                <w:bCs/>
                <w:color w:val="FF0000"/>
                <w:szCs w:val="24"/>
                <w:highlight w:val="none"/>
                <w:lang w:eastAsia="zh-CN" w:bidi="ar"/>
              </w:rPr>
              <w:t>，未按要求提供的按无效响应处理：</w:t>
            </w:r>
          </w:p>
          <w:p w14:paraId="13817D6B">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（1）项目报价表</w:t>
            </w:r>
            <w:r>
              <w:rPr>
                <w:rFonts w:hint="eastAsia" w:ascii="宋体" w:hAnsi="宋体" w:eastAsia="宋体" w:cs="宋体"/>
                <w:b/>
                <w:bCs/>
                <w:color w:val="FF0000"/>
                <w:szCs w:val="24"/>
                <w:highlight w:val="none"/>
                <w:lang w:eastAsia="zh-CN" w:bidi="ar"/>
              </w:rPr>
              <w:t>，表中响应</w:t>
            </w:r>
            <w:r>
              <w:rPr>
                <w:rFonts w:hint="eastAsia" w:cs="宋体"/>
                <w:b/>
                <w:bCs/>
                <w:color w:val="FF0000"/>
                <w:szCs w:val="24"/>
                <w:highlight w:val="none"/>
                <w:lang w:val="en-US" w:eastAsia="zh-CN" w:bidi="ar"/>
              </w:rPr>
              <w:t>服务</w:t>
            </w:r>
            <w:r>
              <w:rPr>
                <w:rFonts w:hint="eastAsia" w:ascii="宋体" w:hAnsi="宋体" w:eastAsia="宋体" w:cs="宋体"/>
                <w:b/>
                <w:bCs/>
                <w:color w:val="FF0000"/>
                <w:szCs w:val="24"/>
                <w:highlight w:val="none"/>
                <w:lang w:eastAsia="zh-CN" w:bidi="ar"/>
              </w:rPr>
              <w:t>技术参数必须如实填写完整；</w:t>
            </w:r>
          </w:p>
          <w:p w14:paraId="436CFA1D">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（2）商务要求响应表</w:t>
            </w:r>
            <w:r>
              <w:rPr>
                <w:rFonts w:hint="eastAsia" w:ascii="宋体" w:hAnsi="宋体" w:eastAsia="宋体" w:cs="宋体"/>
                <w:b/>
                <w:bCs/>
                <w:color w:val="FF0000"/>
                <w:szCs w:val="24"/>
                <w:highlight w:val="none"/>
                <w:lang w:eastAsia="zh-CN" w:bidi="ar"/>
              </w:rPr>
              <w:t>；</w:t>
            </w:r>
          </w:p>
          <w:p w14:paraId="7727697B">
            <w:pPr>
              <w:spacing w:line="400" w:lineRule="exact"/>
              <w:ind w:firstLine="482" w:firstLineChars="200"/>
              <w:rPr>
                <w:rFonts w:hint="eastAsia" w:ascii="宋体" w:hAnsi="宋体" w:eastAsia="宋体" w:cs="宋体"/>
                <w:b/>
                <w:bCs/>
                <w:color w:val="FF0000"/>
                <w:szCs w:val="24"/>
                <w:highlight w:val="none"/>
                <w:lang w:bidi="ar"/>
              </w:rPr>
            </w:pPr>
            <w:r>
              <w:rPr>
                <w:rFonts w:hint="eastAsia" w:ascii="宋体" w:hAnsi="宋体" w:eastAsia="宋体" w:cs="宋体"/>
                <w:b/>
                <w:bCs/>
                <w:color w:val="FF0000"/>
                <w:szCs w:val="24"/>
                <w:highlight w:val="none"/>
                <w:lang w:bidi="ar"/>
              </w:rPr>
              <w:t>（3）营业执照复印件；</w:t>
            </w:r>
          </w:p>
          <w:p w14:paraId="56062B7F">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bidi="ar"/>
              </w:rPr>
              <w:t>（</w:t>
            </w:r>
            <w:r>
              <w:rPr>
                <w:rFonts w:hint="eastAsia" w:ascii="宋体" w:hAnsi="宋体" w:eastAsia="宋体" w:cs="宋体"/>
                <w:b/>
                <w:bCs/>
                <w:color w:val="FF0000"/>
                <w:szCs w:val="24"/>
                <w:highlight w:val="none"/>
                <w:lang w:val="en-US" w:eastAsia="zh-CN" w:bidi="ar"/>
              </w:rPr>
              <w:t>4</w:t>
            </w:r>
            <w:r>
              <w:rPr>
                <w:rFonts w:hint="eastAsia" w:ascii="宋体" w:hAnsi="宋体" w:eastAsia="宋体" w:cs="宋体"/>
                <w:b/>
                <w:bCs/>
                <w:color w:val="FF0000"/>
                <w:szCs w:val="24"/>
                <w:highlight w:val="none"/>
                <w:lang w:bidi="ar"/>
              </w:rPr>
              <w:t>）法定代表人</w:t>
            </w:r>
            <w:r>
              <w:rPr>
                <w:rFonts w:hint="eastAsia" w:cs="宋体"/>
                <w:b/>
                <w:bCs/>
                <w:color w:val="FF0000"/>
                <w:szCs w:val="24"/>
                <w:highlight w:val="none"/>
                <w:lang w:val="en-US" w:eastAsia="zh-CN" w:bidi="ar"/>
              </w:rPr>
              <w:t>或负责人</w:t>
            </w:r>
            <w:r>
              <w:rPr>
                <w:rFonts w:hint="eastAsia" w:ascii="宋体" w:hAnsi="宋体" w:eastAsia="宋体" w:cs="宋体"/>
                <w:b/>
                <w:bCs/>
                <w:color w:val="FF0000"/>
                <w:szCs w:val="24"/>
                <w:highlight w:val="none"/>
                <w:lang w:bidi="ar"/>
              </w:rPr>
              <w:t>身份证复印件</w:t>
            </w:r>
            <w:r>
              <w:rPr>
                <w:rFonts w:hint="eastAsia" w:ascii="宋体" w:hAnsi="宋体" w:eastAsia="宋体" w:cs="宋体"/>
                <w:b/>
                <w:bCs/>
                <w:color w:val="FF0000"/>
                <w:szCs w:val="24"/>
                <w:highlight w:val="none"/>
                <w:lang w:eastAsia="zh-CN" w:bidi="ar"/>
              </w:rPr>
              <w:t>；</w:t>
            </w:r>
          </w:p>
          <w:p w14:paraId="6609322C">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5</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bidi="ar"/>
              </w:rPr>
              <w:t>供应商</w:t>
            </w:r>
            <w:r>
              <w:rPr>
                <w:rFonts w:hint="eastAsia" w:ascii="宋体" w:hAnsi="宋体" w:eastAsia="宋体" w:cs="宋体"/>
                <w:b/>
                <w:bCs/>
                <w:color w:val="FF0000"/>
                <w:szCs w:val="24"/>
                <w:highlight w:val="none"/>
                <w:lang w:eastAsia="zh-CN" w:bidi="ar"/>
              </w:rPr>
              <w:t>授权</w:t>
            </w:r>
            <w:r>
              <w:rPr>
                <w:rFonts w:hint="eastAsia" w:ascii="宋体" w:hAnsi="宋体" w:eastAsia="宋体" w:cs="宋体"/>
                <w:b/>
                <w:bCs/>
                <w:color w:val="FF0000"/>
                <w:szCs w:val="24"/>
                <w:highlight w:val="none"/>
                <w:lang w:bidi="ar"/>
              </w:rPr>
              <w:t>代表参加</w:t>
            </w:r>
            <w:r>
              <w:rPr>
                <w:rFonts w:hint="eastAsia" w:ascii="宋体" w:hAnsi="宋体" w:eastAsia="宋体" w:cs="宋体"/>
                <w:b/>
                <w:bCs/>
                <w:color w:val="FF0000"/>
                <w:szCs w:val="24"/>
                <w:highlight w:val="none"/>
                <w:lang w:eastAsia="zh-CN" w:bidi="ar"/>
              </w:rPr>
              <w:t>的</w:t>
            </w:r>
            <w:r>
              <w:rPr>
                <w:rFonts w:hint="eastAsia" w:ascii="宋体" w:hAnsi="宋体" w:eastAsia="宋体" w:cs="宋体"/>
                <w:b/>
                <w:bCs/>
                <w:color w:val="FF0000"/>
                <w:szCs w:val="24"/>
                <w:highlight w:val="none"/>
                <w:lang w:bidi="ar"/>
              </w:rPr>
              <w:t>，</w:t>
            </w:r>
            <w:r>
              <w:rPr>
                <w:rFonts w:hint="eastAsia" w:ascii="宋体" w:hAnsi="宋体" w:eastAsia="宋体" w:cs="宋体"/>
                <w:b/>
                <w:bCs/>
                <w:color w:val="FF0000"/>
                <w:szCs w:val="24"/>
                <w:highlight w:val="none"/>
                <w:lang w:eastAsia="zh-CN" w:bidi="ar"/>
              </w:rPr>
              <w:t>须同时提供</w:t>
            </w:r>
            <w:r>
              <w:rPr>
                <w:rFonts w:hint="eastAsia" w:ascii="宋体" w:hAnsi="宋体" w:eastAsia="宋体" w:cs="宋体"/>
                <w:b/>
                <w:bCs/>
                <w:color w:val="FF0000"/>
                <w:szCs w:val="24"/>
                <w:highlight w:val="none"/>
                <w:lang w:bidi="ar"/>
              </w:rPr>
              <w:t>授权委托书</w:t>
            </w:r>
            <w:r>
              <w:rPr>
                <w:rFonts w:hint="eastAsia" w:ascii="宋体" w:hAnsi="宋体" w:eastAsia="宋体" w:cs="宋体"/>
                <w:b/>
                <w:bCs/>
                <w:color w:val="FF0000"/>
                <w:szCs w:val="24"/>
                <w:highlight w:val="none"/>
                <w:lang w:eastAsia="zh-CN" w:bidi="ar"/>
              </w:rPr>
              <w:t>和被授权人的</w:t>
            </w:r>
            <w:r>
              <w:rPr>
                <w:rFonts w:hint="eastAsia" w:ascii="宋体" w:hAnsi="宋体" w:eastAsia="宋体" w:cs="宋体"/>
                <w:b/>
                <w:bCs/>
                <w:color w:val="FF0000"/>
                <w:szCs w:val="24"/>
                <w:highlight w:val="none"/>
                <w:lang w:bidi="ar"/>
              </w:rPr>
              <w:t>身份证复印件</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法人报价时不需要提供授权书</w:t>
            </w:r>
            <w:r>
              <w:rPr>
                <w:rFonts w:hint="eastAsia" w:ascii="宋体" w:hAnsi="宋体" w:eastAsia="宋体" w:cs="宋体"/>
                <w:b/>
                <w:bCs/>
                <w:color w:val="FF0000"/>
                <w:szCs w:val="24"/>
                <w:highlight w:val="none"/>
                <w:lang w:eastAsia="zh-CN" w:bidi="ar"/>
              </w:rPr>
              <w:t>）。</w:t>
            </w:r>
          </w:p>
          <w:p w14:paraId="338013EA">
            <w:pPr>
              <w:spacing w:line="400" w:lineRule="exact"/>
              <w:ind w:firstLine="482" w:firstLineChars="200"/>
              <w:rPr>
                <w:rFonts w:hint="eastAsia" w:ascii="宋体" w:hAnsi="宋体" w:eastAsia="宋体" w:cs="宋体"/>
                <w:b/>
                <w:bCs/>
                <w:color w:val="FF0000"/>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6</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按要求</w:t>
            </w:r>
            <w:r>
              <w:rPr>
                <w:rFonts w:hint="eastAsia" w:ascii="宋体" w:hAnsi="宋体" w:eastAsia="宋体" w:cs="宋体"/>
                <w:b/>
                <w:bCs/>
                <w:color w:val="FF0000"/>
                <w:szCs w:val="24"/>
                <w:highlight w:val="none"/>
                <w:lang w:eastAsia="zh-CN" w:bidi="ar"/>
              </w:rPr>
              <w:t>提供</w:t>
            </w:r>
            <w:r>
              <w:rPr>
                <w:rFonts w:hint="eastAsia" w:ascii="宋体" w:hAnsi="宋体" w:eastAsia="宋体" w:cs="宋体"/>
                <w:b/>
                <w:bCs/>
                <w:color w:val="FF0000"/>
                <w:szCs w:val="24"/>
                <w:highlight w:val="none"/>
                <w:lang w:val="en-US" w:eastAsia="zh-CN" w:bidi="ar"/>
              </w:rPr>
              <w:t>相应条款</w:t>
            </w:r>
            <w:r>
              <w:rPr>
                <w:rFonts w:hint="eastAsia" w:ascii="宋体" w:hAnsi="宋体" w:eastAsia="宋体" w:cs="宋体"/>
                <w:b/>
                <w:bCs/>
                <w:color w:val="FF0000"/>
                <w:szCs w:val="24"/>
                <w:highlight w:val="none"/>
                <w:lang w:eastAsia="zh-CN" w:bidi="ar"/>
              </w:rPr>
              <w:t>产品界面截图并加盖</w:t>
            </w:r>
            <w:r>
              <w:rPr>
                <w:rFonts w:hint="eastAsia" w:cs="宋体"/>
                <w:b/>
                <w:bCs/>
                <w:color w:val="FF0000"/>
                <w:szCs w:val="24"/>
                <w:highlight w:val="none"/>
                <w:lang w:val="en-US" w:eastAsia="zh-CN" w:bidi="ar"/>
              </w:rPr>
              <w:t>供应商</w:t>
            </w:r>
            <w:r>
              <w:rPr>
                <w:rFonts w:hint="eastAsia" w:ascii="宋体" w:hAnsi="宋体" w:eastAsia="宋体" w:cs="宋体"/>
                <w:b/>
                <w:bCs/>
                <w:color w:val="FF0000"/>
                <w:szCs w:val="24"/>
                <w:highlight w:val="none"/>
                <w:lang w:eastAsia="zh-CN" w:bidi="ar"/>
              </w:rPr>
              <w:t>公章。</w:t>
            </w:r>
          </w:p>
          <w:p w14:paraId="0D010F8B">
            <w:pPr>
              <w:spacing w:line="400" w:lineRule="exact"/>
              <w:ind w:firstLine="482" w:firstLineChars="200"/>
              <w:rPr>
                <w:rFonts w:hint="eastAsia" w:ascii="宋体" w:hAnsi="宋体" w:eastAsia="宋体" w:cs="宋体"/>
                <w:b/>
                <w:bCs/>
                <w:color w:val="FF0000"/>
                <w:szCs w:val="24"/>
                <w:highlight w:val="none"/>
                <w:lang w:val="en-US" w:eastAsia="zh-CN" w:bidi="ar"/>
              </w:rPr>
            </w:pPr>
            <w:r>
              <w:rPr>
                <w:rFonts w:hint="eastAsia" w:ascii="宋体" w:hAnsi="宋体" w:eastAsia="宋体" w:cs="宋体"/>
                <w:b/>
                <w:bCs/>
                <w:color w:val="FF0000"/>
                <w:szCs w:val="24"/>
                <w:highlight w:val="none"/>
                <w:lang w:val="en-US" w:eastAsia="zh-CN" w:bidi="ar"/>
              </w:rPr>
              <w:t>注：</w:t>
            </w:r>
          </w:p>
          <w:p w14:paraId="1931057A">
            <w:pPr>
              <w:spacing w:line="400" w:lineRule="exact"/>
              <w:ind w:firstLine="482" w:firstLineChars="200"/>
              <w:rPr>
                <w:rFonts w:hint="eastAsia" w:ascii="宋体" w:hAnsi="宋体" w:eastAsia="宋体" w:cs="宋体"/>
                <w:b/>
                <w:bCs/>
                <w:color w:val="FF0000"/>
                <w:szCs w:val="24"/>
                <w:highlight w:val="none"/>
                <w:lang w:val="en-US" w:eastAsia="zh-CN" w:bidi="ar"/>
              </w:rPr>
            </w:pPr>
            <w:r>
              <w:rPr>
                <w:rFonts w:hint="eastAsia" w:ascii="宋体" w:hAnsi="宋体" w:eastAsia="宋体" w:cs="宋体"/>
                <w:b/>
                <w:bCs/>
                <w:color w:val="FF0000"/>
                <w:szCs w:val="24"/>
                <w:highlight w:val="none"/>
                <w:lang w:val="en-US" w:eastAsia="zh-CN" w:bidi="ar"/>
              </w:rPr>
              <w:t>【（1）（2）（6）】材料缺漏或负偏离按</w:t>
            </w:r>
            <w:r>
              <w:rPr>
                <w:rFonts w:hint="eastAsia" w:ascii="宋体" w:hAnsi="宋体" w:eastAsia="宋体" w:cs="宋体"/>
                <w:b/>
                <w:bCs/>
                <w:i w:val="0"/>
                <w:iCs w:val="0"/>
                <w:caps w:val="0"/>
                <w:color w:val="FF0000"/>
                <w:spacing w:val="0"/>
                <w:sz w:val="24"/>
                <w:szCs w:val="24"/>
                <w:highlight w:val="none"/>
                <w:shd w:val="clear"/>
                <w:lang w:bidi="ar"/>
              </w:rPr>
              <w:t>技术参数及商务要求审查</w:t>
            </w:r>
            <w:r>
              <w:rPr>
                <w:rFonts w:hint="eastAsia" w:ascii="宋体" w:hAnsi="宋体" w:eastAsia="宋体" w:cs="宋体"/>
                <w:b/>
                <w:bCs/>
                <w:i w:val="0"/>
                <w:iCs w:val="0"/>
                <w:caps w:val="0"/>
                <w:color w:val="FF0000"/>
                <w:spacing w:val="0"/>
                <w:sz w:val="24"/>
                <w:szCs w:val="24"/>
                <w:highlight w:val="none"/>
                <w:shd w:val="clear"/>
                <w:lang w:val="en-US" w:eastAsia="zh-CN" w:bidi="ar"/>
              </w:rPr>
              <w:t>不通过处理；</w:t>
            </w:r>
          </w:p>
          <w:p w14:paraId="4121D583">
            <w:pPr>
              <w:spacing w:line="400" w:lineRule="exact"/>
              <w:ind w:firstLine="482" w:firstLineChars="200"/>
              <w:rPr>
                <w:rFonts w:hint="eastAsia" w:ascii="宋体" w:hAnsi="宋体" w:eastAsia="宋体" w:cs="宋体"/>
                <w:b/>
                <w:bCs/>
                <w:color w:val="auto"/>
                <w:szCs w:val="24"/>
                <w:highlight w:val="none"/>
                <w:lang w:eastAsia="zh-CN" w:bidi="ar"/>
              </w:rPr>
            </w:pP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3</w:t>
            </w:r>
            <w:r>
              <w:rPr>
                <w:rFonts w:hint="eastAsia" w:ascii="宋体" w:hAnsi="宋体" w:eastAsia="宋体" w:cs="宋体"/>
                <w:b/>
                <w:bCs/>
                <w:color w:val="FF0000"/>
                <w:szCs w:val="24"/>
                <w:highlight w:val="none"/>
                <w:lang w:eastAsia="zh-CN" w:bidi="ar"/>
              </w:rPr>
              <w:t>）</w:t>
            </w:r>
            <w:r>
              <w:rPr>
                <w:rFonts w:hint="eastAsia" w:ascii="宋体" w:hAnsi="宋体" w:eastAsia="宋体" w:cs="宋体"/>
                <w:b/>
                <w:bCs/>
                <w:color w:val="FF0000"/>
                <w:szCs w:val="24"/>
                <w:highlight w:val="none"/>
                <w:lang w:val="en-US" w:eastAsia="zh-CN" w:bidi="ar"/>
              </w:rPr>
              <w:t>（4）（5）】材料缺漏按资格性审查不通过处理</w:t>
            </w:r>
            <w:r>
              <w:rPr>
                <w:rFonts w:hint="eastAsia" w:ascii="宋体" w:hAnsi="宋体" w:eastAsia="宋体" w:cs="宋体"/>
                <w:b/>
                <w:bCs/>
                <w:color w:val="FF0000"/>
                <w:szCs w:val="24"/>
                <w:highlight w:val="none"/>
                <w:lang w:eastAsia="zh-CN" w:bidi="ar"/>
              </w:rPr>
              <w:t>）。</w:t>
            </w:r>
          </w:p>
        </w:tc>
      </w:tr>
    </w:tbl>
    <w:p w14:paraId="248B618C">
      <w:pPr>
        <w:rPr>
          <w:rFonts w:ascii="华文仿宋" w:hAnsi="华文仿宋" w:eastAsia="华文仿宋" w:cs="华文仿宋"/>
          <w:b/>
          <w:bCs/>
          <w:color w:val="auto"/>
          <w:sz w:val="30"/>
          <w:szCs w:val="30"/>
        </w:rPr>
        <w:sectPr>
          <w:pgSz w:w="15840" w:h="12240" w:orient="landscape"/>
          <w:pgMar w:top="1800" w:right="1440" w:bottom="1800" w:left="1440" w:header="720" w:footer="720" w:gutter="0"/>
          <w:cols w:space="0" w:num="1"/>
          <w:docGrid w:type="lines" w:linePitch="332" w:charSpace="0"/>
        </w:sectPr>
      </w:pPr>
      <w:r>
        <w:rPr>
          <w:rFonts w:ascii="华文仿宋" w:hAnsi="华文仿宋" w:eastAsia="华文仿宋" w:cs="华文仿宋"/>
          <w:b/>
          <w:bCs/>
          <w:color w:val="auto"/>
          <w:sz w:val="30"/>
          <w:szCs w:val="30"/>
        </w:rPr>
        <w:br w:type="page"/>
      </w:r>
    </w:p>
    <w:p w14:paraId="5DC360D6">
      <w:pPr>
        <w:widowControl w:val="0"/>
        <w:spacing w:line="400" w:lineRule="exact"/>
        <w:ind w:right="1120"/>
        <w:jc w:val="center"/>
        <w:rPr>
          <w:rFonts w:hint="eastAsia" w:ascii="宋体" w:hAnsi="宋体" w:eastAsia="宋体" w:cs="宋体"/>
          <w:b/>
          <w:bCs/>
          <w:color w:val="auto"/>
          <w:sz w:val="36"/>
          <w:szCs w:val="36"/>
        </w:rPr>
      </w:pPr>
      <w:r>
        <w:rPr>
          <w:rFonts w:hint="eastAsia" w:cs="宋体"/>
          <w:b/>
          <w:bCs/>
          <w:color w:val="auto"/>
          <w:kern w:val="2"/>
          <w:sz w:val="36"/>
          <w:szCs w:val="36"/>
          <w:lang w:val="en-US" w:eastAsia="zh-CN" w:bidi="ar"/>
        </w:rPr>
        <w:t>一、</w:t>
      </w:r>
      <w:r>
        <w:rPr>
          <w:rFonts w:hint="eastAsia" w:ascii="宋体" w:hAnsi="宋体" w:eastAsia="宋体" w:cs="宋体"/>
          <w:b/>
          <w:bCs/>
          <w:color w:val="auto"/>
          <w:kern w:val="2"/>
          <w:sz w:val="36"/>
          <w:szCs w:val="36"/>
          <w:lang w:bidi="ar"/>
        </w:rPr>
        <w:t>项目报价表</w:t>
      </w:r>
    </w:p>
    <w:p w14:paraId="0284F8B7">
      <w:pPr>
        <w:pStyle w:val="16"/>
        <w:widowControl/>
        <w:rPr>
          <w:color w:val="auto"/>
          <w:sz w:val="28"/>
          <w:szCs w:val="28"/>
        </w:rPr>
      </w:pPr>
    </w:p>
    <w:tbl>
      <w:tblPr>
        <w:tblStyle w:val="8"/>
        <w:tblW w:w="1461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30" w:type="dxa"/>
          <w:left w:w="30" w:type="dxa"/>
          <w:bottom w:w="30" w:type="dxa"/>
          <w:right w:w="30" w:type="dxa"/>
        </w:tblCellMar>
      </w:tblPr>
      <w:tblGrid>
        <w:gridCol w:w="702"/>
        <w:gridCol w:w="882"/>
        <w:gridCol w:w="4490"/>
        <w:gridCol w:w="4490"/>
        <w:gridCol w:w="791"/>
        <w:gridCol w:w="850"/>
        <w:gridCol w:w="1100"/>
        <w:gridCol w:w="1306"/>
      </w:tblGrid>
      <w:tr w14:paraId="4DF482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90"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noWrap/>
            <w:vAlign w:val="center"/>
          </w:tcPr>
          <w:p w14:paraId="5B42BA13">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序号</w:t>
            </w:r>
          </w:p>
        </w:tc>
        <w:tc>
          <w:tcPr>
            <w:tcW w:w="882" w:type="dxa"/>
            <w:tcBorders>
              <w:top w:val="outset" w:color="auto" w:sz="6" w:space="0"/>
              <w:left w:val="outset" w:color="auto" w:sz="6" w:space="0"/>
              <w:bottom w:val="outset" w:color="auto" w:sz="6" w:space="0"/>
              <w:right w:val="outset" w:color="auto" w:sz="6" w:space="0"/>
            </w:tcBorders>
            <w:shd w:val="clear" w:color="auto" w:fill="auto"/>
            <w:vAlign w:val="center"/>
          </w:tcPr>
          <w:p w14:paraId="3D4ACBCA">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名称</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0A46C5A9">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详细技术参数及性能配置要求</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19A65EA6">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eastAsia="zh-CN" w:bidi="ar"/>
              </w:rPr>
              <w:t>响应</w:t>
            </w:r>
            <w:r>
              <w:rPr>
                <w:rFonts w:hint="eastAsia" w:cs="宋体"/>
                <w:color w:val="auto"/>
                <w:kern w:val="2"/>
                <w:sz w:val="24"/>
                <w:szCs w:val="24"/>
                <w:lang w:val="en-US" w:eastAsia="zh-CN" w:bidi="ar"/>
              </w:rPr>
              <w:t>服务</w:t>
            </w:r>
            <w:r>
              <w:rPr>
                <w:rFonts w:hint="eastAsia" w:ascii="宋体" w:hAnsi="宋体" w:eastAsia="宋体" w:cs="宋体"/>
                <w:color w:val="auto"/>
                <w:kern w:val="2"/>
                <w:sz w:val="24"/>
                <w:szCs w:val="24"/>
                <w:lang w:bidi="ar"/>
              </w:rPr>
              <w:t>的技术参数</w:t>
            </w:r>
          </w:p>
        </w:tc>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6BB9E84B">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计量单位</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14:paraId="294F67D0">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数量</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14:paraId="4CF30CD4">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单价（元）</w:t>
            </w:r>
          </w:p>
        </w:tc>
        <w:tc>
          <w:tcPr>
            <w:tcW w:w="1306" w:type="dxa"/>
            <w:tcBorders>
              <w:top w:val="outset" w:color="auto" w:sz="6" w:space="0"/>
              <w:left w:val="outset" w:color="auto" w:sz="6" w:space="0"/>
              <w:bottom w:val="outset" w:color="auto" w:sz="6" w:space="0"/>
              <w:right w:val="outset" w:color="auto" w:sz="6" w:space="0"/>
            </w:tcBorders>
            <w:shd w:val="clear" w:color="auto" w:fill="auto"/>
            <w:vAlign w:val="center"/>
          </w:tcPr>
          <w:p w14:paraId="4B834CFB">
            <w:pPr>
              <w:widowControl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合计（元）</w:t>
            </w:r>
          </w:p>
        </w:tc>
      </w:tr>
      <w:tr w14:paraId="1E3E94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3119"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vAlign w:val="center"/>
          </w:tcPr>
          <w:p w14:paraId="1847E260">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1</w:t>
            </w:r>
          </w:p>
        </w:tc>
        <w:tc>
          <w:tcPr>
            <w:tcW w:w="882" w:type="dxa"/>
            <w:tcBorders>
              <w:top w:val="outset" w:color="auto" w:sz="6" w:space="0"/>
              <w:left w:val="outset" w:color="auto" w:sz="6" w:space="0"/>
              <w:bottom w:val="outset" w:color="auto" w:sz="6" w:space="0"/>
              <w:right w:val="outset" w:color="auto" w:sz="6" w:space="0"/>
            </w:tcBorders>
            <w:shd w:val="clear" w:color="auto" w:fill="auto"/>
            <w:vAlign w:val="center"/>
          </w:tcPr>
          <w:p w14:paraId="7B41ACBE">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右江民族医学院互联网络专线租赁服务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分标一</w:t>
            </w:r>
            <w:r>
              <w:rPr>
                <w:rFonts w:hint="eastAsia" w:ascii="宋体" w:hAnsi="宋体" w:eastAsia="宋体" w:cs="宋体"/>
                <w:color w:val="auto"/>
                <w:sz w:val="24"/>
                <w:szCs w:val="24"/>
                <w:lang w:eastAsia="zh-CN"/>
              </w:rPr>
              <w:t>）</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50927D70">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分标一：</w:t>
            </w:r>
          </w:p>
          <w:p w14:paraId="5CC12857">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一、提供1条≥550Mbps的互联网出口带宽服务，并提供≥5个公网静态IPv4地址和/1个/56IPv6前缀地址。</w:t>
            </w:r>
          </w:p>
          <w:p w14:paraId="4A978401">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二、供应商汇聚层和骨干层线路需具有自愈环保护功能和不超过50ms保护倒换能力，保证专线不会因光缆的意外阻断或部分设备故障而中断。</w:t>
            </w:r>
          </w:p>
          <w:p w14:paraId="185163AD">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三、要求全网的传输设备均具备网管能力，全程提供端到端的网管监控功能，实行7*24小时不间断监控，可有效地检测并定位网络故障。</w:t>
            </w:r>
          </w:p>
          <w:p w14:paraId="1D79548E">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须负责链路的接入施工，为避免某校区的出口链路因不可抗因素发生断路导致网络中断，须将链路分别接入学校的两个校区（百城校区和百东校区）机房，并根据实际预设配置路由，当某个校区出口链路发生断路时，可将互联网专线的总出口快速切换至另一个校区，确保网络业务的持续性。负责完成两校区出口链路的光纤铺设、端口配置、路由调试等全部工作，确保链路可正常使用，接入过程须符合学校机房安全管理规定，避免对现有网络系统造成影响。同时提供本次专线接入所需的相关硬件设备，包括路由器、交换机、光缆、尾纤跳线、光模块等。</w:t>
            </w:r>
          </w:p>
          <w:p w14:paraId="7DE6663F">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线路技术指标：≥1000M互联网带宽裸机测试，上、下行速率对称，且稳定在1000Mbps。链路年可用性≥99.9%，平均延迟≤50ms，丢包率≤3‰；链路支持动态带宽调整（根据单位需求可灵活扩容），扩容过程不影响现有网络服务。</w:t>
            </w:r>
          </w:p>
          <w:p w14:paraId="1FE1DC43">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六、采用双路由接入学校出口设备，确保其中一路中断，另外一路仍能继续提供服务。</w:t>
            </w:r>
          </w:p>
          <w:p w14:paraId="10A6A328">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七、线路安全方面支持抗DDos防御及流量清洗能力。</w:t>
            </w:r>
          </w:p>
          <w:p w14:paraId="1ED5F01B">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八、学校网络需要扩展或升级时，须提供相应解决方案等技术支持。</w:t>
            </w:r>
          </w:p>
          <w:p w14:paraId="2B1B33EB">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九.根据学校实际需求，提供百城校区和百东校区的网络互通服务。</w:t>
            </w:r>
          </w:p>
          <w:p w14:paraId="1D550832">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十、由</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免费提供1台负载均衡设备（含硬件、配套软件及终身授权），设备规格须满足两条链路的智能流量分配及故障自动切换的核心需求，且与单位现有网络设备（交换机、路由器等）兼容；设备须为原厂全新正品，提供原厂供货证明及原厂售后服务承诺函，严禁提供翻新、拼装、二手设备。</w:t>
            </w:r>
          </w:p>
          <w:p w14:paraId="5E83F5A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1、设备四层吞吐量≥20Gbps，四层并发连接数≥800万，七层并发连接数≥100万，新建连接数≥35万。</w:t>
            </w:r>
          </w:p>
          <w:p w14:paraId="7154B9D1">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2、硬盘容量不少于≥480GB SSD；内存≥8GB；配置不少于6个千兆电口，4个万兆光口SFP+；配置冗余电源，2U机架式。</w:t>
            </w:r>
          </w:p>
          <w:p w14:paraId="30B6C1B6">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3、单一设备可同时支持包括链路负载均衡、服务器负载均衡和全局负载均衡的功能，功能同时处于激活可使用状态，无需额外购买相应授权。</w:t>
            </w:r>
          </w:p>
          <w:p w14:paraId="75C634EE">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4、负载均衡支持在Web页面配置实现基于管理员自定义的时间计划来进行出站访问的流量调度，支持基于应用协议的智能选路，内置网上银行、Web流媒体、游戏、音频视频规则库，并且规则库不少于5000条。</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6B7683F1">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强大负载均衡算法，支持HTTP、TCP、HTTPS、SIP-TCP、SIP-UDP、8583、DNS等服务类型，支持轮询、加权轮询、按主机加权轮询、加权最小连接、按主机加权最小连接、动态反馈、最快响应时间、加权最小流量、最小流量、最少连接、主机-最小流量、主机-最少连接调度、动态反馈、按主机加权最小流量、源IP源端口哈希、源IP哈希、URI哈希和HOST哈希等。</w:t>
            </w:r>
          </w:p>
          <w:p w14:paraId="37EE3868">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6、具备DNS功能，支持A、AAAA、DNSSEC、CAA和DS记录，支持DNS缓存和RPZ防火墙功能。</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760AA73B">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备需支持多种编程语言脚本（如lua和TCL）实现功能配置，对IP、TCP、UDP、SSL、HTTP和HTTPS等类型的流量进行分发、修改和统计等操作，具备对可编程脚本语法的校验功能，能够识别出脚本语言是否正确，定位到具体的错误语句。</w:t>
            </w:r>
          </w:p>
          <w:p w14:paraId="7E08BC2E">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为了方便管控和调节业务服务的压力，支持基于WEB图形化界面支持对虚拟服务、节点设置上行和下行流量限制，支持配置每台的业务主机的并发连接数、新建连接数和每秒请求数限制，同时可配置每个虚拟服务的单个IP或所有IP的最大新建和最大并发限制来调节真实业务服务器压力。</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6D8C2354">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9、具备多种类型的会话保持技术，支持源IP、Cookie（插入/被动/改写）、HTTP-Passive（应答被动、请求被动）、Radius、SSL Session ID、SIP（CALL-ID）和源IP+源端口等多种会话保持机制，支持跨虚拟服务的会话保持。</w:t>
            </w:r>
          </w:p>
          <w:p w14:paraId="1D96D20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具备多种类型的健康检查技术，支持常见的主动式健康检查功能，提供基于SNMP、ICMP、SIP、ICMPv6、TCP、UDP、FTP、HTTP、DNS、RADIUS、HTTPS、LDAP、HTTP2、ORACLE、MSSQL、MYSQL数据库等多种类型的探测判断机制，支持外部应用监视器健康检查功能，同时可配置间隔时间、超时时间，同时可通过Web页面执行命令，并且能开启/关闭调试日志功能。</w:t>
            </w:r>
          </w:p>
          <w:p w14:paraId="7E1EEF06">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11、为了适应未来应用国产化应用改造，负载均衡设备需支持国产数据库负载，支持OceanBase、达梦和人大金仓数据库的负载均衡。</w:t>
            </w:r>
          </w:p>
          <w:p w14:paraId="1E99126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为了保障业务可用性优先，出现节点繁忙的情况时，可以有多种选择（如连接排队、强制调度、调度失败等），并且可以直接在Web页面直接进行选择配置，支持对于超过服务器的连接数上限或者请求数上限的新建连接缓存起来放入队列中，后续分批逐步发送给服务器，而不是直接丢弃数据包。</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2F4448FF">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13、为了便于业务上线前对业务进行验证，且操作简单，设备支持模拟健康监测功能，无需完成真实的业务配置即可提前采用icmp、http、https、tcp、ftp以及DNS等健康检查方式模拟检查业务的状态；且支持完成链路负载均衡配置后，可以直接在Web页面验证负载配置后的效果。</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34FD412E">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14、支持在WEB页面配置TOA(TCP Option Address)源地址插入功能,降低通过脚本实现此功能对设备的硬件资源开销，从而提升整体设备性能。</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68F5515A">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15、为了保障cookie会话保持的安全性，避免cookie混乱泄漏，支持cookie作用域和作用路径的自定义，支持cookie加密，提升cookie安全性。</w:t>
            </w:r>
          </w:p>
          <w:p w14:paraId="424B06CF">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16、为了简化运维，支持在同一个虚拟服务下同时配置多个IPv4和IPv6地址，服务器池节点支持域名和IP两种形式，可设置指定域名解析间隔时间。</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13F49685">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17、支持HTTP2网关部署，在不改变web服务器的情况下将对外服务协议从HTTP1.1/1.0升级至HTTP/2，支持HTTP2策略，可设置每连接最大流量数、空闲超时时间、接收窗口大小和头部表大小等。</w:t>
            </w:r>
          </w:p>
          <w:p w14:paraId="28AE5463">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18、为了能够有效提升应用的稳定性和用户体验，确保在高并发情况下的流量管理和资源利用，支持TCP策略，实现三层、四层和七层虚拟服务模式。</w:t>
            </w:r>
          </w:p>
          <w:p w14:paraId="1C58E94E">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为了提升web页面加载速度，支持图片优化技术，通过对图片格式的转换，减少传输流量，无需改动服务器端的图片源文件，可根据浏览器种类自动识别转换类型，将图片转换为对应支持的WebP或JPEG格式，优化加速效果。</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382A33A6">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20、支持虚拟服务地图方式展示VS和Pool与Memeber的关联关系以及对应的状态信息，可按虚拟服务名称或者状态来进行排序。</w:t>
            </w:r>
          </w:p>
          <w:p w14:paraId="5E0797E1">
            <w:pPr>
              <w:wordWrap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21、为了帮助管理员来对设备更好的运维排障，支持对管理日志进行对比，能直观的看到设备配置的变化，支持直接通过web页面进行命令管理和进行抓包排障，可以设置抓包时长，提升管理效率。</w:t>
            </w:r>
            <w:r>
              <w:rPr>
                <w:rFonts w:hint="eastAsia" w:ascii="宋体" w:hAnsi="宋体" w:eastAsia="宋体" w:cs="宋体"/>
                <w:b/>
                <w:bCs/>
                <w:color w:val="auto"/>
                <w:sz w:val="24"/>
                <w:szCs w:val="24"/>
                <w:highlight w:val="none"/>
              </w:rPr>
              <w:t>（提供产品界面截图并加盖</w:t>
            </w:r>
            <w:r>
              <w:rPr>
                <w:rFonts w:hint="eastAsia" w:cs="宋体"/>
                <w:b/>
                <w:bCs/>
                <w:color w:val="auto"/>
                <w:sz w:val="24"/>
                <w:szCs w:val="24"/>
                <w:highlight w:val="none"/>
                <w:lang w:eastAsia="zh-CN"/>
              </w:rPr>
              <w:t>供应商</w:t>
            </w:r>
            <w:r>
              <w:rPr>
                <w:rFonts w:hint="eastAsia" w:ascii="宋体" w:hAnsi="宋体" w:eastAsia="宋体" w:cs="宋体"/>
                <w:b/>
                <w:bCs/>
                <w:color w:val="auto"/>
                <w:sz w:val="24"/>
                <w:szCs w:val="24"/>
                <w:highlight w:val="none"/>
              </w:rPr>
              <w:t>公章）</w:t>
            </w:r>
          </w:p>
          <w:p w14:paraId="6490CD3C">
            <w:pPr>
              <w:wordWrap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22、设备质保：在专线租赁服务期内，提供设备的免费维修、更换服务，若设备出现故障，</w:t>
            </w:r>
            <w:r>
              <w:rPr>
                <w:rFonts w:hint="eastAsia" w:cs="宋体"/>
                <w:color w:val="auto"/>
                <w:sz w:val="24"/>
                <w:szCs w:val="24"/>
                <w:highlight w:val="none"/>
                <w:lang w:eastAsia="zh-CN"/>
              </w:rPr>
              <w:t>供应商</w:t>
            </w:r>
            <w:r>
              <w:rPr>
                <w:rFonts w:hint="eastAsia" w:ascii="宋体" w:hAnsi="宋体" w:eastAsia="宋体" w:cs="宋体"/>
                <w:color w:val="auto"/>
                <w:sz w:val="24"/>
                <w:szCs w:val="24"/>
                <w:highlight w:val="none"/>
              </w:rPr>
              <w:t>须在2小时内响应，24小时内完成维修或更换，确保设备正常运行。</w:t>
            </w:r>
          </w:p>
          <w:p w14:paraId="32A7FDC6">
            <w:pPr>
              <w:wordWrap w:val="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十一、付款方式：服务费用按三年分期支付，每年支付一次，每期费用为合同总金额的1/3。签订合同后乙方向甲方开具12个月服务费用的合法增值税专用发票，甲方收到发票后30日进行支付。</w:t>
            </w:r>
          </w:p>
        </w:tc>
        <w:tc>
          <w:tcPr>
            <w:tcW w:w="4490" w:type="dxa"/>
            <w:tcBorders>
              <w:top w:val="outset" w:color="auto" w:sz="6" w:space="0"/>
              <w:left w:val="outset" w:color="auto" w:sz="6" w:space="0"/>
              <w:bottom w:val="outset" w:color="auto" w:sz="6" w:space="0"/>
              <w:right w:val="outset" w:color="auto" w:sz="6" w:space="0"/>
            </w:tcBorders>
            <w:shd w:val="clear" w:color="auto" w:fill="auto"/>
            <w:vAlign w:val="center"/>
          </w:tcPr>
          <w:p w14:paraId="63C294D7">
            <w:pPr>
              <w:widowControl w:val="0"/>
              <w:wordWrap w:val="0"/>
              <w:jc w:val="center"/>
              <w:rPr>
                <w:rFonts w:hint="eastAsia" w:ascii="宋体" w:hAnsi="宋体" w:eastAsia="宋体" w:cs="宋体"/>
                <w:color w:val="auto"/>
                <w:sz w:val="24"/>
                <w:szCs w:val="24"/>
              </w:rPr>
            </w:pPr>
          </w:p>
        </w:tc>
        <w:tc>
          <w:tcPr>
            <w:tcW w:w="791" w:type="dxa"/>
            <w:tcBorders>
              <w:top w:val="outset" w:color="auto" w:sz="6" w:space="0"/>
              <w:left w:val="outset" w:color="auto" w:sz="6" w:space="0"/>
              <w:bottom w:val="outset" w:color="auto" w:sz="6" w:space="0"/>
              <w:right w:val="outset" w:color="auto" w:sz="6" w:space="0"/>
            </w:tcBorders>
            <w:shd w:val="clear" w:color="auto" w:fill="auto"/>
            <w:vAlign w:val="center"/>
          </w:tcPr>
          <w:p w14:paraId="76441AC2">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年</w:t>
            </w:r>
          </w:p>
        </w:tc>
        <w:tc>
          <w:tcPr>
            <w:tcW w:w="850" w:type="dxa"/>
            <w:tcBorders>
              <w:top w:val="outset" w:color="auto" w:sz="6" w:space="0"/>
              <w:left w:val="outset" w:color="auto" w:sz="6" w:space="0"/>
              <w:bottom w:val="outset" w:color="auto" w:sz="6" w:space="0"/>
              <w:right w:val="outset" w:color="auto" w:sz="6" w:space="0"/>
            </w:tcBorders>
            <w:shd w:val="clear" w:color="auto" w:fill="auto"/>
            <w:vAlign w:val="center"/>
          </w:tcPr>
          <w:p w14:paraId="7858CA26">
            <w:pPr>
              <w:wordWrap w:val="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rPr>
              <w:t>3</w:t>
            </w:r>
          </w:p>
        </w:tc>
        <w:tc>
          <w:tcPr>
            <w:tcW w:w="1100" w:type="dxa"/>
            <w:tcBorders>
              <w:top w:val="outset" w:color="auto" w:sz="6" w:space="0"/>
              <w:left w:val="outset" w:color="auto" w:sz="6" w:space="0"/>
              <w:bottom w:val="outset" w:color="auto" w:sz="6" w:space="0"/>
              <w:right w:val="outset" w:color="auto" w:sz="6" w:space="0"/>
            </w:tcBorders>
            <w:shd w:val="clear" w:color="auto" w:fill="auto"/>
            <w:vAlign w:val="center"/>
          </w:tcPr>
          <w:p w14:paraId="1ECD42B3">
            <w:pPr>
              <w:widowControl w:val="0"/>
              <w:jc w:val="center"/>
              <w:textAlignment w:val="center"/>
              <w:rPr>
                <w:rFonts w:hint="eastAsia" w:ascii="宋体" w:hAnsi="宋体" w:eastAsia="宋体" w:cs="宋体"/>
                <w:color w:val="auto"/>
                <w:sz w:val="24"/>
                <w:szCs w:val="24"/>
              </w:rPr>
            </w:pPr>
          </w:p>
        </w:tc>
        <w:tc>
          <w:tcPr>
            <w:tcW w:w="1306" w:type="dxa"/>
            <w:tcBorders>
              <w:top w:val="outset" w:color="auto" w:sz="6" w:space="0"/>
              <w:left w:val="outset" w:color="auto" w:sz="6" w:space="0"/>
              <w:bottom w:val="outset" w:color="auto" w:sz="6" w:space="0"/>
              <w:right w:val="outset" w:color="auto" w:sz="6" w:space="0"/>
            </w:tcBorders>
            <w:shd w:val="clear" w:color="auto" w:fill="auto"/>
            <w:vAlign w:val="center"/>
          </w:tcPr>
          <w:p w14:paraId="6A8E112C">
            <w:pPr>
              <w:widowControl w:val="0"/>
              <w:jc w:val="center"/>
              <w:textAlignment w:val="center"/>
              <w:rPr>
                <w:rFonts w:hint="eastAsia" w:ascii="宋体" w:hAnsi="宋体" w:eastAsia="宋体" w:cs="宋体"/>
                <w:color w:val="auto"/>
                <w:sz w:val="24"/>
                <w:szCs w:val="24"/>
              </w:rPr>
            </w:pPr>
          </w:p>
        </w:tc>
      </w:tr>
      <w:tr w14:paraId="649D2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745" w:hRule="atLeast"/>
          <w:jc w:val="center"/>
        </w:trPr>
        <w:tc>
          <w:tcPr>
            <w:tcW w:w="702" w:type="dxa"/>
            <w:tcBorders>
              <w:top w:val="outset" w:color="auto" w:sz="6" w:space="0"/>
              <w:left w:val="outset" w:color="auto" w:sz="6" w:space="0"/>
              <w:bottom w:val="outset" w:color="auto" w:sz="6" w:space="0"/>
              <w:right w:val="outset" w:color="auto" w:sz="6" w:space="0"/>
            </w:tcBorders>
            <w:shd w:val="clear" w:color="auto" w:fill="auto"/>
            <w:vAlign w:val="center"/>
          </w:tcPr>
          <w:p w14:paraId="34063AED">
            <w:pPr>
              <w:widowControl w:val="0"/>
              <w:wordWrap w:val="0"/>
              <w:jc w:val="center"/>
              <w:rPr>
                <w:rFonts w:hint="eastAsia" w:ascii="宋体" w:hAnsi="宋体" w:eastAsia="宋体" w:cs="宋体"/>
                <w:color w:val="auto"/>
                <w:sz w:val="24"/>
                <w:szCs w:val="24"/>
              </w:rPr>
            </w:pPr>
            <w:r>
              <w:rPr>
                <w:rFonts w:hint="eastAsia" w:ascii="宋体" w:hAnsi="宋体" w:eastAsia="宋体" w:cs="宋体"/>
                <w:color w:val="auto"/>
                <w:kern w:val="2"/>
                <w:sz w:val="24"/>
                <w:szCs w:val="24"/>
                <w:lang w:bidi="ar"/>
              </w:rPr>
              <w:t>合计</w:t>
            </w:r>
          </w:p>
        </w:tc>
        <w:tc>
          <w:tcPr>
            <w:tcW w:w="13909" w:type="dxa"/>
            <w:gridSpan w:val="7"/>
            <w:tcBorders>
              <w:top w:val="outset" w:color="auto" w:sz="6" w:space="0"/>
              <w:left w:val="outset" w:color="auto" w:sz="6" w:space="0"/>
              <w:bottom w:val="outset" w:color="auto" w:sz="6" w:space="0"/>
              <w:right w:val="outset" w:color="auto" w:sz="6" w:space="0"/>
            </w:tcBorders>
            <w:shd w:val="clear" w:color="auto" w:fill="auto"/>
            <w:vAlign w:val="center"/>
          </w:tcPr>
          <w:p w14:paraId="790A7519">
            <w:pPr>
              <w:widowControl w:val="0"/>
              <w:wordWrap w:val="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人民币合计金额（大写）        （小写）¥ </w:t>
            </w:r>
            <w:r>
              <w:rPr>
                <w:rFonts w:hint="eastAsia" w:ascii="宋体" w:hAnsi="宋体" w:eastAsia="宋体" w:cs="宋体"/>
                <w:b/>
                <w:bCs/>
                <w:color w:val="auto"/>
                <w:sz w:val="24"/>
                <w:szCs w:val="24"/>
                <w:lang w:val="en-US" w:eastAsia="zh-CN"/>
              </w:rPr>
              <w:t xml:space="preserve">       </w:t>
            </w:r>
          </w:p>
        </w:tc>
      </w:tr>
    </w:tbl>
    <w:p w14:paraId="2EE49389">
      <w:pPr>
        <w:widowControl w:val="0"/>
        <w:spacing w:line="500" w:lineRule="exact"/>
        <w:rPr>
          <w:b/>
          <w:bCs/>
          <w:color w:val="auto"/>
          <w:szCs w:val="24"/>
          <w:u w:val="single"/>
        </w:rPr>
      </w:pPr>
      <w:r>
        <w:rPr>
          <w:rFonts w:hint="eastAsia"/>
          <w:color w:val="auto"/>
          <w:kern w:val="2"/>
          <w:sz w:val="24"/>
          <w:szCs w:val="24"/>
          <w:lang w:bidi="ar"/>
        </w:rPr>
        <w:t>项目名称：</w:t>
      </w:r>
      <w:r>
        <w:rPr>
          <w:rFonts w:hint="eastAsia"/>
          <w:b/>
          <w:bCs/>
          <w:color w:val="auto"/>
          <w:kern w:val="2"/>
          <w:sz w:val="24"/>
          <w:szCs w:val="24"/>
          <w:u w:val="single"/>
          <w:lang w:bidi="ar"/>
        </w:rPr>
        <w:t>右江民族医学院互联网络专线租赁服务采购项目</w:t>
      </w:r>
      <w:r>
        <w:rPr>
          <w:rFonts w:hint="eastAsia"/>
          <w:b/>
          <w:bCs/>
          <w:color w:val="auto"/>
          <w:kern w:val="2"/>
          <w:sz w:val="24"/>
          <w:szCs w:val="24"/>
          <w:u w:val="single"/>
          <w:lang w:eastAsia="zh-CN" w:bidi="ar"/>
        </w:rPr>
        <w:t>（分标一）</w:t>
      </w:r>
    </w:p>
    <w:p w14:paraId="5D78B655">
      <w:pPr>
        <w:widowControl w:val="0"/>
        <w:spacing w:line="500" w:lineRule="exact"/>
        <w:rPr>
          <w:color w:val="auto"/>
          <w:szCs w:val="24"/>
        </w:rPr>
      </w:pPr>
      <w:r>
        <w:rPr>
          <w:rFonts w:hint="eastAsia"/>
          <w:color w:val="auto"/>
          <w:kern w:val="2"/>
          <w:sz w:val="24"/>
          <w:szCs w:val="24"/>
          <w:lang w:bidi="ar"/>
        </w:rPr>
        <w:t>报价单位（公章）：</w:t>
      </w:r>
      <w:r>
        <w:rPr>
          <w:rFonts w:hint="eastAsia"/>
          <w:color w:val="auto"/>
          <w:kern w:val="2"/>
          <w:sz w:val="24"/>
          <w:szCs w:val="24"/>
          <w:u w:val="single"/>
          <w:lang w:bidi="ar"/>
        </w:rPr>
        <w:t xml:space="preserve">                        </w:t>
      </w:r>
      <w:r>
        <w:rPr>
          <w:rFonts w:hint="eastAsia"/>
          <w:color w:val="auto"/>
          <w:kern w:val="2"/>
          <w:sz w:val="24"/>
          <w:szCs w:val="24"/>
          <w:lang w:bidi="ar"/>
        </w:rPr>
        <w:t xml:space="preserve">   </w:t>
      </w:r>
    </w:p>
    <w:p w14:paraId="42B4FF0B">
      <w:pPr>
        <w:widowControl w:val="0"/>
        <w:spacing w:line="500" w:lineRule="exact"/>
        <w:rPr>
          <w:rFonts w:eastAsia="仿宋"/>
          <w:bCs/>
          <w:color w:val="auto"/>
          <w:u w:val="single"/>
        </w:rPr>
      </w:pPr>
      <w:r>
        <w:rPr>
          <w:rFonts w:hint="eastAsia"/>
          <w:color w:val="auto"/>
          <w:kern w:val="2"/>
          <w:sz w:val="24"/>
          <w:szCs w:val="24"/>
          <w:lang w:bidi="ar"/>
        </w:rPr>
        <w:t>报价日期：</w:t>
      </w:r>
      <w:r>
        <w:rPr>
          <w:rFonts w:hint="eastAsia"/>
          <w:color w:val="auto"/>
          <w:kern w:val="2"/>
          <w:sz w:val="24"/>
          <w:szCs w:val="24"/>
          <w:u w:val="single"/>
          <w:lang w:bidi="ar"/>
        </w:rPr>
        <w:t xml:space="preserve">                               </w:t>
      </w:r>
    </w:p>
    <w:p w14:paraId="56335E8A">
      <w:pPr>
        <w:pStyle w:val="16"/>
        <w:widowControl/>
        <w:spacing w:line="500" w:lineRule="exact"/>
        <w:rPr>
          <w:rFonts w:ascii="宋体" w:hAnsi="宋体"/>
          <w:color w:val="auto"/>
          <w:szCs w:val="24"/>
        </w:rPr>
      </w:pPr>
      <w:r>
        <w:rPr>
          <w:rFonts w:hint="eastAsia" w:ascii="宋体" w:hAnsi="宋体"/>
          <w:color w:val="auto"/>
          <w:szCs w:val="24"/>
        </w:rPr>
        <w:t>联系人：</w:t>
      </w:r>
      <w:r>
        <w:rPr>
          <w:rFonts w:hint="eastAsia" w:ascii="宋体" w:hAnsi="宋体"/>
          <w:color w:val="auto"/>
          <w:szCs w:val="24"/>
          <w:u w:val="single"/>
        </w:rPr>
        <w:t xml:space="preserve">                            </w:t>
      </w:r>
    </w:p>
    <w:p w14:paraId="000E5DBB">
      <w:pPr>
        <w:pStyle w:val="16"/>
        <w:widowControl/>
        <w:spacing w:line="500" w:lineRule="exact"/>
        <w:rPr>
          <w:color w:val="auto"/>
          <w:sz w:val="24"/>
          <w:szCs w:val="24"/>
        </w:rPr>
      </w:pPr>
      <w:r>
        <w:rPr>
          <w:rFonts w:hint="eastAsia" w:ascii="宋体" w:hAnsi="宋体"/>
          <w:color w:val="auto"/>
          <w:szCs w:val="24"/>
        </w:rPr>
        <w:t>联系方式：</w:t>
      </w:r>
      <w:r>
        <w:rPr>
          <w:rFonts w:hint="eastAsia" w:ascii="宋体" w:hAnsi="宋体" w:cs="宋体"/>
          <w:color w:val="auto"/>
          <w:szCs w:val="24"/>
          <w:u w:val="single"/>
        </w:rPr>
        <w:t xml:space="preserve">                          </w:t>
      </w:r>
      <w:r>
        <w:rPr>
          <w:rFonts w:hint="eastAsia" w:ascii="宋体" w:hAnsi="宋体" w:cs="宋体"/>
          <w:color w:val="auto"/>
          <w:szCs w:val="24"/>
        </w:rPr>
        <w:t xml:space="preserve"> </w:t>
      </w:r>
      <w:r>
        <w:rPr>
          <w:rFonts w:hint="eastAsia" w:ascii="宋体" w:hAnsi="宋体"/>
          <w:color w:val="auto"/>
          <w:szCs w:val="24"/>
        </w:rPr>
        <w:t xml:space="preserve">  </w:t>
      </w:r>
    </w:p>
    <w:p w14:paraId="6DC253FB">
      <w:pPr>
        <w:spacing w:line="500" w:lineRule="exact"/>
        <w:rPr>
          <w:rFonts w:ascii="华文仿宋" w:hAnsi="华文仿宋" w:eastAsia="华文仿宋" w:cs="华文仿宋"/>
          <w:b/>
          <w:bCs/>
          <w:color w:val="auto"/>
          <w:sz w:val="24"/>
          <w:szCs w:val="24"/>
        </w:rPr>
        <w:sectPr>
          <w:pgSz w:w="16838" w:h="11906" w:orient="landscape"/>
          <w:pgMar w:top="1803" w:right="1440" w:bottom="1803" w:left="1440" w:header="851" w:footer="992" w:gutter="0"/>
          <w:cols w:space="0" w:num="1"/>
          <w:docGrid w:type="lines" w:linePitch="332" w:charSpace="0"/>
        </w:sectPr>
      </w:pPr>
    </w:p>
    <w:p w14:paraId="0BD9F887">
      <w:pPr>
        <w:snapToGrid w:val="0"/>
        <w:spacing w:before="50" w:line="360" w:lineRule="exact"/>
        <w:rPr>
          <w:b/>
          <w:color w:val="auto"/>
          <w:sz w:val="28"/>
          <w:szCs w:val="28"/>
        </w:rPr>
      </w:pPr>
      <w:r>
        <w:rPr>
          <w:rFonts w:hint="eastAsia"/>
          <w:b/>
          <w:color w:val="auto"/>
          <w:sz w:val="28"/>
          <w:szCs w:val="28"/>
          <w:lang w:bidi="ar"/>
        </w:rPr>
        <w:t>商务响应表格式：</w:t>
      </w:r>
    </w:p>
    <w:p w14:paraId="4861DECF">
      <w:pPr>
        <w:snapToGrid w:val="0"/>
        <w:spacing w:before="50" w:line="360" w:lineRule="exact"/>
        <w:jc w:val="center"/>
        <w:rPr>
          <w:color w:val="auto"/>
          <w:sz w:val="36"/>
          <w:szCs w:val="36"/>
          <w:u w:val="single"/>
        </w:rPr>
      </w:pPr>
      <w:r>
        <w:rPr>
          <w:rFonts w:hint="eastAsia"/>
          <w:b/>
          <w:color w:val="auto"/>
          <w:sz w:val="36"/>
          <w:szCs w:val="36"/>
          <w:lang w:val="en-US" w:eastAsia="zh-CN" w:bidi="ar"/>
        </w:rPr>
        <w:t>二、</w:t>
      </w:r>
      <w:r>
        <w:rPr>
          <w:rFonts w:hint="eastAsia"/>
          <w:b/>
          <w:color w:val="auto"/>
          <w:sz w:val="36"/>
          <w:szCs w:val="36"/>
          <w:lang w:bidi="ar"/>
        </w:rPr>
        <w:t>商务响应表</w:t>
      </w:r>
    </w:p>
    <w:p w14:paraId="635B9204">
      <w:pPr>
        <w:snapToGrid w:val="0"/>
        <w:spacing w:before="50" w:line="360" w:lineRule="exact"/>
        <w:rPr>
          <w:color w:val="auto"/>
          <w:szCs w:val="21"/>
          <w:u w:val="single"/>
        </w:rPr>
      </w:pPr>
    </w:p>
    <w:tbl>
      <w:tblPr>
        <w:tblStyle w:val="8"/>
        <w:tblW w:w="13192"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299"/>
        <w:gridCol w:w="5259"/>
        <w:gridCol w:w="1375"/>
        <w:gridCol w:w="5259"/>
      </w:tblGrid>
      <w:tr w14:paraId="5D06FB1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87"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402B7F7">
            <w:pPr>
              <w:snapToGrid w:val="0"/>
              <w:spacing w:before="166" w:beforeLines="5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条款</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299B48F8">
            <w:pPr>
              <w:snapToGrid w:val="0"/>
              <w:spacing w:before="166" w:beforeLines="5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采购项目</w:t>
            </w:r>
            <w:r>
              <w:rPr>
                <w:rFonts w:hint="eastAsia" w:cs="宋体"/>
                <w:color w:val="auto"/>
                <w:szCs w:val="24"/>
                <w:highlight w:val="none"/>
                <w:lang w:val="en-US" w:eastAsia="zh-CN" w:bidi="ar"/>
              </w:rPr>
              <w:t>商务</w:t>
            </w:r>
            <w:r>
              <w:rPr>
                <w:rFonts w:hint="eastAsia" w:ascii="宋体" w:hAnsi="宋体" w:eastAsia="宋体" w:cs="宋体"/>
                <w:color w:val="auto"/>
                <w:szCs w:val="24"/>
                <w:highlight w:val="none"/>
                <w:lang w:bidi="ar"/>
              </w:rPr>
              <w:t>要求</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D436DF7">
            <w:pPr>
              <w:snapToGrid w:val="0"/>
              <w:spacing w:before="166" w:beforeLines="50" w:line="40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是否提供并响应</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3A8DD771">
            <w:pPr>
              <w:snapToGrid w:val="0"/>
              <w:spacing w:before="166" w:beforeLines="50" w:line="400" w:lineRule="exact"/>
              <w:jc w:val="center"/>
              <w:rPr>
                <w:rFonts w:hint="eastAsia" w:ascii="宋体" w:hAnsi="宋体" w:eastAsia="宋体" w:cs="宋体"/>
                <w:color w:val="auto"/>
                <w:szCs w:val="24"/>
                <w:highlight w:val="none"/>
              </w:rPr>
            </w:pPr>
            <w:r>
              <w:rPr>
                <w:rFonts w:hint="eastAsia" w:cs="宋体"/>
                <w:color w:val="auto"/>
                <w:szCs w:val="24"/>
                <w:highlight w:val="none"/>
                <w:lang w:val="en-US" w:eastAsia="zh-CN" w:bidi="ar"/>
              </w:rPr>
              <w:t>报价单位</w:t>
            </w:r>
            <w:r>
              <w:rPr>
                <w:rFonts w:hint="eastAsia" w:ascii="宋体" w:hAnsi="宋体" w:eastAsia="宋体" w:cs="宋体"/>
                <w:color w:val="auto"/>
                <w:szCs w:val="24"/>
                <w:highlight w:val="none"/>
                <w:lang w:bidi="ar"/>
              </w:rPr>
              <w:t>的</w:t>
            </w:r>
            <w:r>
              <w:rPr>
                <w:rFonts w:hint="eastAsia" w:cs="宋体"/>
                <w:color w:val="auto"/>
                <w:szCs w:val="24"/>
                <w:highlight w:val="none"/>
                <w:lang w:val="en-US" w:eastAsia="zh-CN" w:bidi="ar"/>
              </w:rPr>
              <w:t>商务</w:t>
            </w:r>
            <w:r>
              <w:rPr>
                <w:rFonts w:hint="eastAsia" w:ascii="宋体" w:hAnsi="宋体" w:eastAsia="宋体" w:cs="宋体"/>
                <w:color w:val="auto"/>
                <w:szCs w:val="24"/>
                <w:highlight w:val="none"/>
                <w:lang w:bidi="ar"/>
              </w:rPr>
              <w:t>要求</w:t>
            </w:r>
            <w:r>
              <w:rPr>
                <w:rFonts w:hint="eastAsia" w:ascii="宋体" w:hAnsi="宋体" w:eastAsia="宋体" w:cs="宋体"/>
                <w:color w:val="auto"/>
                <w:szCs w:val="24"/>
                <w:highlight w:val="none"/>
                <w:lang w:bidi="ar"/>
              </w:rPr>
              <w:t>承诺或说明</w:t>
            </w:r>
          </w:p>
        </w:tc>
      </w:tr>
      <w:tr w14:paraId="4385D9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3625CC2">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报价及其他要求</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2D4FBFEE">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1.要求</w:t>
            </w:r>
            <w:r>
              <w:rPr>
                <w:rFonts w:hint="eastAsia" w:ascii="宋体" w:hAnsi="宋体" w:eastAsia="宋体" w:cs="宋体"/>
                <w:color w:val="auto"/>
                <w:szCs w:val="24"/>
                <w:highlight w:val="none"/>
                <w:lang w:val="en-US" w:eastAsia="zh-CN" w:bidi="ar"/>
              </w:rPr>
              <w:t>提供的</w:t>
            </w:r>
            <w:r>
              <w:rPr>
                <w:rFonts w:hint="eastAsia" w:ascii="宋体" w:hAnsi="宋体" w:eastAsia="宋体" w:cs="宋体"/>
                <w:color w:val="auto"/>
                <w:szCs w:val="24"/>
                <w:highlight w:val="none"/>
                <w:lang w:val="en-US" w:eastAsia="zh-CN" w:bidi="ar"/>
              </w:rPr>
              <w:t>网络专线租赁服务设备</w:t>
            </w:r>
            <w:r>
              <w:rPr>
                <w:rFonts w:hint="eastAsia" w:ascii="宋体" w:hAnsi="宋体" w:eastAsia="宋体" w:cs="宋体"/>
                <w:color w:val="auto"/>
                <w:szCs w:val="24"/>
                <w:highlight w:val="none"/>
                <w:lang w:bidi="ar"/>
              </w:rPr>
              <w:t>是全新的、合格的、满足本项目技术需求及要求的。所有零部件、配件必须是未经使用的全新的并符合国家有关质量安全标准的产品。</w:t>
            </w:r>
          </w:p>
          <w:p w14:paraId="57EACDE4">
            <w:pPr>
              <w:spacing w:line="400" w:lineRule="exact"/>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2.本次报价须为人民币报价，</w:t>
            </w:r>
            <w:r>
              <w:rPr>
                <w:rFonts w:hint="eastAsia" w:ascii="宋体" w:hAnsi="宋体" w:eastAsia="宋体" w:cs="宋体"/>
                <w:color w:val="auto"/>
                <w:szCs w:val="24"/>
                <w:highlight w:val="none"/>
                <w:lang w:val="en-US" w:eastAsia="zh-CN" w:bidi="ar"/>
              </w:rPr>
              <w:t>包含满足本次</w:t>
            </w:r>
            <w:r>
              <w:rPr>
                <w:rFonts w:hint="eastAsia" w:ascii="宋体" w:hAnsi="宋体" w:eastAsia="宋体" w:cs="宋体"/>
                <w:color w:val="auto"/>
                <w:szCs w:val="24"/>
                <w:highlight w:val="none"/>
                <w:lang w:val="en-US" w:eastAsia="zh-CN" w:bidi="ar"/>
              </w:rPr>
              <w:t>响应</w:t>
            </w:r>
            <w:r>
              <w:rPr>
                <w:rFonts w:hint="eastAsia" w:ascii="宋体" w:hAnsi="宋体" w:eastAsia="宋体" w:cs="宋体"/>
                <w:color w:val="auto"/>
                <w:szCs w:val="24"/>
                <w:highlight w:val="none"/>
                <w:lang w:val="en-US" w:eastAsia="zh-CN" w:bidi="ar"/>
              </w:rPr>
              <w:t>全部采购需求所应提供的服务</w:t>
            </w:r>
            <w:r>
              <w:rPr>
                <w:rFonts w:hint="eastAsia" w:ascii="宋体" w:hAnsi="宋体" w:eastAsia="宋体" w:cs="宋体"/>
                <w:color w:val="auto"/>
                <w:szCs w:val="24"/>
                <w:highlight w:val="none"/>
                <w:lang w:bidi="ar"/>
              </w:rPr>
              <w:t>：</w:t>
            </w:r>
            <w:r>
              <w:rPr>
                <w:rFonts w:hint="eastAsia" w:ascii="宋体" w:hAnsi="宋体" w:eastAsia="宋体" w:cs="宋体"/>
                <w:color w:val="auto"/>
                <w:szCs w:val="24"/>
                <w:highlight w:val="none"/>
                <w:lang w:val="en-US" w:eastAsia="zh-CN" w:bidi="ar"/>
              </w:rPr>
              <w:t>含</w:t>
            </w:r>
            <w:r>
              <w:rPr>
                <w:rFonts w:hint="eastAsia" w:ascii="宋体" w:hAnsi="宋体" w:eastAsia="宋体" w:cs="宋体"/>
                <w:color w:val="auto"/>
                <w:szCs w:val="24"/>
                <w:highlight w:val="none"/>
                <w:lang w:val="en-US" w:eastAsia="zh-CN" w:bidi="ar"/>
              </w:rPr>
              <w:t>服务价款</w:t>
            </w:r>
            <w:r>
              <w:rPr>
                <w:rFonts w:hint="eastAsia" w:ascii="宋体" w:hAnsi="宋体" w:eastAsia="宋体" w:cs="宋体"/>
                <w:color w:val="auto"/>
                <w:szCs w:val="24"/>
                <w:highlight w:val="none"/>
                <w:lang w:val="en-US" w:eastAsia="zh-CN" w:bidi="ar"/>
              </w:rPr>
              <w:t>、完成本项目服务工作所需的人员成本、</w:t>
            </w:r>
            <w:r>
              <w:rPr>
                <w:rFonts w:hint="eastAsia" w:ascii="宋体" w:hAnsi="宋体" w:eastAsia="宋体" w:cs="宋体"/>
                <w:color w:val="auto"/>
                <w:szCs w:val="24"/>
                <w:highlight w:val="none"/>
                <w:lang w:bidi="ar"/>
              </w:rPr>
              <w:t>标准附件、备品备件、专用工具、辅材、专用工具、安装调试（包括但不限于各类硬件、系统等的安装、试运行等费用）、包装、运输、装卸、保险费、各类税费、产品检测、检验费、验收费、产品质保期内维护费、技术培训费（包括但不限于场地费、教材费用等）、技术资料及其它与本项目有关的未列明的一切费用。对于本文件中未列明，而供应商认为必需的费用也需列入总报价。在合同实施时，采购人将不予支付成交供应商没有列入的项目费用，并认为此项目的费用已包括在响应总报价中。</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D0B6FAB">
            <w:pPr>
              <w:snapToGrid w:val="0"/>
              <w:spacing w:line="400" w:lineRule="exact"/>
              <w:ind w:firstLine="360" w:firstLineChars="150"/>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43C18CC6">
            <w:pPr>
              <w:snapToGrid w:val="0"/>
              <w:spacing w:line="400" w:lineRule="exact"/>
              <w:rPr>
                <w:rFonts w:hint="eastAsia" w:ascii="宋体" w:hAnsi="宋体" w:eastAsia="宋体" w:cs="宋体"/>
                <w:color w:val="auto"/>
                <w:szCs w:val="24"/>
                <w:highlight w:val="none"/>
              </w:rPr>
            </w:pPr>
          </w:p>
        </w:tc>
      </w:tr>
      <w:tr w14:paraId="69F6EE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BBF7746">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合同签订日期</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0944F007">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成交通知书发出后25个日历日内。</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2C2ABA8">
            <w:pPr>
              <w:snapToGrid w:val="0"/>
              <w:spacing w:line="400" w:lineRule="exact"/>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60B6FE10">
            <w:pPr>
              <w:snapToGrid w:val="0"/>
              <w:spacing w:line="400" w:lineRule="exact"/>
              <w:rPr>
                <w:rFonts w:hint="eastAsia" w:ascii="宋体" w:hAnsi="宋体" w:eastAsia="宋体" w:cs="宋体"/>
                <w:color w:val="auto"/>
                <w:szCs w:val="24"/>
                <w:highlight w:val="none"/>
              </w:rPr>
            </w:pPr>
          </w:p>
        </w:tc>
      </w:tr>
      <w:tr w14:paraId="7C1F76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2C29826">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bidi="ar"/>
              </w:rPr>
              <w:t>服务交付</w:t>
            </w:r>
            <w:r>
              <w:rPr>
                <w:rFonts w:hint="eastAsia" w:ascii="宋体" w:hAnsi="宋体" w:eastAsia="宋体" w:cs="宋体"/>
                <w:color w:val="auto"/>
                <w:szCs w:val="24"/>
                <w:highlight w:val="none"/>
                <w:lang w:bidi="ar"/>
              </w:rPr>
              <w:t>时间</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5BF89371">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成交供应商接到采购人通知供货后</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个工作日内交付。</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E282A6C">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4934BB3B">
            <w:pPr>
              <w:snapToGrid w:val="0"/>
              <w:spacing w:line="400" w:lineRule="exact"/>
              <w:ind w:left="43"/>
              <w:rPr>
                <w:rFonts w:hint="eastAsia" w:ascii="宋体" w:hAnsi="宋体" w:eastAsia="宋体" w:cs="宋体"/>
                <w:color w:val="auto"/>
                <w:szCs w:val="24"/>
                <w:highlight w:val="none"/>
              </w:rPr>
            </w:pPr>
          </w:p>
        </w:tc>
      </w:tr>
      <w:tr w14:paraId="587CC9E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1663BC1">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及</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146F3C7B">
            <w:pPr>
              <w:spacing w:line="40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服务期限</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3年，自合同签订之日起开始计算</w:t>
            </w:r>
            <w:r>
              <w:rPr>
                <w:rFonts w:hint="eastAsia" w:ascii="宋体" w:hAnsi="宋体" w:eastAsia="宋体" w:cs="宋体"/>
                <w:color w:val="auto"/>
                <w:szCs w:val="24"/>
                <w:highlight w:val="none"/>
              </w:rPr>
              <w:t>。</w:t>
            </w:r>
          </w:p>
          <w:p w14:paraId="689E84A2">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地点：广西百色市采购人指定地点。</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69E6DFE5">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546CE972">
            <w:pPr>
              <w:snapToGrid w:val="0"/>
              <w:spacing w:line="400" w:lineRule="exact"/>
              <w:ind w:left="43"/>
              <w:rPr>
                <w:rFonts w:hint="eastAsia" w:ascii="宋体" w:hAnsi="宋体" w:eastAsia="宋体" w:cs="宋体"/>
                <w:color w:val="auto"/>
                <w:szCs w:val="24"/>
                <w:highlight w:val="none"/>
              </w:rPr>
            </w:pPr>
          </w:p>
        </w:tc>
      </w:tr>
      <w:tr w14:paraId="56C104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DE12FD8">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设备质保</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52E19685">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在专线租赁服务期内，提供设备的免费维修、更换服务，若设备出现故障，</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须在2小时内响应，24小时内完成维修或更换，确保设备正常运行。</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5D138F8E">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6AA5C998">
            <w:pPr>
              <w:snapToGrid w:val="0"/>
              <w:spacing w:line="400" w:lineRule="exact"/>
              <w:ind w:left="43"/>
              <w:rPr>
                <w:rFonts w:hint="eastAsia" w:ascii="宋体" w:hAnsi="宋体" w:eastAsia="宋体" w:cs="宋体"/>
                <w:color w:val="auto"/>
                <w:szCs w:val="24"/>
                <w:highlight w:val="none"/>
              </w:rPr>
            </w:pPr>
          </w:p>
        </w:tc>
      </w:tr>
      <w:tr w14:paraId="5B58A9C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782D0FE">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验收标准</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4131ACDD">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1.验收要求：</w:t>
            </w:r>
          </w:p>
          <w:p w14:paraId="61EB5C40">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（1）要求履约过程中所有服务行为、成果文件等均不涉及任何法律纠纷。</w:t>
            </w:r>
          </w:p>
          <w:p w14:paraId="2E5A79D8">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时由采购人对照采购需求的技术指标全面核对检验，如不符合采购需求的技术需求或提供虚假承诺的，采购人有权拒绝验收，成交供应商承担所有责任和费用，采购人有权解除合同并保留进一步追究责任的权利。</w:t>
            </w:r>
          </w:p>
          <w:p w14:paraId="3C4C2D73">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（3）本项目须严格执行国家、行业、地方相关验收标准及规范及采购需求和合同要求。</w:t>
            </w:r>
          </w:p>
          <w:p w14:paraId="36767017">
            <w:pPr>
              <w:spacing w:line="400" w:lineRule="exact"/>
              <w:ind w:firstLine="480" w:firstLineChars="200"/>
              <w:rPr>
                <w:rFonts w:hint="eastAsia"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val="en-US" w:eastAsia="zh-CN" w:bidi="ar"/>
              </w:rPr>
              <w:t>2.验收标准：</w:t>
            </w:r>
          </w:p>
          <w:p w14:paraId="7714C18C">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1</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须满足现行国家、行业及地方标准、规范。如具体采购需求与标准、规范不一致的，高于标准、规范的，按具体采购需求执行，低于标准、规范的，按标准、规范执行。</w:t>
            </w:r>
          </w:p>
          <w:p w14:paraId="70827BCF">
            <w:pPr>
              <w:spacing w:line="40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val="en-US" w:eastAsia="zh-CN" w:bidi="ar"/>
              </w:rPr>
              <w:t>2</w:t>
            </w:r>
            <w:r>
              <w:rPr>
                <w:rFonts w:hint="eastAsia" w:ascii="宋体" w:hAnsi="宋体" w:eastAsia="宋体" w:cs="宋体"/>
                <w:color w:val="auto"/>
                <w:szCs w:val="24"/>
                <w:highlight w:val="none"/>
                <w:lang w:eastAsia="zh-CN" w:bidi="ar"/>
              </w:rPr>
              <w:t>）</w:t>
            </w:r>
            <w:r>
              <w:rPr>
                <w:rFonts w:hint="eastAsia" w:ascii="宋体" w:hAnsi="宋体" w:eastAsia="宋体" w:cs="宋体"/>
                <w:color w:val="auto"/>
                <w:szCs w:val="24"/>
                <w:highlight w:val="none"/>
                <w:lang w:bidi="ar"/>
              </w:rPr>
              <w:t>未尽事宜，按《关于印发广西壮族自治区政府采购项目履约验收管理办法的通知》（桂财采〔2015〕22号）执行。</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1A1F2E91">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4365AE5D">
            <w:pPr>
              <w:snapToGrid w:val="0"/>
              <w:spacing w:line="400" w:lineRule="exact"/>
              <w:ind w:left="43"/>
              <w:rPr>
                <w:rFonts w:hint="eastAsia" w:ascii="宋体" w:hAnsi="宋体" w:eastAsia="宋体" w:cs="宋体"/>
                <w:color w:val="auto"/>
                <w:szCs w:val="24"/>
                <w:highlight w:val="none"/>
              </w:rPr>
            </w:pPr>
          </w:p>
        </w:tc>
      </w:tr>
      <w:tr w14:paraId="7A100E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903D514">
            <w:pPr>
              <w:spacing w:line="400" w:lineRule="exact"/>
              <w:jc w:val="center"/>
              <w:rPr>
                <w:rFonts w:hint="eastAsia" w:ascii="宋体" w:hAnsi="宋体" w:eastAsia="宋体" w:cs="宋体"/>
                <w:color w:val="auto"/>
                <w:sz w:val="24"/>
                <w:szCs w:val="24"/>
                <w:highlight w:val="none"/>
                <w:shd w:val="pct10" w:color="auto" w:fill="FFFFFF"/>
                <w:lang w:val="en-US" w:eastAsia="zh-CN" w:bidi="ar-SA"/>
              </w:rPr>
            </w:pPr>
            <w:r>
              <w:rPr>
                <w:rFonts w:hint="eastAsia" w:ascii="宋体" w:hAnsi="宋体" w:eastAsia="宋体" w:cs="宋体"/>
                <w:color w:val="auto"/>
                <w:szCs w:val="24"/>
                <w:highlight w:val="none"/>
                <w:lang w:bidi="ar"/>
              </w:rPr>
              <w:t>售后服务要求</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4860772F">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1）在租用期限内，成交供应商应严格遵守《中华人民共和国电信条例》，维护双方权益，应按信息产业部颁布的&lt;电信服务标准&gt;的电路质量要求，保证招标人租用线路畅通及安全使用。</w:t>
            </w:r>
          </w:p>
          <w:p w14:paraId="30FC31FE">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2）供应商在电路租用期间应提供免费传输知识培训，指导采购人技术人员做好日常维护。</w:t>
            </w:r>
          </w:p>
          <w:p w14:paraId="0607C70F">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3）提供售后服务承诺书，提供售后服务机构及联系人名单，列明详细地址及联系方式。</w:t>
            </w:r>
          </w:p>
          <w:p w14:paraId="7E62C1C9">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4）提供7×24小时热线电话服务,并提供多个故障申告途径及绿色通道，做到全方位响应，并指定专人负责上门受理调试日常维护及平时协助甲方维护检测等工作；提供365×24小时的售后服务响应。</w:t>
            </w:r>
          </w:p>
          <w:p w14:paraId="0584431B">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5）保证网络的畅通，负责运营商到用户单位主干光缆所有设备的免费运行维护，如光端机、转换器等设备，如果主干网络出现问题，必须在接到报告后4小时内响应，8个小时内到达现场排除故障，直到网络恢复正常。如设备故障在8小时内无法解决的应免费提供备件，确保网络正常运行,问题解决时间要求不超过24个小时。</w:t>
            </w:r>
          </w:p>
          <w:p w14:paraId="52FD2982">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6）每个季度对网络进行一次巡检，检查网络设备和主干光缆的运行情况，提交巡检报告。</w:t>
            </w:r>
          </w:p>
          <w:p w14:paraId="4D7E3BEB">
            <w:pPr>
              <w:spacing w:line="400" w:lineRule="exact"/>
              <w:ind w:firstLine="480" w:firstLineChars="20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7）当用户网络需要扩展或升级时，负责免费提供相应解决方案等技术支持；因成交人施工、网络割接等原因影响网络运行的，应当提前一天通知用户，并提供相应的技术解决方案，尽快消除故障、恢复通信线路。</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3795F2F9">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344A24E3">
            <w:pPr>
              <w:snapToGrid w:val="0"/>
              <w:spacing w:line="400" w:lineRule="exact"/>
              <w:ind w:left="43"/>
              <w:rPr>
                <w:rFonts w:hint="eastAsia" w:ascii="宋体" w:hAnsi="宋体" w:eastAsia="宋体" w:cs="宋体"/>
                <w:color w:val="auto"/>
                <w:szCs w:val="24"/>
                <w:highlight w:val="none"/>
              </w:rPr>
            </w:pPr>
          </w:p>
        </w:tc>
      </w:tr>
      <w:tr w14:paraId="0EE588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12896B2">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知识产权</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728F2A6B">
            <w:pPr>
              <w:spacing w:line="400" w:lineRule="exac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采购人在中华人民共和国境内使用供应商提供的产品及服务时免受第三方提出的侵犯其专利权或其它知识产权的起诉。如果第三方提出侵权指控，成交供应商应承担由此而引起的一切法律责任和费用。</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34648C43">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1A48BAB3">
            <w:pPr>
              <w:snapToGrid w:val="0"/>
              <w:spacing w:line="400" w:lineRule="exact"/>
              <w:ind w:left="43"/>
              <w:rPr>
                <w:rFonts w:hint="eastAsia" w:ascii="宋体" w:hAnsi="宋体" w:eastAsia="宋体" w:cs="宋体"/>
                <w:color w:val="auto"/>
                <w:szCs w:val="24"/>
                <w:highlight w:val="none"/>
              </w:rPr>
            </w:pPr>
          </w:p>
        </w:tc>
      </w:tr>
      <w:tr w14:paraId="3E012F1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8675F65">
            <w:pPr>
              <w:spacing w:line="400" w:lineRule="exact"/>
              <w:jc w:val="center"/>
              <w:rPr>
                <w:rFonts w:hint="eastAsia" w:ascii="宋体" w:hAnsi="宋体" w:eastAsia="宋体" w:cs="宋体"/>
                <w:color w:val="auto"/>
                <w:sz w:val="24"/>
                <w:szCs w:val="24"/>
                <w:highlight w:val="none"/>
                <w:shd w:val="pct10" w:color="auto" w:fill="FFFFFF"/>
                <w:lang w:val="en-US" w:eastAsia="zh-CN" w:bidi="ar-SA"/>
              </w:rPr>
            </w:pPr>
            <w:r>
              <w:rPr>
                <w:rFonts w:hint="eastAsia" w:ascii="宋体" w:hAnsi="宋体" w:eastAsia="宋体" w:cs="宋体"/>
                <w:color w:val="auto"/>
                <w:szCs w:val="24"/>
                <w:highlight w:val="none"/>
                <w:lang w:bidi="ar"/>
              </w:rPr>
              <w:t>付款方式、时间及条件</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06FB2E0A">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lang w:val="en-US" w:eastAsia="zh-CN" w:bidi="ar"/>
              </w:rPr>
              <w:t>成交供应商每期提供服务完毕经采购人验收合格无异议后</w:t>
            </w:r>
            <w:r>
              <w:rPr>
                <w:rFonts w:hint="eastAsia" w:ascii="宋体" w:hAnsi="宋体" w:eastAsia="宋体" w:cs="宋体"/>
                <w:color w:val="auto"/>
                <w:szCs w:val="24"/>
                <w:highlight w:val="none"/>
                <w:lang w:bidi="ar"/>
              </w:rPr>
              <w:t>，采购人签署项目验收书；</w:t>
            </w:r>
          </w:p>
          <w:p w14:paraId="2B8FCBA3">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2．</w:t>
            </w:r>
            <w:r>
              <w:rPr>
                <w:rFonts w:hint="eastAsia" w:ascii="宋体" w:hAnsi="宋体" w:eastAsia="宋体" w:cs="宋体"/>
                <w:color w:val="auto"/>
                <w:szCs w:val="24"/>
                <w:highlight w:val="none"/>
                <w:lang w:val="en-US" w:eastAsia="zh-CN" w:bidi="ar"/>
              </w:rPr>
              <w:t>成交</w:t>
            </w:r>
            <w:r>
              <w:rPr>
                <w:rFonts w:hint="eastAsia" w:ascii="宋体" w:hAnsi="宋体" w:eastAsia="宋体" w:cs="宋体"/>
                <w:color w:val="auto"/>
                <w:szCs w:val="24"/>
                <w:highlight w:val="none"/>
                <w:lang w:bidi="ar"/>
              </w:rPr>
              <w:t>供应商向采购人开具</w:t>
            </w:r>
            <w:r>
              <w:rPr>
                <w:rFonts w:hint="eastAsia" w:ascii="宋体" w:hAnsi="宋体" w:eastAsia="宋体" w:cs="宋体"/>
                <w:color w:val="auto"/>
                <w:szCs w:val="24"/>
                <w:highlight w:val="none"/>
                <w:lang w:val="en-US" w:eastAsia="zh-CN" w:bidi="ar"/>
              </w:rPr>
              <w:t>每期</w:t>
            </w:r>
            <w:r>
              <w:rPr>
                <w:rFonts w:hint="eastAsia" w:ascii="宋体" w:hAnsi="宋体" w:eastAsia="宋体" w:cs="宋体"/>
                <w:color w:val="auto"/>
                <w:szCs w:val="24"/>
                <w:highlight w:val="none"/>
                <w:lang w:bidi="ar"/>
              </w:rPr>
              <w:t>服务费用的合法增值税专用发票和验收书向采购人提出付款申请；</w:t>
            </w:r>
          </w:p>
          <w:p w14:paraId="03BBC126">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3．票据要求：成交供应商必须按照采购人要求提供真实、有效、合法的增值税专用发票。一旦发现成交供应商提供虚假发票，除须向采购人补开合法发票外，须赔偿采购人发票票面金额三倍的违约金，且采购人有权终止合同，成交供应商不得提出异议，因终止合同而产生的一切损失均由成交供应商承担；</w:t>
            </w:r>
          </w:p>
          <w:p w14:paraId="5CF609F3">
            <w:pPr>
              <w:spacing w:line="400" w:lineRule="exact"/>
              <w:ind w:firstLine="480" w:firstLineChars="2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4．付款方式：服务费用按三年分期支付，每年支付一次，每期费用为合同总金额的1/3。签订合同后乙方向甲方开具12个月服务费用的合法增值税专用发票，甲方收到发票后30日进行支付。</w:t>
            </w:r>
          </w:p>
          <w:p w14:paraId="0735B047">
            <w:pPr>
              <w:spacing w:line="400" w:lineRule="exact"/>
              <w:ind w:firstLine="480" w:firstLineChars="200"/>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Cs w:val="24"/>
                <w:highlight w:val="none"/>
                <w:lang w:bidi="ar"/>
              </w:rPr>
              <w:t>5．本合同使用货币币制如未作特别说明均为人民币。</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7F39928E">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7C5E9B95">
            <w:pPr>
              <w:snapToGrid w:val="0"/>
              <w:spacing w:line="400" w:lineRule="exact"/>
              <w:ind w:left="43"/>
              <w:rPr>
                <w:rFonts w:hint="eastAsia" w:ascii="宋体" w:hAnsi="宋体" w:eastAsia="宋体" w:cs="宋体"/>
                <w:color w:val="auto"/>
                <w:szCs w:val="24"/>
                <w:highlight w:val="none"/>
              </w:rPr>
            </w:pPr>
          </w:p>
        </w:tc>
      </w:tr>
      <w:tr w14:paraId="1D9730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13" w:hRule="atLeast"/>
          <w:jc w:val="center"/>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49D49CC">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bidi="ar"/>
              </w:rPr>
              <w:t>履约保证金</w:t>
            </w: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0B7B2F76">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1</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履约保证金金额：</w:t>
            </w:r>
            <w:r>
              <w:rPr>
                <w:rFonts w:hint="eastAsia" w:ascii="宋体" w:hAnsi="宋体" w:eastAsia="宋体" w:cs="宋体"/>
                <w:b w:val="0"/>
                <w:bCs w:val="0"/>
                <w:color w:val="auto"/>
                <w:szCs w:val="24"/>
                <w:highlight w:val="none"/>
                <w:u w:val="single"/>
                <w:lang w:bidi="ar"/>
              </w:rPr>
              <w:t>按成交总金额的 5 %。</w:t>
            </w:r>
            <w:r>
              <w:rPr>
                <w:rFonts w:hint="eastAsia" w:ascii="宋体" w:hAnsi="宋体" w:eastAsia="宋体" w:cs="宋体"/>
                <w:b w:val="0"/>
                <w:bCs w:val="0"/>
                <w:color w:val="auto"/>
                <w:szCs w:val="24"/>
                <w:highlight w:val="none"/>
                <w:lang w:bidi="ar"/>
              </w:rPr>
              <w:t>（对中小企业收取的履约保证金数额为成交总金额的2%）</w:t>
            </w:r>
          </w:p>
          <w:p w14:paraId="1A271EFF">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2</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履约保证金提交方式：以银行转账、支票、汇票、本票或者金融机构、担保机构出具的保函等非现金形式缴纳或提交，以转账方式提交履约保证金的，由成交供应商在签订合同前按规定的金额直接缴入右江民族医学院账户，账户名称: 右江民族医学院；开户行：建设银行百色分行营业部；银行账号：45001676101050702467。否则，不予办理签订合同。履约保证金提交时必须备注项目名称、项目编号（合同编号）。如：XXXXX项目履约保证金，项目编号/合同编号XXXXX-XXXXXX。</w:t>
            </w:r>
          </w:p>
          <w:p w14:paraId="003B5C5A">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3</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签订合同后，如成交供应商出现不按双方签订的合同规定履约，则其全部履约保证金不予退还，履约保证金不足以赔偿损失的，按实际损失赔偿。</w:t>
            </w:r>
          </w:p>
          <w:p w14:paraId="52892DB1">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4</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成交供应商按合同约定履约且无违约行为，在服务期满后，向采购人提交合格的合同验收书，填写履约保证金退付意见等材料并经采购人确认后，采购人在5个工作日内无息退还履约保证金。</w:t>
            </w:r>
          </w:p>
          <w:p w14:paraId="3D76FBC2">
            <w:pPr>
              <w:spacing w:line="400" w:lineRule="exact"/>
              <w:ind w:firstLine="480" w:firstLineChars="200"/>
              <w:rPr>
                <w:rFonts w:hint="eastAsia" w:ascii="宋体" w:hAnsi="宋体" w:eastAsia="宋体" w:cs="宋体"/>
                <w:b w:val="0"/>
                <w:bCs w:val="0"/>
                <w:color w:val="auto"/>
                <w:szCs w:val="24"/>
                <w:highlight w:val="none"/>
                <w:lang w:bidi="ar"/>
              </w:rPr>
            </w:pPr>
            <w:r>
              <w:rPr>
                <w:rFonts w:hint="eastAsia" w:ascii="宋体" w:hAnsi="宋体" w:eastAsia="宋体" w:cs="宋体"/>
                <w:b w:val="0"/>
                <w:bCs w:val="0"/>
                <w:color w:val="auto"/>
                <w:szCs w:val="24"/>
                <w:highlight w:val="none"/>
                <w:lang w:bidi="ar"/>
              </w:rPr>
              <w:t>5</w:t>
            </w:r>
            <w:r>
              <w:rPr>
                <w:rFonts w:hint="eastAsia" w:ascii="宋体" w:hAnsi="宋体" w:eastAsia="宋体" w:cs="宋体"/>
                <w:b w:val="0"/>
                <w:bCs w:val="0"/>
                <w:color w:val="auto"/>
                <w:szCs w:val="24"/>
                <w:highlight w:val="none"/>
                <w:lang w:eastAsia="zh-CN" w:bidi="ar"/>
              </w:rPr>
              <w:t>、</w:t>
            </w:r>
            <w:r>
              <w:rPr>
                <w:rFonts w:hint="eastAsia" w:ascii="宋体" w:hAnsi="宋体" w:eastAsia="宋体" w:cs="宋体"/>
                <w:b w:val="0"/>
                <w:bCs w:val="0"/>
                <w:color w:val="auto"/>
                <w:szCs w:val="24"/>
                <w:highlight w:val="none"/>
                <w:lang w:bidi="ar"/>
              </w:rPr>
              <w:t>在履约保证金退还日期前，若成交供应商的开户名称、开户银行、账号有变动的，请以书面形式通知采购人，否则由此产生的后果由成交供应商自负。</w:t>
            </w:r>
          </w:p>
          <w:p w14:paraId="43CD6093">
            <w:pPr>
              <w:spacing w:line="400" w:lineRule="exact"/>
              <w:ind w:firstLine="480" w:firstLineChars="200"/>
              <w:rPr>
                <w:rFonts w:hint="eastAsia" w:ascii="宋体" w:hAnsi="宋体" w:eastAsia="宋体" w:cs="宋体"/>
                <w:color w:val="auto"/>
                <w:sz w:val="24"/>
                <w:szCs w:val="24"/>
                <w:highlight w:val="none"/>
                <w:lang w:val="en-US" w:eastAsia="zh-CN" w:bidi="ar"/>
              </w:rPr>
            </w:pP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14:paraId="3EE6DC0C">
            <w:pPr>
              <w:snapToGrid w:val="0"/>
              <w:spacing w:line="400" w:lineRule="exact"/>
              <w:ind w:left="43"/>
              <w:rPr>
                <w:rFonts w:hint="eastAsia" w:ascii="宋体" w:hAnsi="宋体" w:eastAsia="宋体" w:cs="宋体"/>
                <w:color w:val="auto"/>
                <w:szCs w:val="24"/>
                <w:highlight w:val="none"/>
              </w:rPr>
            </w:pPr>
          </w:p>
        </w:tc>
        <w:tc>
          <w:tcPr>
            <w:tcW w:w="5259" w:type="dxa"/>
            <w:tcBorders>
              <w:top w:val="single" w:color="auto" w:sz="4" w:space="0"/>
              <w:left w:val="single" w:color="auto" w:sz="4" w:space="0"/>
              <w:bottom w:val="single" w:color="auto" w:sz="4" w:space="0"/>
              <w:right w:val="single" w:color="auto" w:sz="4" w:space="0"/>
            </w:tcBorders>
            <w:shd w:val="clear" w:color="auto" w:fill="auto"/>
            <w:vAlign w:val="center"/>
          </w:tcPr>
          <w:p w14:paraId="3839A92A">
            <w:pPr>
              <w:snapToGrid w:val="0"/>
              <w:spacing w:line="400" w:lineRule="exact"/>
              <w:ind w:left="43"/>
              <w:rPr>
                <w:rFonts w:hint="eastAsia" w:ascii="宋体" w:hAnsi="宋体" w:eastAsia="宋体" w:cs="宋体"/>
                <w:color w:val="auto"/>
                <w:szCs w:val="24"/>
                <w:highlight w:val="none"/>
              </w:rPr>
            </w:pPr>
          </w:p>
        </w:tc>
      </w:tr>
    </w:tbl>
    <w:p w14:paraId="7954ABDD">
      <w:pPr>
        <w:snapToGrid w:val="0"/>
        <w:spacing w:before="50" w:after="50" w:line="360" w:lineRule="exact"/>
        <w:rPr>
          <w:color w:val="auto"/>
          <w:spacing w:val="20"/>
          <w:szCs w:val="21"/>
        </w:rPr>
      </w:pPr>
    </w:p>
    <w:p w14:paraId="24A38EB0">
      <w:pPr>
        <w:snapToGrid w:val="0"/>
        <w:spacing w:before="50" w:after="50" w:line="360" w:lineRule="exact"/>
        <w:ind w:firstLine="240" w:firstLineChars="100"/>
        <w:rPr>
          <w:color w:val="auto"/>
          <w:spacing w:val="20"/>
          <w:szCs w:val="21"/>
          <w:u w:val="single"/>
        </w:rPr>
      </w:pPr>
      <w:bookmarkStart w:id="0" w:name="_GoBack"/>
      <w:r>
        <w:rPr>
          <w:rFonts w:hint="eastAsia"/>
          <w:color w:val="auto"/>
          <w:szCs w:val="21"/>
          <w:lang w:bidi="ar"/>
        </w:rPr>
        <w:t>法定代表人</w:t>
      </w:r>
      <w:r>
        <w:rPr>
          <w:rFonts w:hint="eastAsia"/>
          <w:color w:val="auto"/>
          <w:szCs w:val="21"/>
          <w:lang w:val="en-US" w:eastAsia="zh-CN" w:bidi="ar"/>
        </w:rPr>
        <w:t>/负责人</w:t>
      </w:r>
      <w:r>
        <w:rPr>
          <w:rFonts w:hint="eastAsia"/>
          <w:color w:val="auto"/>
          <w:szCs w:val="21"/>
          <w:lang w:val="en-US" w:eastAsia="zh-CN" w:bidi="ar"/>
        </w:rPr>
        <w:t>/</w:t>
      </w:r>
      <w:r>
        <w:rPr>
          <w:rFonts w:hint="eastAsia"/>
          <w:color w:val="auto"/>
          <w:szCs w:val="21"/>
          <w:lang w:bidi="ar"/>
        </w:rPr>
        <w:t>委托代理人签字</w:t>
      </w:r>
      <w:r>
        <w:rPr>
          <w:rFonts w:hint="eastAsia"/>
          <w:color w:val="auto"/>
          <w:spacing w:val="20"/>
          <w:szCs w:val="21"/>
          <w:lang w:bidi="ar"/>
        </w:rPr>
        <w:t>：</w:t>
      </w:r>
      <w:r>
        <w:rPr>
          <w:rFonts w:hint="eastAsia"/>
          <w:color w:val="auto"/>
          <w:spacing w:val="20"/>
          <w:szCs w:val="21"/>
          <w:u w:val="single"/>
          <w:lang w:bidi="ar"/>
        </w:rPr>
        <w:t xml:space="preserve">  </w:t>
      </w:r>
      <w:r>
        <w:rPr>
          <w:color w:val="auto"/>
          <w:spacing w:val="20"/>
          <w:szCs w:val="21"/>
          <w:u w:val="single"/>
          <w:lang w:bidi="ar"/>
        </w:rPr>
        <w:t xml:space="preserve"> </w:t>
      </w:r>
      <w:r>
        <w:rPr>
          <w:rFonts w:hint="eastAsia"/>
          <w:color w:val="auto"/>
          <w:spacing w:val="20"/>
          <w:szCs w:val="21"/>
          <w:u w:val="single"/>
          <w:lang w:bidi="ar"/>
        </w:rPr>
        <w:t xml:space="preserve">      </w:t>
      </w:r>
    </w:p>
    <w:p w14:paraId="088CF5BE">
      <w:pPr>
        <w:snapToGrid w:val="0"/>
        <w:spacing w:line="360" w:lineRule="exact"/>
        <w:ind w:firstLine="274" w:firstLineChars="98"/>
        <w:rPr>
          <w:color w:val="auto"/>
          <w:spacing w:val="20"/>
          <w:szCs w:val="21"/>
        </w:rPr>
      </w:pPr>
    </w:p>
    <w:p w14:paraId="1B86DD70">
      <w:pPr>
        <w:snapToGrid w:val="0"/>
        <w:spacing w:line="360" w:lineRule="exact"/>
        <w:ind w:firstLine="274" w:firstLineChars="98"/>
        <w:rPr>
          <w:color w:val="auto"/>
          <w:spacing w:val="20"/>
          <w:szCs w:val="21"/>
          <w:lang w:bidi="ar"/>
        </w:rPr>
      </w:pPr>
      <w:r>
        <w:rPr>
          <w:rFonts w:hint="eastAsia"/>
          <w:color w:val="auto"/>
          <w:spacing w:val="20"/>
          <w:szCs w:val="21"/>
          <w:lang w:val="en-US" w:eastAsia="zh-CN" w:bidi="ar"/>
        </w:rPr>
        <w:t>报价单位（</w:t>
      </w:r>
      <w:r>
        <w:rPr>
          <w:rFonts w:hint="eastAsia"/>
          <w:color w:val="auto"/>
          <w:spacing w:val="20"/>
          <w:szCs w:val="21"/>
          <w:lang w:bidi="ar"/>
        </w:rPr>
        <w:t>盖章</w:t>
      </w:r>
      <w:r>
        <w:rPr>
          <w:rFonts w:hint="eastAsia"/>
          <w:color w:val="auto"/>
          <w:spacing w:val="20"/>
          <w:szCs w:val="21"/>
          <w:lang w:eastAsia="zh-CN" w:bidi="ar"/>
        </w:rPr>
        <w:t>）</w:t>
      </w:r>
      <w:r>
        <w:rPr>
          <w:rFonts w:hint="eastAsia"/>
          <w:color w:val="auto"/>
          <w:spacing w:val="20"/>
          <w:szCs w:val="21"/>
          <w:lang w:bidi="ar"/>
        </w:rPr>
        <w:t>：</w:t>
      </w:r>
      <w:r>
        <w:rPr>
          <w:rFonts w:hint="eastAsia"/>
          <w:color w:val="auto"/>
          <w:spacing w:val="20"/>
          <w:szCs w:val="21"/>
          <w:u w:val="single"/>
          <w:lang w:bidi="ar"/>
        </w:rPr>
        <w:t xml:space="preserve">            </w:t>
      </w:r>
      <w:r>
        <w:rPr>
          <w:rFonts w:hint="eastAsia"/>
          <w:color w:val="auto"/>
          <w:spacing w:val="20"/>
          <w:szCs w:val="21"/>
          <w:lang w:bidi="ar"/>
        </w:rPr>
        <w:t xml:space="preserve">              </w:t>
      </w:r>
    </w:p>
    <w:p w14:paraId="191C6782">
      <w:pPr>
        <w:snapToGrid w:val="0"/>
        <w:spacing w:line="360" w:lineRule="exact"/>
        <w:ind w:firstLine="274" w:firstLineChars="98"/>
        <w:rPr>
          <w:color w:val="auto"/>
          <w:spacing w:val="20"/>
          <w:szCs w:val="21"/>
          <w:lang w:bidi="ar"/>
        </w:rPr>
      </w:pPr>
    </w:p>
    <w:p w14:paraId="48587AEA">
      <w:pPr>
        <w:snapToGrid w:val="0"/>
        <w:spacing w:line="360" w:lineRule="exact"/>
        <w:ind w:firstLine="274" w:firstLineChars="98"/>
        <w:rPr>
          <w:b/>
          <w:color w:val="auto"/>
          <w:szCs w:val="21"/>
        </w:rPr>
      </w:pPr>
      <w:r>
        <w:rPr>
          <w:rFonts w:hint="eastAsia"/>
          <w:color w:val="auto"/>
          <w:spacing w:val="20"/>
          <w:szCs w:val="21"/>
          <w:lang w:bidi="ar"/>
        </w:rPr>
        <w:t>日 期：</w:t>
      </w:r>
      <w:r>
        <w:rPr>
          <w:rFonts w:hint="eastAsia"/>
          <w:color w:val="auto"/>
          <w:spacing w:val="20"/>
          <w:szCs w:val="21"/>
          <w:u w:val="single"/>
          <w:lang w:bidi="ar"/>
        </w:rPr>
        <w:t xml:space="preserve">          </w:t>
      </w:r>
    </w:p>
    <w:bookmarkEnd w:id="0"/>
    <w:p w14:paraId="38A8A5AB">
      <w:pPr>
        <w:rPr>
          <w:rFonts w:ascii="华文仿宋" w:hAnsi="华文仿宋" w:eastAsia="华文仿宋" w:cs="华文仿宋"/>
          <w:b/>
          <w:bCs/>
          <w:color w:val="auto"/>
          <w:sz w:val="30"/>
          <w:szCs w:val="30"/>
        </w:rPr>
        <w:sectPr>
          <w:pgSz w:w="15840" w:h="12240" w:orient="landscape"/>
          <w:pgMar w:top="1800" w:right="1440" w:bottom="1800" w:left="1440" w:header="720" w:footer="720" w:gutter="0"/>
          <w:cols w:space="0" w:num="1"/>
          <w:docGrid w:type="lines" w:linePitch="332" w:charSpace="0"/>
        </w:sectPr>
      </w:pPr>
      <w:r>
        <w:rPr>
          <w:rFonts w:ascii="华文仿宋" w:hAnsi="华文仿宋" w:eastAsia="华文仿宋" w:cs="华文仿宋"/>
          <w:b/>
          <w:bCs/>
          <w:color w:val="auto"/>
          <w:sz w:val="30"/>
          <w:szCs w:val="30"/>
        </w:rPr>
        <w:br w:type="page"/>
      </w:r>
    </w:p>
    <w:p w14:paraId="31086903">
      <w:pPr>
        <w:spacing w:line="240" w:lineRule="auto"/>
        <w:jc w:val="center"/>
        <w:rPr>
          <w:rFonts w:hint="eastAsia" w:ascii="宋体" w:hAnsi="宋体" w:eastAsia="宋体" w:cs="宋体"/>
          <w:b/>
          <w:bCs/>
          <w:color w:val="auto"/>
          <w:sz w:val="36"/>
          <w:szCs w:val="36"/>
          <w:highlight w:val="none"/>
          <w:lang w:bidi="ar"/>
        </w:rPr>
      </w:pPr>
      <w:r>
        <w:rPr>
          <w:rFonts w:hint="eastAsia" w:cs="宋体"/>
          <w:b/>
          <w:bCs/>
          <w:color w:val="auto"/>
          <w:sz w:val="36"/>
          <w:szCs w:val="36"/>
          <w:highlight w:val="none"/>
          <w:lang w:val="en-US" w:eastAsia="zh-CN" w:bidi="ar"/>
        </w:rPr>
        <w:t>三、</w:t>
      </w:r>
      <w:r>
        <w:rPr>
          <w:rFonts w:hint="eastAsia" w:ascii="宋体" w:hAnsi="宋体" w:eastAsia="宋体" w:cs="宋体"/>
          <w:b/>
          <w:bCs/>
          <w:color w:val="auto"/>
          <w:sz w:val="36"/>
          <w:szCs w:val="36"/>
          <w:highlight w:val="none"/>
          <w:lang w:bidi="ar"/>
        </w:rPr>
        <w:t>营业执照复印件</w:t>
      </w:r>
    </w:p>
    <w:p w14:paraId="3708DDB4">
      <w:pPr>
        <w:spacing w:line="240" w:lineRule="auto"/>
        <w:jc w:val="center"/>
        <w:rPr>
          <w:rFonts w:hint="eastAsia" w:ascii="宋体" w:hAnsi="宋体" w:eastAsia="宋体" w:cs="宋体"/>
          <w:b/>
          <w:bCs/>
          <w:color w:val="auto"/>
          <w:sz w:val="36"/>
          <w:szCs w:val="36"/>
          <w:highlight w:val="none"/>
          <w:lang w:bidi="ar"/>
        </w:rPr>
      </w:pPr>
    </w:p>
    <w:p w14:paraId="12027FAE">
      <w:pPr>
        <w:spacing w:line="240" w:lineRule="auto"/>
        <w:jc w:val="center"/>
        <w:rPr>
          <w:rFonts w:hint="eastAsia" w:ascii="宋体" w:hAnsi="宋体" w:eastAsia="宋体" w:cs="宋体"/>
          <w:b/>
          <w:bCs/>
          <w:color w:val="auto"/>
          <w:sz w:val="36"/>
          <w:szCs w:val="36"/>
          <w:highlight w:val="none"/>
          <w:lang w:bidi="ar"/>
        </w:rPr>
        <w:sectPr>
          <w:pgSz w:w="15840" w:h="12240" w:orient="landscape"/>
          <w:pgMar w:top="1800" w:right="1440" w:bottom="1800" w:left="1440" w:header="720" w:footer="720" w:gutter="0"/>
          <w:cols w:space="0" w:num="1"/>
          <w:docGrid w:type="lines" w:linePitch="332" w:charSpace="0"/>
        </w:sectPr>
      </w:pPr>
    </w:p>
    <w:p w14:paraId="64C3D164">
      <w:pPr>
        <w:spacing w:line="240" w:lineRule="auto"/>
        <w:jc w:val="center"/>
        <w:rPr>
          <w:rFonts w:hint="eastAsia" w:cs="宋体"/>
          <w:b/>
          <w:bCs/>
          <w:color w:val="auto"/>
          <w:sz w:val="36"/>
          <w:szCs w:val="36"/>
          <w:highlight w:val="none"/>
          <w:lang w:val="en-US" w:eastAsia="zh-CN" w:bidi="ar"/>
        </w:rPr>
      </w:pPr>
      <w:r>
        <w:rPr>
          <w:rFonts w:hint="eastAsia" w:cs="宋体"/>
          <w:b/>
          <w:bCs/>
          <w:color w:val="auto"/>
          <w:sz w:val="36"/>
          <w:szCs w:val="36"/>
          <w:highlight w:val="none"/>
          <w:lang w:val="en-US" w:eastAsia="zh-CN" w:bidi="ar"/>
        </w:rPr>
        <w:t>四、法定代表人或负责人和授权代表（如有授权委托）</w:t>
      </w:r>
    </w:p>
    <w:p w14:paraId="5DA19BD2">
      <w:pPr>
        <w:spacing w:line="240" w:lineRule="auto"/>
        <w:jc w:val="center"/>
        <w:rPr>
          <w:rFonts w:hint="eastAsia" w:ascii="宋体" w:hAnsi="宋体" w:eastAsia="宋体" w:cs="宋体"/>
          <w:b/>
          <w:bCs/>
          <w:color w:val="auto"/>
          <w:sz w:val="36"/>
          <w:szCs w:val="36"/>
          <w:highlight w:val="none"/>
          <w:lang w:bidi="ar"/>
        </w:rPr>
      </w:pPr>
      <w:r>
        <w:rPr>
          <w:rFonts w:hint="eastAsia" w:cs="宋体"/>
          <w:b/>
          <w:bCs/>
          <w:color w:val="auto"/>
          <w:sz w:val="36"/>
          <w:szCs w:val="36"/>
          <w:highlight w:val="none"/>
          <w:lang w:val="en-US" w:eastAsia="zh-CN" w:bidi="ar"/>
        </w:rPr>
        <w:t>身份证复印件</w:t>
      </w:r>
    </w:p>
    <w:p w14:paraId="3826C824">
      <w:pPr>
        <w:spacing w:line="240" w:lineRule="auto"/>
        <w:jc w:val="center"/>
        <w:rPr>
          <w:rFonts w:hint="eastAsia" w:ascii="宋体" w:hAnsi="宋体" w:eastAsia="宋体" w:cs="宋体"/>
          <w:b/>
          <w:bCs/>
          <w:color w:val="auto"/>
          <w:sz w:val="36"/>
          <w:szCs w:val="36"/>
          <w:highlight w:val="none"/>
          <w:lang w:bidi="ar"/>
        </w:rPr>
      </w:pPr>
    </w:p>
    <w:p w14:paraId="238225A9">
      <w:pPr>
        <w:spacing w:line="240" w:lineRule="auto"/>
        <w:jc w:val="center"/>
        <w:rPr>
          <w:rFonts w:hint="eastAsia" w:ascii="宋体" w:hAnsi="宋体" w:eastAsia="宋体" w:cs="宋体"/>
          <w:b/>
          <w:bCs/>
          <w:color w:val="auto"/>
          <w:sz w:val="36"/>
          <w:szCs w:val="36"/>
          <w:highlight w:val="none"/>
          <w:lang w:bidi="ar"/>
        </w:rPr>
      </w:pPr>
    </w:p>
    <w:p w14:paraId="691F6BB6">
      <w:pPr>
        <w:spacing w:line="240" w:lineRule="auto"/>
        <w:jc w:val="center"/>
        <w:rPr>
          <w:rFonts w:hint="eastAsia" w:ascii="宋体" w:hAnsi="宋体" w:eastAsia="宋体" w:cs="宋体"/>
          <w:b/>
          <w:bCs/>
          <w:color w:val="auto"/>
          <w:sz w:val="36"/>
          <w:szCs w:val="36"/>
          <w:highlight w:val="none"/>
          <w:lang w:bidi="ar"/>
        </w:rPr>
      </w:pPr>
    </w:p>
    <w:p w14:paraId="71831CCC">
      <w:pPr>
        <w:spacing w:line="240" w:lineRule="auto"/>
        <w:jc w:val="center"/>
        <w:rPr>
          <w:rFonts w:hint="eastAsia" w:ascii="宋体" w:hAnsi="宋体" w:eastAsia="宋体" w:cs="宋体"/>
          <w:b/>
          <w:bCs/>
          <w:color w:val="auto"/>
          <w:sz w:val="36"/>
          <w:szCs w:val="36"/>
          <w:highlight w:val="none"/>
          <w:lang w:bidi="ar"/>
        </w:rPr>
      </w:pPr>
    </w:p>
    <w:p w14:paraId="255FB4EE">
      <w:pPr>
        <w:spacing w:line="240" w:lineRule="auto"/>
        <w:jc w:val="center"/>
        <w:rPr>
          <w:rFonts w:hint="eastAsia" w:ascii="宋体" w:hAnsi="宋体" w:eastAsia="宋体" w:cs="宋体"/>
          <w:b/>
          <w:bCs/>
          <w:color w:val="auto"/>
          <w:sz w:val="36"/>
          <w:szCs w:val="36"/>
          <w:highlight w:val="none"/>
          <w:lang w:bidi="ar"/>
        </w:rPr>
      </w:pPr>
    </w:p>
    <w:p w14:paraId="4E442CE4">
      <w:pPr>
        <w:spacing w:line="240" w:lineRule="auto"/>
        <w:jc w:val="center"/>
        <w:rPr>
          <w:rFonts w:hint="eastAsia" w:ascii="宋体" w:hAnsi="宋体" w:eastAsia="宋体" w:cs="宋体"/>
          <w:b/>
          <w:bCs/>
          <w:color w:val="auto"/>
          <w:sz w:val="36"/>
          <w:szCs w:val="36"/>
          <w:highlight w:val="none"/>
          <w:lang w:bidi="ar"/>
        </w:rPr>
      </w:pPr>
    </w:p>
    <w:p w14:paraId="3D7301D4">
      <w:pPr>
        <w:spacing w:line="240" w:lineRule="auto"/>
        <w:jc w:val="center"/>
        <w:rPr>
          <w:rFonts w:hint="eastAsia" w:ascii="宋体" w:hAnsi="宋体" w:eastAsia="宋体" w:cs="宋体"/>
          <w:b/>
          <w:bCs/>
          <w:color w:val="auto"/>
          <w:sz w:val="36"/>
          <w:szCs w:val="36"/>
          <w:highlight w:val="none"/>
          <w:lang w:bidi="ar"/>
        </w:rPr>
      </w:pPr>
    </w:p>
    <w:p w14:paraId="56D30DCC">
      <w:pPr>
        <w:spacing w:line="240" w:lineRule="auto"/>
        <w:jc w:val="center"/>
        <w:rPr>
          <w:rFonts w:hint="eastAsia" w:ascii="宋体" w:hAnsi="宋体" w:eastAsia="宋体" w:cs="宋体"/>
          <w:b/>
          <w:bCs/>
          <w:color w:val="auto"/>
          <w:sz w:val="36"/>
          <w:szCs w:val="36"/>
          <w:highlight w:val="none"/>
          <w:lang w:bidi="ar"/>
        </w:rPr>
      </w:pPr>
    </w:p>
    <w:p w14:paraId="488E16D8">
      <w:pPr>
        <w:spacing w:line="240" w:lineRule="auto"/>
        <w:jc w:val="center"/>
        <w:rPr>
          <w:rFonts w:hint="eastAsia" w:ascii="宋体" w:hAnsi="宋体" w:eastAsia="宋体" w:cs="宋体"/>
          <w:b/>
          <w:bCs/>
          <w:color w:val="auto"/>
          <w:sz w:val="36"/>
          <w:szCs w:val="36"/>
          <w:highlight w:val="none"/>
          <w:lang w:bidi="ar"/>
        </w:rPr>
      </w:pPr>
    </w:p>
    <w:p w14:paraId="1BE24BDA">
      <w:pPr>
        <w:spacing w:line="240" w:lineRule="auto"/>
        <w:jc w:val="center"/>
        <w:rPr>
          <w:rFonts w:hint="eastAsia" w:ascii="宋体" w:hAnsi="宋体" w:eastAsia="宋体" w:cs="宋体"/>
          <w:b/>
          <w:bCs/>
          <w:color w:val="auto"/>
          <w:sz w:val="36"/>
          <w:szCs w:val="36"/>
          <w:highlight w:val="none"/>
          <w:lang w:bidi="ar"/>
        </w:rPr>
      </w:pPr>
    </w:p>
    <w:p w14:paraId="796BB676">
      <w:pPr>
        <w:spacing w:line="240" w:lineRule="auto"/>
        <w:jc w:val="center"/>
        <w:rPr>
          <w:rFonts w:hint="eastAsia" w:ascii="宋体" w:hAnsi="宋体" w:eastAsia="宋体" w:cs="宋体"/>
          <w:b/>
          <w:bCs/>
          <w:color w:val="auto"/>
          <w:sz w:val="36"/>
          <w:szCs w:val="36"/>
          <w:highlight w:val="none"/>
          <w:lang w:bidi="ar"/>
        </w:rPr>
      </w:pPr>
    </w:p>
    <w:p w14:paraId="41272209">
      <w:pPr>
        <w:spacing w:line="240" w:lineRule="auto"/>
        <w:jc w:val="center"/>
        <w:rPr>
          <w:rFonts w:hint="eastAsia" w:ascii="宋体" w:hAnsi="宋体" w:eastAsia="宋体" w:cs="宋体"/>
          <w:b/>
          <w:bCs/>
          <w:color w:val="auto"/>
          <w:sz w:val="36"/>
          <w:szCs w:val="36"/>
          <w:highlight w:val="none"/>
          <w:lang w:bidi="ar"/>
        </w:rPr>
      </w:pPr>
    </w:p>
    <w:p w14:paraId="084BC0CE">
      <w:pPr>
        <w:spacing w:line="240" w:lineRule="auto"/>
        <w:jc w:val="center"/>
        <w:rPr>
          <w:rFonts w:hint="eastAsia" w:ascii="宋体" w:hAnsi="宋体" w:eastAsia="宋体" w:cs="宋体"/>
          <w:b/>
          <w:bCs/>
          <w:color w:val="auto"/>
          <w:sz w:val="36"/>
          <w:szCs w:val="36"/>
          <w:highlight w:val="none"/>
          <w:lang w:bidi="ar"/>
        </w:rPr>
      </w:pPr>
    </w:p>
    <w:p w14:paraId="1995326F">
      <w:pPr>
        <w:spacing w:line="240" w:lineRule="auto"/>
        <w:jc w:val="center"/>
        <w:rPr>
          <w:rFonts w:hint="eastAsia" w:ascii="宋体" w:hAnsi="宋体" w:eastAsia="宋体" w:cs="宋体"/>
          <w:b/>
          <w:bCs/>
          <w:color w:val="auto"/>
          <w:sz w:val="36"/>
          <w:szCs w:val="36"/>
          <w:highlight w:val="none"/>
          <w:lang w:bidi="ar"/>
        </w:rPr>
      </w:pPr>
    </w:p>
    <w:p w14:paraId="535DC436">
      <w:pPr>
        <w:spacing w:line="240" w:lineRule="auto"/>
        <w:jc w:val="center"/>
        <w:rPr>
          <w:rFonts w:hint="eastAsia" w:ascii="宋体" w:hAnsi="宋体" w:eastAsia="宋体" w:cs="宋体"/>
          <w:b/>
          <w:bCs/>
          <w:color w:val="auto"/>
          <w:sz w:val="36"/>
          <w:szCs w:val="36"/>
          <w:highlight w:val="none"/>
          <w:lang w:bidi="ar"/>
        </w:rPr>
      </w:pPr>
    </w:p>
    <w:p w14:paraId="12918E67">
      <w:pPr>
        <w:spacing w:line="240" w:lineRule="auto"/>
        <w:jc w:val="center"/>
        <w:rPr>
          <w:rFonts w:hint="eastAsia" w:ascii="宋体" w:hAnsi="宋体" w:eastAsia="宋体" w:cs="宋体"/>
          <w:b/>
          <w:bCs/>
          <w:color w:val="auto"/>
          <w:sz w:val="36"/>
          <w:szCs w:val="36"/>
          <w:highlight w:val="none"/>
          <w:lang w:bidi="ar"/>
        </w:rPr>
      </w:pPr>
    </w:p>
    <w:p w14:paraId="1E76065B">
      <w:pPr>
        <w:spacing w:line="240" w:lineRule="auto"/>
        <w:jc w:val="center"/>
        <w:rPr>
          <w:rFonts w:hint="eastAsia" w:ascii="宋体" w:hAnsi="宋体" w:eastAsia="宋体" w:cs="宋体"/>
          <w:b/>
          <w:bCs/>
          <w:color w:val="auto"/>
          <w:sz w:val="36"/>
          <w:szCs w:val="36"/>
          <w:highlight w:val="none"/>
          <w:lang w:bidi="ar"/>
        </w:rPr>
      </w:pPr>
    </w:p>
    <w:p w14:paraId="08E53499">
      <w:pPr>
        <w:snapToGrid w:val="0"/>
        <w:spacing w:before="156" w:beforeLines="50" w:after="50" w:line="440" w:lineRule="exact"/>
        <w:jc w:val="center"/>
        <w:rPr>
          <w:b/>
          <w:color w:val="auto"/>
          <w:sz w:val="36"/>
          <w:szCs w:val="21"/>
        </w:rPr>
      </w:pPr>
      <w:r>
        <w:rPr>
          <w:rFonts w:hint="eastAsia"/>
          <w:b/>
          <w:color w:val="auto"/>
          <w:sz w:val="36"/>
          <w:szCs w:val="21"/>
          <w:lang w:val="en-US" w:eastAsia="zh-CN"/>
        </w:rPr>
        <w:t>五、</w:t>
      </w:r>
      <w:r>
        <w:rPr>
          <w:b/>
          <w:color w:val="auto"/>
          <w:sz w:val="36"/>
          <w:szCs w:val="21"/>
        </w:rPr>
        <w:t>授权委托书</w:t>
      </w:r>
    </w:p>
    <w:p w14:paraId="1A86D0D4">
      <w:pPr>
        <w:snapToGrid w:val="0"/>
        <w:spacing w:before="156" w:beforeLines="50" w:after="50" w:line="440" w:lineRule="exact"/>
        <w:jc w:val="center"/>
        <w:rPr>
          <w:b/>
          <w:color w:val="auto"/>
          <w:sz w:val="36"/>
          <w:szCs w:val="21"/>
        </w:rPr>
      </w:pPr>
    </w:p>
    <w:p w14:paraId="5BD33632">
      <w:pPr>
        <w:snapToGrid w:val="0"/>
        <w:spacing w:before="156" w:beforeLines="50" w:after="50" w:line="440" w:lineRule="exact"/>
        <w:rPr>
          <w:b/>
          <w:bCs/>
          <w:color w:val="auto"/>
          <w:sz w:val="28"/>
          <w:szCs w:val="28"/>
        </w:rPr>
      </w:pPr>
      <w:r>
        <w:rPr>
          <w:rFonts w:hint="eastAsia"/>
          <w:bCs/>
          <w:color w:val="auto"/>
          <w:sz w:val="28"/>
          <w:szCs w:val="28"/>
        </w:rPr>
        <w:t>右江民族医学院</w:t>
      </w:r>
      <w:r>
        <w:rPr>
          <w:color w:val="auto"/>
          <w:sz w:val="28"/>
          <w:szCs w:val="28"/>
        </w:rPr>
        <w:t>：</w:t>
      </w:r>
    </w:p>
    <w:p w14:paraId="0D3CC1F8">
      <w:pPr>
        <w:snapToGrid w:val="0"/>
        <w:spacing w:before="156" w:beforeLines="50" w:after="50" w:line="440" w:lineRule="exact"/>
        <w:ind w:firstLine="560" w:firstLineChars="200"/>
        <w:rPr>
          <w:color w:val="auto"/>
          <w:sz w:val="28"/>
          <w:szCs w:val="28"/>
        </w:rPr>
      </w:pPr>
      <w:r>
        <w:rPr>
          <w:color w:val="auto"/>
          <w:sz w:val="28"/>
          <w:szCs w:val="28"/>
        </w:rPr>
        <w:t>我</w:t>
      </w:r>
      <w:r>
        <w:rPr>
          <w:rFonts w:hint="eastAsia"/>
          <w:color w:val="auto"/>
          <w:sz w:val="28"/>
          <w:szCs w:val="28"/>
          <w:u w:val="single"/>
          <w:lang w:val="en-US" w:eastAsia="zh-CN"/>
        </w:rPr>
        <w:t xml:space="preserve"> </w:t>
      </w:r>
      <w:r>
        <w:rPr>
          <w:i/>
          <w:iCs/>
          <w:color w:val="auto"/>
          <w:sz w:val="28"/>
          <w:szCs w:val="28"/>
          <w:u w:val="single"/>
        </w:rPr>
        <w:t>（</w:t>
      </w:r>
      <w:r>
        <w:rPr>
          <w:rFonts w:hint="eastAsia"/>
          <w:i/>
          <w:iCs/>
          <w:color w:val="auto"/>
          <w:sz w:val="28"/>
          <w:szCs w:val="28"/>
          <w:u w:val="single"/>
        </w:rPr>
        <w:t>法定代表人/负责人姓名</w:t>
      </w:r>
      <w:r>
        <w:rPr>
          <w:i/>
          <w:iCs/>
          <w:color w:val="auto"/>
          <w:sz w:val="28"/>
          <w:szCs w:val="28"/>
          <w:u w:val="single"/>
        </w:rPr>
        <w:t>）</w:t>
      </w:r>
      <w:r>
        <w:rPr>
          <w:rFonts w:hint="eastAsia"/>
          <w:i/>
          <w:iCs/>
          <w:color w:val="auto"/>
          <w:sz w:val="28"/>
          <w:szCs w:val="28"/>
          <w:u w:val="single"/>
          <w:lang w:val="en-US" w:eastAsia="zh-CN"/>
        </w:rPr>
        <w:t xml:space="preserve"> </w:t>
      </w:r>
      <w:r>
        <w:rPr>
          <w:color w:val="auto"/>
          <w:sz w:val="28"/>
          <w:szCs w:val="28"/>
        </w:rPr>
        <w:t>系</w:t>
      </w:r>
      <w:r>
        <w:rPr>
          <w:rFonts w:hint="eastAsia"/>
          <w:color w:val="auto"/>
          <w:sz w:val="28"/>
          <w:szCs w:val="28"/>
          <w:u w:val="single"/>
          <w:lang w:val="en-US" w:eastAsia="zh-CN"/>
        </w:rPr>
        <w:t xml:space="preserve"> </w:t>
      </w:r>
      <w:r>
        <w:rPr>
          <w:i/>
          <w:iCs/>
          <w:color w:val="auto"/>
          <w:sz w:val="28"/>
          <w:szCs w:val="28"/>
          <w:u w:val="single"/>
        </w:rPr>
        <w:t>（供应商名称）</w:t>
      </w:r>
      <w:r>
        <w:rPr>
          <w:rFonts w:hint="eastAsia"/>
          <w:i/>
          <w:iCs/>
          <w:color w:val="auto"/>
          <w:sz w:val="28"/>
          <w:szCs w:val="28"/>
          <w:u w:val="single"/>
          <w:lang w:val="en-US" w:eastAsia="zh-CN"/>
        </w:rPr>
        <w:t xml:space="preserve"> </w:t>
      </w:r>
      <w:r>
        <w:rPr>
          <w:color w:val="auto"/>
          <w:sz w:val="28"/>
          <w:szCs w:val="28"/>
        </w:rPr>
        <w:t>的</w:t>
      </w:r>
      <w:r>
        <w:rPr>
          <w:rFonts w:hint="eastAsia"/>
          <w:color w:val="auto"/>
          <w:sz w:val="28"/>
          <w:szCs w:val="28"/>
        </w:rPr>
        <w:t>法定代表人/负责人/经营者</w:t>
      </w:r>
      <w:r>
        <w:rPr>
          <w:color w:val="auto"/>
          <w:sz w:val="28"/>
          <w:szCs w:val="28"/>
        </w:rPr>
        <w:t xml:space="preserve">，现授权委托本单位在职职工 </w:t>
      </w:r>
      <w:r>
        <w:rPr>
          <w:color w:val="auto"/>
          <w:sz w:val="28"/>
          <w:szCs w:val="28"/>
          <w:u w:val="single"/>
        </w:rPr>
        <w:t xml:space="preserve">        </w:t>
      </w:r>
      <w:r>
        <w:rPr>
          <w:color w:val="auto"/>
          <w:sz w:val="28"/>
          <w:szCs w:val="28"/>
        </w:rPr>
        <w:t>（姓名）以我方的名义参加</w:t>
      </w:r>
      <w:r>
        <w:rPr>
          <w:rFonts w:hint="eastAsia"/>
          <w:bCs/>
          <w:i w:val="0"/>
          <w:iCs w:val="0"/>
          <w:color w:val="auto"/>
          <w:sz w:val="28"/>
          <w:szCs w:val="32"/>
          <w:u w:val="single"/>
        </w:rPr>
        <w:t>右江民族医学院互联网络专线租赁服务采购项目</w:t>
      </w:r>
      <w:r>
        <w:rPr>
          <w:rFonts w:hint="eastAsia"/>
          <w:bCs/>
          <w:i w:val="0"/>
          <w:iCs w:val="0"/>
          <w:color w:val="auto"/>
          <w:sz w:val="28"/>
          <w:szCs w:val="32"/>
          <w:u w:val="single"/>
          <w:lang w:eastAsia="zh-CN"/>
        </w:rPr>
        <w:t>（分标一）</w:t>
      </w:r>
      <w:r>
        <w:rPr>
          <w:color w:val="auto"/>
          <w:sz w:val="28"/>
          <w:szCs w:val="28"/>
        </w:rPr>
        <w:t>的</w:t>
      </w:r>
      <w:r>
        <w:rPr>
          <w:rFonts w:hint="eastAsia"/>
          <w:color w:val="auto"/>
          <w:sz w:val="28"/>
          <w:szCs w:val="28"/>
        </w:rPr>
        <w:t>采购</w:t>
      </w:r>
      <w:r>
        <w:rPr>
          <w:color w:val="auto"/>
          <w:sz w:val="28"/>
          <w:szCs w:val="28"/>
        </w:rPr>
        <w:t>活动，并代表我方全权办理针对上述项目的具体事务和签署相关文件。</w:t>
      </w:r>
    </w:p>
    <w:p w14:paraId="538D8BD1">
      <w:pPr>
        <w:snapToGrid w:val="0"/>
        <w:spacing w:before="156" w:beforeLines="50" w:after="50" w:line="440" w:lineRule="exact"/>
        <w:rPr>
          <w:color w:val="auto"/>
          <w:sz w:val="28"/>
          <w:szCs w:val="28"/>
        </w:rPr>
      </w:pPr>
      <w:r>
        <w:rPr>
          <w:color w:val="auto"/>
          <w:sz w:val="28"/>
          <w:szCs w:val="28"/>
        </w:rPr>
        <w:t xml:space="preserve">    我方对被授权人的签名事项负全部责任。</w:t>
      </w:r>
    </w:p>
    <w:p w14:paraId="2D90190A">
      <w:pPr>
        <w:snapToGrid w:val="0"/>
        <w:spacing w:before="156" w:beforeLines="50" w:after="50" w:line="440" w:lineRule="exact"/>
        <w:ind w:firstLine="560" w:firstLineChars="200"/>
        <w:rPr>
          <w:color w:val="auto"/>
          <w:sz w:val="28"/>
          <w:szCs w:val="28"/>
        </w:rPr>
      </w:pPr>
      <w:r>
        <w:rPr>
          <w:color w:val="auto"/>
          <w:sz w:val="28"/>
          <w:szCs w:val="28"/>
        </w:rPr>
        <w:t>在撤销授权的书面通知以前，本授权书一直有效。被授权人在授权书有效期内签署的所有文件不因授权的撤销而失效。</w:t>
      </w:r>
    </w:p>
    <w:p w14:paraId="2FB6C49A">
      <w:pPr>
        <w:snapToGrid w:val="0"/>
        <w:spacing w:before="156" w:beforeLines="50" w:after="50" w:line="440" w:lineRule="exact"/>
        <w:ind w:firstLine="560" w:firstLineChars="200"/>
        <w:rPr>
          <w:color w:val="auto"/>
          <w:sz w:val="28"/>
          <w:szCs w:val="28"/>
        </w:rPr>
      </w:pPr>
      <w:r>
        <w:rPr>
          <w:color w:val="auto"/>
          <w:sz w:val="28"/>
          <w:szCs w:val="28"/>
        </w:rPr>
        <w:t>被授权人无转委托权，特此委托。</w:t>
      </w:r>
    </w:p>
    <w:p w14:paraId="686B216A">
      <w:pPr>
        <w:snapToGrid w:val="0"/>
        <w:spacing w:before="156" w:beforeLines="50" w:after="50" w:line="440" w:lineRule="exact"/>
        <w:rPr>
          <w:color w:val="auto"/>
          <w:sz w:val="28"/>
          <w:szCs w:val="28"/>
        </w:rPr>
      </w:pPr>
      <w:r>
        <w:rPr>
          <w:color w:val="auto"/>
          <w:sz w:val="28"/>
          <w:szCs w:val="28"/>
        </w:rPr>
        <w:t>被授权人签字或盖章：</w:t>
      </w:r>
      <w:r>
        <w:rPr>
          <w:color w:val="auto"/>
          <w:sz w:val="28"/>
          <w:szCs w:val="28"/>
          <w:u w:val="single"/>
        </w:rPr>
        <w:t xml:space="preserve">          </w:t>
      </w:r>
      <w:r>
        <w:rPr>
          <w:color w:val="auto"/>
          <w:sz w:val="28"/>
          <w:szCs w:val="28"/>
        </w:rPr>
        <w:t xml:space="preserve">                </w:t>
      </w:r>
    </w:p>
    <w:p w14:paraId="5D97EE08">
      <w:pPr>
        <w:snapToGrid w:val="0"/>
        <w:spacing w:before="156" w:beforeLines="50" w:after="50" w:line="440" w:lineRule="exact"/>
        <w:rPr>
          <w:color w:val="auto"/>
          <w:sz w:val="28"/>
          <w:szCs w:val="28"/>
          <w:u w:val="single"/>
        </w:rPr>
      </w:pPr>
      <w:r>
        <w:rPr>
          <w:color w:val="auto"/>
          <w:sz w:val="28"/>
          <w:szCs w:val="28"/>
        </w:rPr>
        <w:t>法定代表人</w:t>
      </w:r>
      <w:r>
        <w:rPr>
          <w:rFonts w:hint="eastAsia"/>
          <w:color w:val="auto"/>
          <w:sz w:val="28"/>
          <w:szCs w:val="28"/>
        </w:rPr>
        <w:t>/负责人</w:t>
      </w:r>
      <w:r>
        <w:rPr>
          <w:color w:val="auto"/>
          <w:sz w:val="28"/>
          <w:szCs w:val="28"/>
        </w:rPr>
        <w:t>签字或盖章：</w:t>
      </w:r>
      <w:r>
        <w:rPr>
          <w:color w:val="auto"/>
          <w:sz w:val="28"/>
          <w:szCs w:val="28"/>
          <w:u w:val="single"/>
        </w:rPr>
        <w:t xml:space="preserve">          </w:t>
      </w:r>
    </w:p>
    <w:p w14:paraId="68A6D1E9">
      <w:pPr>
        <w:snapToGrid w:val="0"/>
        <w:spacing w:before="156" w:beforeLines="50" w:after="50" w:line="440" w:lineRule="exact"/>
        <w:rPr>
          <w:color w:val="auto"/>
          <w:sz w:val="28"/>
          <w:szCs w:val="28"/>
        </w:rPr>
      </w:pPr>
      <w:r>
        <w:rPr>
          <w:color w:val="auto"/>
          <w:sz w:val="28"/>
          <w:szCs w:val="28"/>
        </w:rPr>
        <w:t>职务：</w:t>
      </w:r>
      <w:r>
        <w:rPr>
          <w:color w:val="auto"/>
          <w:sz w:val="28"/>
          <w:szCs w:val="28"/>
          <w:u w:val="single"/>
        </w:rPr>
        <w:t xml:space="preserve">           </w:t>
      </w:r>
      <w:r>
        <w:rPr>
          <w:color w:val="auto"/>
          <w:sz w:val="28"/>
          <w:szCs w:val="28"/>
        </w:rPr>
        <w:t xml:space="preserve">                             </w:t>
      </w:r>
    </w:p>
    <w:p w14:paraId="35506A6C">
      <w:pPr>
        <w:snapToGrid w:val="0"/>
        <w:spacing w:before="156" w:beforeLines="50" w:after="50" w:line="440" w:lineRule="exact"/>
        <w:rPr>
          <w:color w:val="auto"/>
          <w:sz w:val="28"/>
          <w:szCs w:val="28"/>
        </w:rPr>
      </w:pPr>
      <w:r>
        <w:rPr>
          <w:rFonts w:hint="eastAsia"/>
          <w:color w:val="auto"/>
          <w:sz w:val="28"/>
          <w:szCs w:val="28"/>
        </w:rPr>
        <w:t>被授权人联系方式：</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rPr>
        <w:t xml:space="preserve"> </w:t>
      </w:r>
      <w:r>
        <w:rPr>
          <w:color w:val="auto"/>
          <w:sz w:val="28"/>
          <w:szCs w:val="28"/>
        </w:rPr>
        <w:t xml:space="preserve">                  </w:t>
      </w:r>
    </w:p>
    <w:p w14:paraId="584AEFC6">
      <w:pPr>
        <w:snapToGrid w:val="0"/>
        <w:spacing w:before="156" w:beforeLines="50" w:after="50" w:line="440" w:lineRule="exact"/>
        <w:rPr>
          <w:color w:val="auto"/>
          <w:sz w:val="28"/>
          <w:szCs w:val="28"/>
        </w:rPr>
      </w:pPr>
      <w:r>
        <w:rPr>
          <w:color w:val="auto"/>
          <w:sz w:val="28"/>
          <w:szCs w:val="28"/>
        </w:rPr>
        <w:t>供应商公章：</w:t>
      </w:r>
      <w:r>
        <w:rPr>
          <w:color w:val="auto"/>
          <w:sz w:val="28"/>
          <w:szCs w:val="28"/>
          <w:u w:val="single"/>
        </w:rPr>
        <w:t xml:space="preserve">                </w:t>
      </w:r>
    </w:p>
    <w:p w14:paraId="495A84F4">
      <w:pPr>
        <w:snapToGrid w:val="0"/>
        <w:spacing w:before="156" w:beforeLines="50" w:after="50" w:line="440" w:lineRule="exact"/>
        <w:jc w:val="center"/>
        <w:rPr>
          <w:color w:val="auto"/>
          <w:sz w:val="28"/>
          <w:szCs w:val="28"/>
        </w:rPr>
      </w:pPr>
      <w:r>
        <w:rPr>
          <w:color w:val="auto"/>
          <w:sz w:val="28"/>
          <w:szCs w:val="28"/>
        </w:rPr>
        <w:t xml:space="preserve">                                        </w:t>
      </w:r>
    </w:p>
    <w:p w14:paraId="3A1677D0">
      <w:pPr>
        <w:snapToGrid w:val="0"/>
        <w:spacing w:before="156" w:beforeLines="50" w:after="50" w:line="440" w:lineRule="exact"/>
        <w:jc w:val="right"/>
        <w:rPr>
          <w:color w:val="auto"/>
          <w:sz w:val="28"/>
          <w:szCs w:val="28"/>
        </w:rPr>
      </w:pPr>
      <w:r>
        <w:rPr>
          <w:color w:val="auto"/>
          <w:sz w:val="28"/>
          <w:szCs w:val="28"/>
        </w:rPr>
        <w:t>年    月    日</w:t>
      </w:r>
    </w:p>
    <w:p w14:paraId="424C21ED">
      <w:pPr>
        <w:spacing w:line="240" w:lineRule="auto"/>
        <w:rPr>
          <w:b/>
          <w:bCs/>
          <w:color w:val="auto"/>
          <w:sz w:val="28"/>
          <w:szCs w:val="28"/>
        </w:rPr>
      </w:pPr>
    </w:p>
    <w:p w14:paraId="6BD74D19">
      <w:pPr>
        <w:spacing w:line="240" w:lineRule="auto"/>
        <w:rPr>
          <w:b/>
          <w:bCs/>
          <w:color w:val="auto"/>
          <w:sz w:val="28"/>
          <w:szCs w:val="28"/>
        </w:rPr>
      </w:pPr>
      <w:r>
        <w:rPr>
          <w:b/>
          <w:bCs/>
          <w:color w:val="auto"/>
          <w:sz w:val="28"/>
          <w:szCs w:val="28"/>
        </w:rPr>
        <w:t>附件：法定代表人</w:t>
      </w:r>
      <w:r>
        <w:rPr>
          <w:rFonts w:hint="eastAsia"/>
          <w:b/>
          <w:bCs/>
          <w:color w:val="auto"/>
          <w:sz w:val="28"/>
          <w:szCs w:val="28"/>
        </w:rPr>
        <w:t>/负责人</w:t>
      </w:r>
      <w:r>
        <w:rPr>
          <w:b/>
          <w:bCs/>
          <w:color w:val="auto"/>
          <w:sz w:val="28"/>
          <w:szCs w:val="28"/>
        </w:rPr>
        <w:t>身份证复印件及授权代表身份证复印件</w:t>
      </w:r>
    </w:p>
    <w:p w14:paraId="671AF803">
      <w:pPr>
        <w:spacing w:line="240" w:lineRule="auto"/>
        <w:jc w:val="center"/>
        <w:rPr>
          <w:rFonts w:hint="eastAsia" w:ascii="宋体" w:hAnsi="宋体" w:eastAsia="宋体" w:cs="宋体"/>
          <w:b/>
          <w:bCs/>
          <w:color w:val="FF0000"/>
          <w:szCs w:val="24"/>
          <w:highlight w:val="none"/>
          <w:lang w:val="en-US" w:eastAsia="zh-CN" w:bidi="ar"/>
        </w:rPr>
      </w:pPr>
    </w:p>
    <w:p w14:paraId="4BB12B72">
      <w:pPr>
        <w:spacing w:line="240" w:lineRule="auto"/>
        <w:jc w:val="center"/>
        <w:rPr>
          <w:rFonts w:hint="eastAsia" w:ascii="宋体" w:hAnsi="宋体" w:eastAsia="宋体" w:cs="宋体"/>
          <w:b/>
          <w:bCs/>
          <w:color w:val="FF0000"/>
          <w:szCs w:val="24"/>
          <w:highlight w:val="none"/>
          <w:lang w:val="en-US" w:eastAsia="zh-CN" w:bidi="ar"/>
        </w:rPr>
      </w:pPr>
    </w:p>
    <w:p w14:paraId="4927482C">
      <w:pPr>
        <w:spacing w:line="240" w:lineRule="auto"/>
        <w:jc w:val="center"/>
        <w:rPr>
          <w:rFonts w:hint="eastAsia" w:ascii="宋体" w:hAnsi="宋体" w:eastAsia="宋体" w:cs="宋体"/>
          <w:b/>
          <w:bCs/>
          <w:color w:val="auto"/>
          <w:sz w:val="32"/>
          <w:szCs w:val="32"/>
          <w:highlight w:val="none"/>
          <w:lang w:bidi="ar"/>
        </w:rPr>
      </w:pPr>
      <w:r>
        <w:rPr>
          <w:rFonts w:hint="eastAsia" w:cs="宋体"/>
          <w:b/>
          <w:bCs/>
          <w:color w:val="auto"/>
          <w:sz w:val="32"/>
          <w:szCs w:val="32"/>
          <w:highlight w:val="none"/>
          <w:lang w:val="en-US" w:eastAsia="zh-CN" w:bidi="ar"/>
        </w:rPr>
        <w:t>六、</w:t>
      </w:r>
      <w:r>
        <w:rPr>
          <w:rFonts w:hint="eastAsia" w:ascii="宋体" w:hAnsi="宋体" w:eastAsia="宋体" w:cs="宋体"/>
          <w:b/>
          <w:bCs/>
          <w:color w:val="auto"/>
          <w:sz w:val="32"/>
          <w:szCs w:val="32"/>
          <w:highlight w:val="none"/>
          <w:lang w:val="en-US" w:eastAsia="zh-CN" w:bidi="ar"/>
        </w:rPr>
        <w:t>按要求</w:t>
      </w:r>
      <w:r>
        <w:rPr>
          <w:rFonts w:hint="eastAsia" w:ascii="宋体" w:hAnsi="宋体" w:eastAsia="宋体" w:cs="宋体"/>
          <w:b/>
          <w:bCs/>
          <w:color w:val="auto"/>
          <w:sz w:val="32"/>
          <w:szCs w:val="32"/>
          <w:highlight w:val="none"/>
          <w:lang w:eastAsia="zh-CN" w:bidi="ar"/>
        </w:rPr>
        <w:t>提供</w:t>
      </w:r>
      <w:r>
        <w:rPr>
          <w:rFonts w:hint="eastAsia" w:ascii="宋体" w:hAnsi="宋体" w:eastAsia="宋体" w:cs="宋体"/>
          <w:b/>
          <w:bCs/>
          <w:color w:val="auto"/>
          <w:sz w:val="32"/>
          <w:szCs w:val="32"/>
          <w:highlight w:val="none"/>
          <w:lang w:val="en-US" w:eastAsia="zh-CN" w:bidi="ar"/>
        </w:rPr>
        <w:t>相应条款</w:t>
      </w:r>
      <w:r>
        <w:rPr>
          <w:rFonts w:hint="eastAsia" w:ascii="宋体" w:hAnsi="宋体" w:eastAsia="宋体" w:cs="宋体"/>
          <w:b/>
          <w:bCs/>
          <w:color w:val="auto"/>
          <w:sz w:val="32"/>
          <w:szCs w:val="32"/>
          <w:highlight w:val="none"/>
          <w:lang w:eastAsia="zh-CN" w:bidi="ar"/>
        </w:rPr>
        <w:t>产品界面截图并加盖</w:t>
      </w:r>
      <w:r>
        <w:rPr>
          <w:rFonts w:hint="eastAsia" w:cs="宋体"/>
          <w:b/>
          <w:bCs/>
          <w:color w:val="auto"/>
          <w:sz w:val="32"/>
          <w:szCs w:val="32"/>
          <w:highlight w:val="none"/>
          <w:lang w:val="en-US" w:eastAsia="zh-CN" w:bidi="ar"/>
        </w:rPr>
        <w:t>供应商</w:t>
      </w:r>
      <w:r>
        <w:rPr>
          <w:rFonts w:hint="eastAsia" w:ascii="宋体" w:hAnsi="宋体" w:eastAsia="宋体" w:cs="宋体"/>
          <w:b/>
          <w:bCs/>
          <w:color w:val="auto"/>
          <w:sz w:val="32"/>
          <w:szCs w:val="32"/>
          <w:highlight w:val="none"/>
          <w:lang w:eastAsia="zh-CN" w:bidi="ar"/>
        </w:rPr>
        <w:t>公章</w:t>
      </w:r>
    </w:p>
    <w:p w14:paraId="0BAD7569">
      <w:pPr>
        <w:spacing w:line="240" w:lineRule="auto"/>
        <w:jc w:val="center"/>
        <w:rPr>
          <w:rFonts w:hint="eastAsia" w:ascii="宋体" w:hAnsi="宋体" w:eastAsia="宋体" w:cs="宋体"/>
          <w:b/>
          <w:bCs/>
          <w:color w:val="auto"/>
          <w:sz w:val="36"/>
          <w:szCs w:val="36"/>
          <w:highlight w:val="none"/>
          <w:lang w:bidi="ar"/>
        </w:rPr>
      </w:pPr>
    </w:p>
    <w:p w14:paraId="58CC89B5">
      <w:pPr>
        <w:spacing w:line="240" w:lineRule="auto"/>
        <w:jc w:val="center"/>
        <w:rPr>
          <w:rFonts w:hint="eastAsia" w:ascii="宋体" w:hAnsi="宋体" w:eastAsia="宋体" w:cs="宋体"/>
          <w:b/>
          <w:bCs/>
          <w:color w:val="auto"/>
          <w:sz w:val="36"/>
          <w:szCs w:val="36"/>
          <w:highlight w:val="none"/>
          <w:lang w:bidi="ar"/>
        </w:rPr>
      </w:pPr>
    </w:p>
    <w:sectPr>
      <w:pgSz w:w="12240" w:h="15840"/>
      <w:pgMar w:top="1440" w:right="1800" w:bottom="1440" w:left="1800" w:header="720" w:footer="720"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6694109"/>
      <w:docPartObj>
        <w:docPartGallery w:val="autotext"/>
      </w:docPartObj>
    </w:sdtPr>
    <w:sdtContent>
      <w:p w14:paraId="2612F319">
        <w:pPr>
          <w:pStyle w:val="4"/>
          <w:jc w:val="center"/>
        </w:pPr>
        <w:r>
          <w:fldChar w:fldCharType="begin"/>
        </w:r>
        <w:r>
          <w:instrText xml:space="preserve">PAGE   \* MERGEFORMAT</w:instrText>
        </w:r>
        <w:r>
          <w:fldChar w:fldCharType="separate"/>
        </w:r>
        <w:r>
          <w:rPr>
            <w:lang w:val="zh-CN"/>
          </w:rPr>
          <w:t>21</w:t>
        </w:r>
        <w:r>
          <w:fldChar w:fldCharType="end"/>
        </w:r>
      </w:p>
    </w:sdtContent>
  </w:sdt>
  <w:p w14:paraId="7029CC1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0ZTg0YjRiYTkzNmU3ZmI2NzI1ZmVhNWViYTRkMGYifQ=="/>
    <w:docVar w:name="KY_MEDREF_DOCUID" w:val="{0C6E8706-3FB9-453B-A870-AB902D193A23}"/>
    <w:docVar w:name="KY_MEDREF_VERSION" w:val="3"/>
  </w:docVars>
  <w:rsids>
    <w:rsidRoot w:val="00172A27"/>
    <w:rsid w:val="00031670"/>
    <w:rsid w:val="00057818"/>
    <w:rsid w:val="000658A2"/>
    <w:rsid w:val="000E01DF"/>
    <w:rsid w:val="00146204"/>
    <w:rsid w:val="0015255B"/>
    <w:rsid w:val="00172A27"/>
    <w:rsid w:val="0019004F"/>
    <w:rsid w:val="001934F9"/>
    <w:rsid w:val="0020599F"/>
    <w:rsid w:val="002252A3"/>
    <w:rsid w:val="00250A05"/>
    <w:rsid w:val="002A4ECC"/>
    <w:rsid w:val="00330225"/>
    <w:rsid w:val="0036428F"/>
    <w:rsid w:val="003A6EB2"/>
    <w:rsid w:val="003D40B9"/>
    <w:rsid w:val="003F09E9"/>
    <w:rsid w:val="00433D2D"/>
    <w:rsid w:val="0044174A"/>
    <w:rsid w:val="00461549"/>
    <w:rsid w:val="004D44E3"/>
    <w:rsid w:val="005A1EC3"/>
    <w:rsid w:val="005C1233"/>
    <w:rsid w:val="005C7F99"/>
    <w:rsid w:val="005E2957"/>
    <w:rsid w:val="005E53A1"/>
    <w:rsid w:val="00610B39"/>
    <w:rsid w:val="0064432B"/>
    <w:rsid w:val="00647285"/>
    <w:rsid w:val="0068335D"/>
    <w:rsid w:val="006D454D"/>
    <w:rsid w:val="006D5D49"/>
    <w:rsid w:val="006E3AEF"/>
    <w:rsid w:val="006F6551"/>
    <w:rsid w:val="0079532A"/>
    <w:rsid w:val="007F7FE0"/>
    <w:rsid w:val="0082472D"/>
    <w:rsid w:val="0084050A"/>
    <w:rsid w:val="0084786F"/>
    <w:rsid w:val="00851EB9"/>
    <w:rsid w:val="008559F8"/>
    <w:rsid w:val="0087560E"/>
    <w:rsid w:val="008E0E57"/>
    <w:rsid w:val="008E30C9"/>
    <w:rsid w:val="009A5198"/>
    <w:rsid w:val="00A04436"/>
    <w:rsid w:val="00A10B63"/>
    <w:rsid w:val="00A64284"/>
    <w:rsid w:val="00A67D2D"/>
    <w:rsid w:val="00A81344"/>
    <w:rsid w:val="00A82D03"/>
    <w:rsid w:val="00AE6D11"/>
    <w:rsid w:val="00B05C77"/>
    <w:rsid w:val="00B51D80"/>
    <w:rsid w:val="00B71126"/>
    <w:rsid w:val="00B76409"/>
    <w:rsid w:val="00BD193E"/>
    <w:rsid w:val="00C22906"/>
    <w:rsid w:val="00C419E3"/>
    <w:rsid w:val="00C70B1D"/>
    <w:rsid w:val="00C75ADA"/>
    <w:rsid w:val="00CB17C2"/>
    <w:rsid w:val="00CE1FEC"/>
    <w:rsid w:val="00D2120C"/>
    <w:rsid w:val="00D67AD3"/>
    <w:rsid w:val="00E068FE"/>
    <w:rsid w:val="00E2347F"/>
    <w:rsid w:val="00E62D2B"/>
    <w:rsid w:val="00EA3041"/>
    <w:rsid w:val="00EA7B7A"/>
    <w:rsid w:val="00ED3689"/>
    <w:rsid w:val="00F01006"/>
    <w:rsid w:val="00F30FDD"/>
    <w:rsid w:val="00F41CC9"/>
    <w:rsid w:val="00F50939"/>
    <w:rsid w:val="00F76560"/>
    <w:rsid w:val="00FA1233"/>
    <w:rsid w:val="00FA289A"/>
    <w:rsid w:val="01224F17"/>
    <w:rsid w:val="0167398B"/>
    <w:rsid w:val="019604A9"/>
    <w:rsid w:val="01A93B49"/>
    <w:rsid w:val="02BE4815"/>
    <w:rsid w:val="02C24BF1"/>
    <w:rsid w:val="02C95F7F"/>
    <w:rsid w:val="02CE3596"/>
    <w:rsid w:val="045D1075"/>
    <w:rsid w:val="04682B0C"/>
    <w:rsid w:val="04763EE5"/>
    <w:rsid w:val="04B53FBD"/>
    <w:rsid w:val="06B62CBE"/>
    <w:rsid w:val="06F15AA5"/>
    <w:rsid w:val="078E4F23"/>
    <w:rsid w:val="079523A5"/>
    <w:rsid w:val="07C829A7"/>
    <w:rsid w:val="07E16E8F"/>
    <w:rsid w:val="07E51AAD"/>
    <w:rsid w:val="08002443"/>
    <w:rsid w:val="080C703A"/>
    <w:rsid w:val="08490E71"/>
    <w:rsid w:val="08732C15"/>
    <w:rsid w:val="087D62E7"/>
    <w:rsid w:val="08BA6A96"/>
    <w:rsid w:val="08C47915"/>
    <w:rsid w:val="09250F35"/>
    <w:rsid w:val="093839C4"/>
    <w:rsid w:val="095F3199"/>
    <w:rsid w:val="099460FC"/>
    <w:rsid w:val="09BE2F17"/>
    <w:rsid w:val="09E40882"/>
    <w:rsid w:val="0A200B7B"/>
    <w:rsid w:val="0A2763AD"/>
    <w:rsid w:val="0A9005FD"/>
    <w:rsid w:val="0A92134D"/>
    <w:rsid w:val="0B534F80"/>
    <w:rsid w:val="0B6131F9"/>
    <w:rsid w:val="0B705A4D"/>
    <w:rsid w:val="0C775E6E"/>
    <w:rsid w:val="0C78603B"/>
    <w:rsid w:val="0CF53FEE"/>
    <w:rsid w:val="0D223979"/>
    <w:rsid w:val="0D4238C6"/>
    <w:rsid w:val="0D6E4C24"/>
    <w:rsid w:val="0D8B0A01"/>
    <w:rsid w:val="0DBF4B4E"/>
    <w:rsid w:val="0E8C2C83"/>
    <w:rsid w:val="0F362BEE"/>
    <w:rsid w:val="0F7A6F7F"/>
    <w:rsid w:val="10142F30"/>
    <w:rsid w:val="10B95885"/>
    <w:rsid w:val="11567578"/>
    <w:rsid w:val="11A2456B"/>
    <w:rsid w:val="11D16BFE"/>
    <w:rsid w:val="11DE17C5"/>
    <w:rsid w:val="125735A8"/>
    <w:rsid w:val="129842F6"/>
    <w:rsid w:val="12C34799"/>
    <w:rsid w:val="12F42BA4"/>
    <w:rsid w:val="131D5575"/>
    <w:rsid w:val="133C3ECD"/>
    <w:rsid w:val="137361BF"/>
    <w:rsid w:val="13BB14CF"/>
    <w:rsid w:val="140C0EDF"/>
    <w:rsid w:val="14342437"/>
    <w:rsid w:val="143937F8"/>
    <w:rsid w:val="14F275B8"/>
    <w:rsid w:val="1517701E"/>
    <w:rsid w:val="15514237"/>
    <w:rsid w:val="15756982"/>
    <w:rsid w:val="15AC4F41"/>
    <w:rsid w:val="16027CCE"/>
    <w:rsid w:val="162121A7"/>
    <w:rsid w:val="16221F14"/>
    <w:rsid w:val="166272A7"/>
    <w:rsid w:val="16CA07EC"/>
    <w:rsid w:val="16ED3722"/>
    <w:rsid w:val="16FA3AC4"/>
    <w:rsid w:val="175A54CE"/>
    <w:rsid w:val="1766674B"/>
    <w:rsid w:val="195B397D"/>
    <w:rsid w:val="197E74EA"/>
    <w:rsid w:val="19AD1CFF"/>
    <w:rsid w:val="19F526F6"/>
    <w:rsid w:val="1A2521DD"/>
    <w:rsid w:val="1A341E1A"/>
    <w:rsid w:val="1CD203FA"/>
    <w:rsid w:val="1CD221A8"/>
    <w:rsid w:val="1D9531D6"/>
    <w:rsid w:val="1DBE53DD"/>
    <w:rsid w:val="1DFE521F"/>
    <w:rsid w:val="1E71003C"/>
    <w:rsid w:val="1E720B94"/>
    <w:rsid w:val="1E8079E2"/>
    <w:rsid w:val="1EB037ED"/>
    <w:rsid w:val="1F2C3EF8"/>
    <w:rsid w:val="1F463048"/>
    <w:rsid w:val="1F736C40"/>
    <w:rsid w:val="1FD735D7"/>
    <w:rsid w:val="1FE314B7"/>
    <w:rsid w:val="20001234"/>
    <w:rsid w:val="20662D6B"/>
    <w:rsid w:val="207E78EB"/>
    <w:rsid w:val="209D487B"/>
    <w:rsid w:val="20CC2A8C"/>
    <w:rsid w:val="21154D5A"/>
    <w:rsid w:val="21306B2C"/>
    <w:rsid w:val="213336C0"/>
    <w:rsid w:val="21D73405"/>
    <w:rsid w:val="222C235B"/>
    <w:rsid w:val="2265761B"/>
    <w:rsid w:val="22781C3A"/>
    <w:rsid w:val="22AD0EC4"/>
    <w:rsid w:val="23386ADD"/>
    <w:rsid w:val="2355492B"/>
    <w:rsid w:val="236560B4"/>
    <w:rsid w:val="240101C7"/>
    <w:rsid w:val="257C5E42"/>
    <w:rsid w:val="261D4F62"/>
    <w:rsid w:val="263C7E48"/>
    <w:rsid w:val="263E440B"/>
    <w:rsid w:val="26976211"/>
    <w:rsid w:val="27947AD3"/>
    <w:rsid w:val="286B525F"/>
    <w:rsid w:val="28E55011"/>
    <w:rsid w:val="28EB3E24"/>
    <w:rsid w:val="293B10D5"/>
    <w:rsid w:val="29AA4C0C"/>
    <w:rsid w:val="29BE3A59"/>
    <w:rsid w:val="29FF2103"/>
    <w:rsid w:val="2A5B633A"/>
    <w:rsid w:val="2A9036A3"/>
    <w:rsid w:val="2AB32EED"/>
    <w:rsid w:val="2AF61758"/>
    <w:rsid w:val="2B033E75"/>
    <w:rsid w:val="2B116592"/>
    <w:rsid w:val="2BC76515"/>
    <w:rsid w:val="2C8A5E7D"/>
    <w:rsid w:val="2CAB47C4"/>
    <w:rsid w:val="2D986AF6"/>
    <w:rsid w:val="2E3D0F10"/>
    <w:rsid w:val="2E56554D"/>
    <w:rsid w:val="2ECB6A58"/>
    <w:rsid w:val="2EE8585B"/>
    <w:rsid w:val="2F5B427F"/>
    <w:rsid w:val="2FC107F7"/>
    <w:rsid w:val="309B0E9B"/>
    <w:rsid w:val="30BF25EC"/>
    <w:rsid w:val="30EB1633"/>
    <w:rsid w:val="30F2476F"/>
    <w:rsid w:val="31803D31"/>
    <w:rsid w:val="31843ACD"/>
    <w:rsid w:val="32894835"/>
    <w:rsid w:val="32994DFC"/>
    <w:rsid w:val="32CC0B42"/>
    <w:rsid w:val="33826186"/>
    <w:rsid w:val="33F22CD8"/>
    <w:rsid w:val="34313801"/>
    <w:rsid w:val="345130BC"/>
    <w:rsid w:val="34A00569"/>
    <w:rsid w:val="34FD36E3"/>
    <w:rsid w:val="36015455"/>
    <w:rsid w:val="362F1FC2"/>
    <w:rsid w:val="364D76C6"/>
    <w:rsid w:val="36E92171"/>
    <w:rsid w:val="36F31241"/>
    <w:rsid w:val="36FA4EBE"/>
    <w:rsid w:val="36FC5408"/>
    <w:rsid w:val="37E42AA8"/>
    <w:rsid w:val="38C00F91"/>
    <w:rsid w:val="38D65544"/>
    <w:rsid w:val="397A17A6"/>
    <w:rsid w:val="39A513E6"/>
    <w:rsid w:val="39A76050"/>
    <w:rsid w:val="39E1611C"/>
    <w:rsid w:val="3A614714"/>
    <w:rsid w:val="3BA24FE4"/>
    <w:rsid w:val="3C2B6D87"/>
    <w:rsid w:val="3C965A16"/>
    <w:rsid w:val="3CBC5107"/>
    <w:rsid w:val="3CE84C78"/>
    <w:rsid w:val="3D420661"/>
    <w:rsid w:val="3D600919"/>
    <w:rsid w:val="3D9372DA"/>
    <w:rsid w:val="3DAB1D87"/>
    <w:rsid w:val="3E1321C9"/>
    <w:rsid w:val="3E520715"/>
    <w:rsid w:val="3E725142"/>
    <w:rsid w:val="3E8804C1"/>
    <w:rsid w:val="3F5D36FC"/>
    <w:rsid w:val="3F890995"/>
    <w:rsid w:val="41452AE6"/>
    <w:rsid w:val="41686C78"/>
    <w:rsid w:val="41AF5D9C"/>
    <w:rsid w:val="421E0D0D"/>
    <w:rsid w:val="426E3E72"/>
    <w:rsid w:val="427B44F8"/>
    <w:rsid w:val="42EB3A98"/>
    <w:rsid w:val="43F20B13"/>
    <w:rsid w:val="44074B2F"/>
    <w:rsid w:val="443F00B4"/>
    <w:rsid w:val="444924A1"/>
    <w:rsid w:val="445F1CC4"/>
    <w:rsid w:val="44AE033C"/>
    <w:rsid w:val="44C85802"/>
    <w:rsid w:val="450833F1"/>
    <w:rsid w:val="456E2FCD"/>
    <w:rsid w:val="45B147A1"/>
    <w:rsid w:val="46F968A0"/>
    <w:rsid w:val="47B978D1"/>
    <w:rsid w:val="47E50E66"/>
    <w:rsid w:val="490B4F15"/>
    <w:rsid w:val="4985107A"/>
    <w:rsid w:val="49EB7964"/>
    <w:rsid w:val="4A4E3491"/>
    <w:rsid w:val="4A8652C7"/>
    <w:rsid w:val="4A8A55C1"/>
    <w:rsid w:val="4B5B5A0E"/>
    <w:rsid w:val="4B756271"/>
    <w:rsid w:val="4B827CCB"/>
    <w:rsid w:val="4B9E1324"/>
    <w:rsid w:val="4BB90F1C"/>
    <w:rsid w:val="4C2E1366"/>
    <w:rsid w:val="4C850BA9"/>
    <w:rsid w:val="4C8F6EBF"/>
    <w:rsid w:val="4CD668B9"/>
    <w:rsid w:val="4CE76CFB"/>
    <w:rsid w:val="4D5E0C18"/>
    <w:rsid w:val="4D695D18"/>
    <w:rsid w:val="4D7E259D"/>
    <w:rsid w:val="4D9227B4"/>
    <w:rsid w:val="4E3C3076"/>
    <w:rsid w:val="4E916F1E"/>
    <w:rsid w:val="4F147B4F"/>
    <w:rsid w:val="4F884681"/>
    <w:rsid w:val="4FC13833"/>
    <w:rsid w:val="4FD712A8"/>
    <w:rsid w:val="503A29A1"/>
    <w:rsid w:val="504B76AA"/>
    <w:rsid w:val="509E1DC6"/>
    <w:rsid w:val="514A1085"/>
    <w:rsid w:val="51A96DC6"/>
    <w:rsid w:val="52480EDC"/>
    <w:rsid w:val="52846D9A"/>
    <w:rsid w:val="529945F3"/>
    <w:rsid w:val="52B6605D"/>
    <w:rsid w:val="52BA5B12"/>
    <w:rsid w:val="5334167F"/>
    <w:rsid w:val="5373753A"/>
    <w:rsid w:val="53BE2C85"/>
    <w:rsid w:val="53C51418"/>
    <w:rsid w:val="54752E3E"/>
    <w:rsid w:val="54A76CD6"/>
    <w:rsid w:val="54E63D4B"/>
    <w:rsid w:val="552D6D78"/>
    <w:rsid w:val="55A04E92"/>
    <w:rsid w:val="567D422C"/>
    <w:rsid w:val="569C1A6D"/>
    <w:rsid w:val="570575B2"/>
    <w:rsid w:val="573D6AD0"/>
    <w:rsid w:val="5758380D"/>
    <w:rsid w:val="57D9465D"/>
    <w:rsid w:val="57FA3D2B"/>
    <w:rsid w:val="58450358"/>
    <w:rsid w:val="59B83EF9"/>
    <w:rsid w:val="5ADB679D"/>
    <w:rsid w:val="5C0276AD"/>
    <w:rsid w:val="5C1E200D"/>
    <w:rsid w:val="5C6B34A4"/>
    <w:rsid w:val="5CA24878"/>
    <w:rsid w:val="5CB52971"/>
    <w:rsid w:val="5CC95CE6"/>
    <w:rsid w:val="5CDE1F93"/>
    <w:rsid w:val="5D830187"/>
    <w:rsid w:val="5E65736D"/>
    <w:rsid w:val="5EAD68AB"/>
    <w:rsid w:val="5EDA34A5"/>
    <w:rsid w:val="5EE65AE5"/>
    <w:rsid w:val="5F5F0972"/>
    <w:rsid w:val="5F73441E"/>
    <w:rsid w:val="5F7E4FF2"/>
    <w:rsid w:val="5FC80D73"/>
    <w:rsid w:val="5FEA7E9A"/>
    <w:rsid w:val="60591F63"/>
    <w:rsid w:val="60A01243"/>
    <w:rsid w:val="611D55C8"/>
    <w:rsid w:val="618B1EF3"/>
    <w:rsid w:val="61F86EDD"/>
    <w:rsid w:val="621041A6"/>
    <w:rsid w:val="628C7390"/>
    <w:rsid w:val="62A3118E"/>
    <w:rsid w:val="62AC0373"/>
    <w:rsid w:val="62B40FD5"/>
    <w:rsid w:val="6326785D"/>
    <w:rsid w:val="637B2221"/>
    <w:rsid w:val="638504FB"/>
    <w:rsid w:val="639A2956"/>
    <w:rsid w:val="63F15CD8"/>
    <w:rsid w:val="6476379D"/>
    <w:rsid w:val="653D1229"/>
    <w:rsid w:val="655953AC"/>
    <w:rsid w:val="65A73073"/>
    <w:rsid w:val="65AB4101"/>
    <w:rsid w:val="65D33E68"/>
    <w:rsid w:val="65ED5196"/>
    <w:rsid w:val="66077757"/>
    <w:rsid w:val="663743F7"/>
    <w:rsid w:val="667E5425"/>
    <w:rsid w:val="669D0D74"/>
    <w:rsid w:val="66EB1B59"/>
    <w:rsid w:val="673F7A07"/>
    <w:rsid w:val="681A25D9"/>
    <w:rsid w:val="683C3F47"/>
    <w:rsid w:val="68755BBC"/>
    <w:rsid w:val="69075A20"/>
    <w:rsid w:val="691B1A32"/>
    <w:rsid w:val="695A1195"/>
    <w:rsid w:val="697B2927"/>
    <w:rsid w:val="69D837FB"/>
    <w:rsid w:val="69ED5FFF"/>
    <w:rsid w:val="6A070584"/>
    <w:rsid w:val="6A1A6FB4"/>
    <w:rsid w:val="6A274783"/>
    <w:rsid w:val="6A696B49"/>
    <w:rsid w:val="6B286A04"/>
    <w:rsid w:val="6B517D09"/>
    <w:rsid w:val="6B777044"/>
    <w:rsid w:val="6B7A54DD"/>
    <w:rsid w:val="6BC63E58"/>
    <w:rsid w:val="6C4D6722"/>
    <w:rsid w:val="6C6358C7"/>
    <w:rsid w:val="6C7E573D"/>
    <w:rsid w:val="6CED3A62"/>
    <w:rsid w:val="6D68758C"/>
    <w:rsid w:val="6D911005"/>
    <w:rsid w:val="6DCE771B"/>
    <w:rsid w:val="6DDF3FAC"/>
    <w:rsid w:val="6E2E4332"/>
    <w:rsid w:val="6E594D8A"/>
    <w:rsid w:val="6EA72431"/>
    <w:rsid w:val="6EC73686"/>
    <w:rsid w:val="6EEA46FD"/>
    <w:rsid w:val="6F3C482C"/>
    <w:rsid w:val="6F751AEC"/>
    <w:rsid w:val="6FB72105"/>
    <w:rsid w:val="6FC7631B"/>
    <w:rsid w:val="6FD809F9"/>
    <w:rsid w:val="70387D12"/>
    <w:rsid w:val="704C6CF1"/>
    <w:rsid w:val="704E2A69"/>
    <w:rsid w:val="70826BD9"/>
    <w:rsid w:val="709114D5"/>
    <w:rsid w:val="70983CE4"/>
    <w:rsid w:val="709B1F29"/>
    <w:rsid w:val="713813FC"/>
    <w:rsid w:val="713A2F60"/>
    <w:rsid w:val="715E4F2E"/>
    <w:rsid w:val="717B6E7D"/>
    <w:rsid w:val="71AA1F21"/>
    <w:rsid w:val="71B2527A"/>
    <w:rsid w:val="71BE5325"/>
    <w:rsid w:val="72FD6E68"/>
    <w:rsid w:val="73440153"/>
    <w:rsid w:val="736914F9"/>
    <w:rsid w:val="747849CB"/>
    <w:rsid w:val="74DE764A"/>
    <w:rsid w:val="74FC52C7"/>
    <w:rsid w:val="75617D8B"/>
    <w:rsid w:val="75AE657E"/>
    <w:rsid w:val="76466581"/>
    <w:rsid w:val="768B7998"/>
    <w:rsid w:val="76921479"/>
    <w:rsid w:val="76B25B22"/>
    <w:rsid w:val="76EC4D41"/>
    <w:rsid w:val="775C033A"/>
    <w:rsid w:val="778B45A3"/>
    <w:rsid w:val="77DA67A7"/>
    <w:rsid w:val="780F5B42"/>
    <w:rsid w:val="7840713B"/>
    <w:rsid w:val="785D7ACB"/>
    <w:rsid w:val="78C37A74"/>
    <w:rsid w:val="79370B5F"/>
    <w:rsid w:val="79980191"/>
    <w:rsid w:val="7AF76077"/>
    <w:rsid w:val="7BBF481B"/>
    <w:rsid w:val="7BD656E5"/>
    <w:rsid w:val="7C743857"/>
    <w:rsid w:val="7C9061B7"/>
    <w:rsid w:val="7CA73F09"/>
    <w:rsid w:val="7D932B97"/>
    <w:rsid w:val="7D9341A0"/>
    <w:rsid w:val="7DB578F5"/>
    <w:rsid w:val="7DBB00AE"/>
    <w:rsid w:val="7E2B6198"/>
    <w:rsid w:val="7E733F48"/>
    <w:rsid w:val="7E9B3EB9"/>
    <w:rsid w:val="7E9E4763"/>
    <w:rsid w:val="7F144349"/>
    <w:rsid w:val="7F913D8E"/>
    <w:rsid w:val="7FE24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9"/>
    <w:pPr>
      <w:spacing w:beforeAutospacing="1" w:afterAutospacing="1"/>
      <w:outlineLvl w:val="0"/>
    </w:pPr>
    <w:rPr>
      <w:rFonts w:hint="eastAsia" w:cs="Times New Roman"/>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next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Message Header"/>
    <w:basedOn w:val="1"/>
    <w:link w:val="18"/>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7">
    <w:name w:val="Normal (Web)"/>
    <w:basedOn w:val="1"/>
    <w:semiHidden/>
    <w:unhideWhenUsed/>
    <w:qFormat/>
    <w:uiPriority w:val="99"/>
    <w:rPr>
      <w:sz w:val="24"/>
    </w:rPr>
  </w:style>
  <w:style w:type="character" w:styleId="10">
    <w:name w:val="annotation reference"/>
    <w:basedOn w:val="9"/>
    <w:semiHidden/>
    <w:unhideWhenUsed/>
    <w:qFormat/>
    <w:uiPriority w:val="99"/>
    <w:rPr>
      <w:sz w:val="21"/>
      <w:szCs w:val="21"/>
    </w:rPr>
  </w:style>
  <w:style w:type="character" w:customStyle="1" w:styleId="11">
    <w:name w:val="批注框文本 字符"/>
    <w:basedOn w:val="9"/>
    <w:link w:val="3"/>
    <w:semiHidden/>
    <w:qFormat/>
    <w:uiPriority w:val="99"/>
    <w:rPr>
      <w:rFonts w:ascii="宋体" w:hAnsi="宋体" w:eastAsia="宋体" w:cs="宋体"/>
      <w:sz w:val="18"/>
      <w:szCs w:val="18"/>
    </w:rPr>
  </w:style>
  <w:style w:type="character" w:customStyle="1" w:styleId="12">
    <w:name w:val="页眉 字符"/>
    <w:basedOn w:val="9"/>
    <w:link w:val="5"/>
    <w:qFormat/>
    <w:uiPriority w:val="99"/>
    <w:rPr>
      <w:rFonts w:ascii="宋体" w:hAnsi="宋体" w:eastAsia="宋体" w:cs="宋体"/>
      <w:sz w:val="18"/>
      <w:szCs w:val="18"/>
    </w:rPr>
  </w:style>
  <w:style w:type="character" w:customStyle="1" w:styleId="13">
    <w:name w:val="页脚 字符"/>
    <w:basedOn w:val="9"/>
    <w:link w:val="4"/>
    <w:qFormat/>
    <w:uiPriority w:val="99"/>
    <w:rPr>
      <w:rFonts w:ascii="宋体" w:hAnsi="宋体" w:eastAsia="宋体" w:cs="宋体"/>
      <w:sz w:val="18"/>
      <w:szCs w:val="18"/>
    </w:rPr>
  </w:style>
  <w:style w:type="paragraph" w:styleId="14">
    <w:name w:val="List Paragraph"/>
    <w:basedOn w:val="1"/>
    <w:qFormat/>
    <w:uiPriority w:val="99"/>
    <w:pPr>
      <w:ind w:firstLine="420" w:firstLineChars="200"/>
    </w:pPr>
  </w:style>
  <w:style w:type="paragraph" w:customStyle="1" w:styleId="15">
    <w:name w:val="msolistparagraph"/>
    <w:basedOn w:val="1"/>
    <w:qFormat/>
    <w:uiPriority w:val="0"/>
    <w:pPr>
      <w:widowControl w:val="0"/>
      <w:ind w:firstLine="420" w:firstLineChars="200"/>
      <w:jc w:val="both"/>
    </w:pPr>
    <w:rPr>
      <w:rFonts w:ascii="Times New Roman" w:hAnsi="Times New Roman" w:cs="Times New Roman"/>
      <w:kern w:val="2"/>
      <w:sz w:val="21"/>
    </w:rPr>
  </w:style>
  <w:style w:type="paragraph" w:customStyle="1" w:styleId="16">
    <w:name w:val="Default"/>
    <w:basedOn w:val="1"/>
    <w:qFormat/>
    <w:uiPriority w:val="0"/>
    <w:pPr>
      <w:widowControl w:val="0"/>
      <w:autoSpaceDE w:val="0"/>
      <w:autoSpaceDN w:val="0"/>
      <w:adjustRightInd w:val="0"/>
    </w:pPr>
    <w:rPr>
      <w:rFonts w:ascii="Times New Roman" w:hAnsi="Times New Roman" w:cs="Times New Roman"/>
      <w:color w:val="000000"/>
    </w:rPr>
  </w:style>
  <w:style w:type="character" w:customStyle="1" w:styleId="17">
    <w:name w:val="列出段落 字符"/>
    <w:basedOn w:val="9"/>
    <w:qFormat/>
    <w:uiPriority w:val="0"/>
    <w:rPr>
      <w:kern w:val="2"/>
      <w:sz w:val="21"/>
      <w:szCs w:val="24"/>
    </w:rPr>
  </w:style>
  <w:style w:type="character" w:customStyle="1" w:styleId="18">
    <w:name w:val="信息标题 字符"/>
    <w:basedOn w:val="9"/>
    <w:link w:val="6"/>
    <w:qFormat/>
    <w:uiPriority w:val="0"/>
    <w:rPr>
      <w:rFonts w:ascii="Calibri Light" w:hAnsi="Calibri Light" w:eastAsia="宋体" w:cs="Times New Roman"/>
      <w:kern w:val="2"/>
      <w:sz w:val="24"/>
      <w:szCs w:val="24"/>
      <w:shd w:val="pct20"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12095</Words>
  <Characters>13008</Characters>
  <Lines>100</Lines>
  <Paragraphs>28</Paragraphs>
  <TotalTime>2</TotalTime>
  <ScaleCrop>false</ScaleCrop>
  <LinksUpToDate>false</LinksUpToDate>
  <CharactersWithSpaces>13408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2021-01-10T13:09:00Z</dcterms:created>
  <dc:creator>lenovo</dc:creator>
  <cp:lastModifiedBy>Fairy Tail</cp:lastModifiedBy>
  <dcterms:modified xsi:type="dcterms:W3CDTF">2026-06-05T07:48:20Z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879C8CD7F5F54377BC3503F9EE17CF83</vt:lpwstr>
  </property>
  <property fmtid="{D5CDD505-2E9C-101B-9397-08002B2CF9AE}" pid="4" name="KSOTemplateDocerSaveRecord">
    <vt:lpwstr>eyJoZGlkIjoiOTc1OWVmNzhlNTA1ZDRiNjI4Y2RhOGNlNTdiN2UxODIiLCJ1c2VySWQiOiIxMjE0NDc4OTY0In0=</vt:lpwstr>
  </property>
</Properties>
</file>