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DEFB1">
      <w:pPr>
        <w:wordWrap w:val="0"/>
        <w:jc w:val="center"/>
        <w:rPr>
          <w:rFonts w:hint="eastAsia"/>
          <w:b/>
          <w:bCs/>
          <w:color w:val="auto"/>
          <w:sz w:val="36"/>
          <w:szCs w:val="32"/>
        </w:rPr>
      </w:pPr>
      <w:r>
        <w:rPr>
          <w:rFonts w:hint="eastAsia"/>
          <w:b/>
          <w:bCs/>
          <w:color w:val="auto"/>
          <w:sz w:val="36"/>
          <w:szCs w:val="32"/>
        </w:rPr>
        <w:t>右江民族医学院互联网络专线租赁服务采购项目</w:t>
      </w:r>
      <w:r>
        <w:rPr>
          <w:rFonts w:hint="eastAsia"/>
          <w:b/>
          <w:bCs/>
          <w:color w:val="auto"/>
          <w:sz w:val="36"/>
          <w:szCs w:val="32"/>
          <w:lang w:eastAsia="zh-CN"/>
        </w:rPr>
        <w:t>（分标一）</w:t>
      </w:r>
      <w:r>
        <w:rPr>
          <w:rFonts w:hint="eastAsia"/>
          <w:b/>
          <w:bCs/>
          <w:color w:val="auto"/>
          <w:sz w:val="36"/>
          <w:szCs w:val="32"/>
        </w:rPr>
        <w:t>需求文件</w:t>
      </w:r>
    </w:p>
    <w:p w14:paraId="70EEF6EE">
      <w:pPr>
        <w:wordWrap w:val="0"/>
        <w:jc w:val="center"/>
        <w:rPr>
          <w:rFonts w:hint="eastAsia"/>
          <w:b/>
          <w:bCs/>
          <w:color w:val="auto"/>
          <w:sz w:val="36"/>
          <w:szCs w:val="32"/>
        </w:rPr>
      </w:pPr>
    </w:p>
    <w:p w14:paraId="51D2CC8E">
      <w:pPr>
        <w:rPr>
          <w:rFonts w:hint="eastAsia"/>
          <w:b/>
          <w:bCs w:val="0"/>
          <w:color w:val="auto"/>
          <w:sz w:val="28"/>
          <w:szCs w:val="32"/>
          <w:lang w:eastAsia="zh-CN"/>
        </w:rPr>
      </w:pPr>
      <w:r>
        <w:rPr>
          <w:rFonts w:hint="eastAsia"/>
          <w:b/>
          <w:bCs w:val="0"/>
          <w:color w:val="auto"/>
          <w:sz w:val="28"/>
          <w:szCs w:val="32"/>
        </w:rPr>
        <w:t>项目名称：右江民族医学院互联网络专线租赁服务采购项目</w:t>
      </w:r>
      <w:r>
        <w:rPr>
          <w:rFonts w:hint="eastAsia"/>
          <w:b/>
          <w:bCs w:val="0"/>
          <w:color w:val="auto"/>
          <w:sz w:val="28"/>
          <w:szCs w:val="32"/>
          <w:lang w:eastAsia="zh-CN"/>
        </w:rPr>
        <w:t>（分标一）</w:t>
      </w:r>
    </w:p>
    <w:p w14:paraId="1FF5390B">
      <w:pPr>
        <w:rPr>
          <w:b/>
          <w:bCs w:val="0"/>
          <w:color w:val="auto"/>
          <w:sz w:val="28"/>
          <w:szCs w:val="32"/>
        </w:rPr>
      </w:pPr>
      <w:r>
        <w:rPr>
          <w:rFonts w:hint="eastAsia"/>
          <w:b/>
          <w:bCs w:val="0"/>
          <w:color w:val="auto"/>
          <w:sz w:val="28"/>
          <w:szCs w:val="32"/>
        </w:rPr>
        <w:t>项目预算：360000</w:t>
      </w:r>
      <w:r>
        <w:rPr>
          <w:rFonts w:hint="eastAsia"/>
          <w:b/>
          <w:bCs w:val="0"/>
          <w:color w:val="auto"/>
          <w:sz w:val="28"/>
          <w:szCs w:val="32"/>
          <w:lang w:val="en-US" w:eastAsia="zh-CN"/>
        </w:rPr>
        <w:t>.00</w:t>
      </w:r>
      <w:r>
        <w:rPr>
          <w:b/>
          <w:bCs w:val="0"/>
          <w:color w:val="auto"/>
          <w:sz w:val="28"/>
          <w:szCs w:val="32"/>
        </w:rPr>
        <w:t>元</w:t>
      </w:r>
    </w:p>
    <w:p w14:paraId="74DC6679">
      <w:pPr>
        <w:wordWrap w:val="0"/>
        <w:rPr>
          <w:rFonts w:hint="eastAsia"/>
          <w:b/>
          <w:bCs w:val="0"/>
          <w:color w:val="auto"/>
          <w:sz w:val="28"/>
          <w:szCs w:val="32"/>
        </w:rPr>
      </w:pPr>
      <w:r>
        <w:rPr>
          <w:rFonts w:hint="eastAsia"/>
          <w:b/>
          <w:bCs w:val="0"/>
          <w:color w:val="auto"/>
          <w:sz w:val="28"/>
          <w:szCs w:val="32"/>
        </w:rPr>
        <w:t>采购方式：在线询价（竞价）采购</w:t>
      </w:r>
    </w:p>
    <w:p w14:paraId="05258E9E">
      <w:pPr>
        <w:wordWrap w:val="0"/>
        <w:spacing w:line="500" w:lineRule="exact"/>
        <w:ind w:firstLine="560" w:firstLineChars="200"/>
        <w:rPr>
          <w:rFonts w:hint="eastAsia"/>
          <w:bCs/>
          <w:color w:val="auto"/>
          <w:sz w:val="28"/>
          <w:szCs w:val="32"/>
        </w:rPr>
      </w:pPr>
      <w:r>
        <w:rPr>
          <w:rFonts w:hint="eastAsia"/>
          <w:bCs/>
          <w:color w:val="auto"/>
          <w:sz w:val="28"/>
          <w:szCs w:val="32"/>
        </w:rPr>
        <w:t>项目概况：本项目拟对右江民族医学院互联网络专线租赁服务进行采购，总体要求：</w:t>
      </w:r>
    </w:p>
    <w:p w14:paraId="25A8B440">
      <w:pPr>
        <w:wordWrap w:val="0"/>
        <w:spacing w:line="500" w:lineRule="exact"/>
        <w:ind w:firstLine="560" w:firstLineChars="200"/>
        <w:rPr>
          <w:rFonts w:hint="eastAsia"/>
          <w:bCs/>
          <w:color w:val="auto"/>
          <w:sz w:val="28"/>
          <w:szCs w:val="32"/>
        </w:rPr>
      </w:pPr>
      <w:r>
        <w:rPr>
          <w:rFonts w:hint="eastAsia"/>
          <w:bCs/>
          <w:color w:val="auto"/>
          <w:sz w:val="28"/>
          <w:szCs w:val="32"/>
        </w:rPr>
        <w:t xml:space="preserve">为保障我校网络服务的高可用性、稳定性和安全性，满足我校日常办公、教学及数据传输需求，同时避免单一运营商垄断，提升链路服务质量和抗风险能力，拟采购2条互联网出口链路及配套负载均衡设备，本次采购分为两个分标（分标一、分标二），总体要求如下： </w:t>
      </w:r>
    </w:p>
    <w:p w14:paraId="483D7D95">
      <w:pPr>
        <w:wordWrap w:val="0"/>
        <w:spacing w:line="500" w:lineRule="exact"/>
        <w:ind w:firstLine="562" w:firstLineChars="200"/>
        <w:rPr>
          <w:rFonts w:hint="eastAsia"/>
          <w:b/>
          <w:bCs w:val="0"/>
          <w:color w:val="auto"/>
          <w:sz w:val="28"/>
          <w:szCs w:val="32"/>
        </w:rPr>
      </w:pPr>
      <w:r>
        <w:rPr>
          <w:rFonts w:hint="eastAsia"/>
          <w:b/>
          <w:bCs w:val="0"/>
          <w:color w:val="auto"/>
          <w:sz w:val="28"/>
          <w:szCs w:val="32"/>
        </w:rPr>
        <w:t>1、本次采购设两个分标，分标一、分标二各对应1条互联网出口链路及配套硬件及服务，每个分标单独评审、单独确定</w:t>
      </w:r>
      <w:r>
        <w:rPr>
          <w:rFonts w:hint="eastAsia"/>
          <w:b/>
          <w:bCs w:val="0"/>
          <w:color w:val="auto"/>
          <w:sz w:val="28"/>
          <w:szCs w:val="32"/>
          <w:lang w:eastAsia="zh-CN"/>
        </w:rPr>
        <w:t>成交</w:t>
      </w:r>
      <w:r>
        <w:rPr>
          <w:rFonts w:hint="eastAsia"/>
          <w:b/>
          <w:bCs w:val="0"/>
          <w:color w:val="auto"/>
          <w:sz w:val="28"/>
          <w:szCs w:val="32"/>
        </w:rPr>
        <w:t>人。</w:t>
      </w:r>
    </w:p>
    <w:p w14:paraId="71B0E552">
      <w:pPr>
        <w:wordWrap w:val="0"/>
        <w:spacing w:line="500" w:lineRule="exact"/>
        <w:ind w:firstLine="562" w:firstLineChars="200"/>
        <w:rPr>
          <w:rFonts w:hint="eastAsia" w:eastAsia="宋体"/>
          <w:b/>
          <w:bCs w:val="0"/>
          <w:color w:val="FF0000"/>
          <w:sz w:val="28"/>
          <w:szCs w:val="32"/>
          <w:lang w:eastAsia="zh-CN"/>
        </w:rPr>
      </w:pPr>
      <w:r>
        <w:rPr>
          <w:rFonts w:hint="eastAsia"/>
          <w:b/>
          <w:bCs w:val="0"/>
          <w:color w:val="auto"/>
          <w:sz w:val="28"/>
          <w:szCs w:val="32"/>
        </w:rPr>
        <w:t>2、两个分标须确定不同运营商作为</w:t>
      </w:r>
      <w:r>
        <w:rPr>
          <w:rFonts w:hint="eastAsia"/>
          <w:b/>
          <w:bCs w:val="0"/>
          <w:color w:val="auto"/>
          <w:sz w:val="28"/>
          <w:szCs w:val="32"/>
          <w:lang w:eastAsia="zh-CN"/>
        </w:rPr>
        <w:t>成交</w:t>
      </w:r>
      <w:r>
        <w:rPr>
          <w:rFonts w:hint="eastAsia"/>
          <w:b/>
          <w:bCs w:val="0"/>
          <w:color w:val="auto"/>
          <w:sz w:val="28"/>
          <w:szCs w:val="32"/>
        </w:rPr>
        <w:t>人，确保两条链路来自不同运营商，实现链路冗余的核心目标，两条专线链路的带宽、接入方式等具体参数详见各分标具体要求。</w:t>
      </w:r>
      <w:r>
        <w:rPr>
          <w:rFonts w:hint="eastAsia"/>
          <w:b/>
          <w:bCs w:val="0"/>
          <w:color w:val="FF0000"/>
          <w:sz w:val="28"/>
          <w:szCs w:val="32"/>
          <w:lang w:eastAsia="zh-CN"/>
        </w:rPr>
        <w:t>（</w:t>
      </w:r>
      <w:r>
        <w:rPr>
          <w:rFonts w:hint="eastAsia" w:ascii="宋体" w:hAnsi="宋体" w:eastAsia="宋体" w:cs="宋体"/>
          <w:b/>
          <w:bCs w:val="0"/>
          <w:i w:val="0"/>
          <w:iCs w:val="0"/>
          <w:caps w:val="0"/>
          <w:color w:val="FF0000"/>
          <w:spacing w:val="0"/>
          <w:sz w:val="28"/>
          <w:szCs w:val="32"/>
          <w:shd w:val="clear"/>
        </w:rPr>
        <w:t>同一供应商仅可</w:t>
      </w:r>
      <w:r>
        <w:rPr>
          <w:rFonts w:hint="eastAsia" w:cs="宋体"/>
          <w:b/>
          <w:bCs w:val="0"/>
          <w:i w:val="0"/>
          <w:iCs w:val="0"/>
          <w:caps w:val="0"/>
          <w:color w:val="FF0000"/>
          <w:spacing w:val="0"/>
          <w:sz w:val="28"/>
          <w:szCs w:val="32"/>
          <w:shd w:val="clear"/>
          <w:lang w:eastAsia="zh-CN"/>
        </w:rPr>
        <w:t>成交</w:t>
      </w:r>
      <w:r>
        <w:rPr>
          <w:rFonts w:hint="eastAsia" w:ascii="宋体" w:hAnsi="宋体" w:eastAsia="宋体" w:cs="宋体"/>
          <w:b/>
          <w:bCs w:val="0"/>
          <w:i w:val="0"/>
          <w:iCs w:val="0"/>
          <w:caps w:val="0"/>
          <w:color w:val="FF0000"/>
          <w:spacing w:val="0"/>
          <w:sz w:val="28"/>
          <w:szCs w:val="32"/>
          <w:shd w:val="clear"/>
        </w:rPr>
        <w:t>其中一个分标，不得同时</w:t>
      </w:r>
      <w:r>
        <w:rPr>
          <w:rFonts w:hint="eastAsia" w:cs="宋体"/>
          <w:b/>
          <w:bCs w:val="0"/>
          <w:i w:val="0"/>
          <w:iCs w:val="0"/>
          <w:caps w:val="0"/>
          <w:color w:val="FF0000"/>
          <w:spacing w:val="0"/>
          <w:sz w:val="28"/>
          <w:szCs w:val="32"/>
          <w:shd w:val="clear"/>
          <w:lang w:eastAsia="zh-CN"/>
        </w:rPr>
        <w:t>成交</w:t>
      </w:r>
      <w:r>
        <w:rPr>
          <w:rFonts w:hint="eastAsia" w:ascii="宋体" w:hAnsi="宋体" w:eastAsia="宋体" w:cs="宋体"/>
          <w:b/>
          <w:bCs w:val="0"/>
          <w:i w:val="0"/>
          <w:iCs w:val="0"/>
          <w:caps w:val="0"/>
          <w:color w:val="FF0000"/>
          <w:spacing w:val="0"/>
          <w:sz w:val="28"/>
          <w:szCs w:val="32"/>
          <w:shd w:val="clear"/>
        </w:rPr>
        <w:t>两个分标</w:t>
      </w:r>
      <w:r>
        <w:rPr>
          <w:rFonts w:hint="eastAsia"/>
          <w:b/>
          <w:bCs w:val="0"/>
          <w:color w:val="FF0000"/>
          <w:sz w:val="28"/>
          <w:szCs w:val="32"/>
          <w:lang w:eastAsia="zh-CN"/>
        </w:rPr>
        <w:t>）</w:t>
      </w:r>
    </w:p>
    <w:p w14:paraId="6C0BCD12">
      <w:pPr>
        <w:wordWrap w:val="0"/>
        <w:spacing w:line="500" w:lineRule="exact"/>
        <w:ind w:firstLine="562" w:firstLineChars="200"/>
        <w:rPr>
          <w:rFonts w:hint="eastAsia"/>
          <w:b/>
          <w:bCs w:val="0"/>
          <w:color w:val="auto"/>
          <w:sz w:val="28"/>
          <w:szCs w:val="32"/>
        </w:rPr>
      </w:pPr>
      <w:r>
        <w:rPr>
          <w:rFonts w:hint="eastAsia"/>
          <w:b/>
          <w:bCs w:val="0"/>
          <w:color w:val="auto"/>
          <w:sz w:val="28"/>
          <w:szCs w:val="32"/>
        </w:rPr>
        <w:t>3、其他要求：两条链路可通过负载均衡设备（由</w:t>
      </w:r>
      <w:bookmarkStart w:id="0" w:name="_GoBack"/>
      <w:r>
        <w:rPr>
          <w:rFonts w:hint="eastAsia"/>
          <w:b/>
          <w:bCs w:val="0"/>
          <w:color w:val="auto"/>
          <w:sz w:val="28"/>
          <w:szCs w:val="32"/>
          <w:lang w:eastAsia="zh-CN"/>
        </w:rPr>
        <w:t>成交</w:t>
      </w:r>
      <w:bookmarkEnd w:id="0"/>
      <w:r>
        <w:rPr>
          <w:rFonts w:hint="eastAsia"/>
          <w:b/>
          <w:bCs w:val="0"/>
          <w:color w:val="auto"/>
          <w:sz w:val="28"/>
          <w:szCs w:val="32"/>
        </w:rPr>
        <w:t>人提供）实现流量智能分配；当其中一条链路出现如带宽拥堵、延迟过高、断网等故障时，负载均衡设备须自动启用另一条链路，确保互联网访问不中断。</w:t>
      </w:r>
    </w:p>
    <w:p w14:paraId="17C35D33">
      <w:pPr>
        <w:wordWrap w:val="0"/>
        <w:spacing w:line="500" w:lineRule="exact"/>
        <w:ind w:firstLine="560" w:firstLineChars="200"/>
        <w:rPr>
          <w:bCs/>
          <w:color w:val="auto"/>
          <w:sz w:val="28"/>
          <w:szCs w:val="32"/>
        </w:rPr>
      </w:pPr>
      <w:r>
        <w:rPr>
          <w:rFonts w:hint="eastAsia"/>
          <w:bCs/>
          <w:color w:val="auto"/>
          <w:sz w:val="28"/>
          <w:szCs w:val="32"/>
        </w:rPr>
        <w:t>请各供应商对项目采购需求一览表的内容进行报价（报价含</w:t>
      </w:r>
      <w:r>
        <w:rPr>
          <w:rFonts w:hint="eastAsia"/>
          <w:bCs/>
          <w:color w:val="auto"/>
          <w:sz w:val="28"/>
          <w:szCs w:val="32"/>
          <w:lang w:val="en-US" w:eastAsia="zh-CN"/>
        </w:rPr>
        <w:t>服务价款</w:t>
      </w:r>
      <w:r>
        <w:rPr>
          <w:rFonts w:hint="eastAsia"/>
          <w:bCs/>
          <w:color w:val="auto"/>
          <w:sz w:val="28"/>
          <w:szCs w:val="32"/>
        </w:rPr>
        <w:t>、税费、运费、安装费等所有费用）。</w:t>
      </w:r>
    </w:p>
    <w:p w14:paraId="0E85EB3F">
      <w:pPr>
        <w:ind w:firstLine="643" w:firstLineChars="200"/>
        <w:jc w:val="center"/>
        <w:rPr>
          <w:rFonts w:hint="eastAsia"/>
          <w:b/>
          <w:bCs/>
          <w:color w:val="auto"/>
          <w:sz w:val="32"/>
          <w:szCs w:val="32"/>
        </w:rPr>
      </w:pPr>
    </w:p>
    <w:p w14:paraId="1BED995D">
      <w:pPr>
        <w:ind w:firstLine="643" w:firstLineChars="200"/>
        <w:jc w:val="center"/>
        <w:rPr>
          <w:rFonts w:hint="eastAsia"/>
          <w:b/>
          <w:bCs/>
          <w:color w:val="auto"/>
          <w:sz w:val="32"/>
          <w:szCs w:val="32"/>
        </w:rPr>
      </w:pPr>
      <w:r>
        <w:rPr>
          <w:rFonts w:hint="eastAsia"/>
          <w:b/>
          <w:bCs/>
          <w:color w:val="auto"/>
          <w:sz w:val="32"/>
          <w:szCs w:val="32"/>
        </w:rPr>
        <w:t>项目采购需求一览表</w:t>
      </w:r>
    </w:p>
    <w:tbl>
      <w:tblPr>
        <w:tblStyle w:val="7"/>
        <w:tblW w:w="1411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791"/>
        <w:gridCol w:w="1155"/>
        <w:gridCol w:w="7383"/>
        <w:gridCol w:w="600"/>
        <w:gridCol w:w="934"/>
        <w:gridCol w:w="1000"/>
        <w:gridCol w:w="1200"/>
        <w:gridCol w:w="1056"/>
      </w:tblGrid>
      <w:tr w14:paraId="31D3E4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791" w:type="dxa"/>
            <w:tcBorders>
              <w:top w:val="outset" w:color="auto" w:sz="6" w:space="0"/>
              <w:left w:val="outset" w:color="auto" w:sz="6" w:space="0"/>
              <w:bottom w:val="outset" w:color="auto" w:sz="6" w:space="0"/>
              <w:right w:val="outset" w:color="auto" w:sz="6" w:space="0"/>
            </w:tcBorders>
            <w:noWrap/>
            <w:vAlign w:val="center"/>
          </w:tcPr>
          <w:p w14:paraId="50143D01">
            <w:pPr>
              <w:wordWrap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155" w:type="dxa"/>
            <w:tcBorders>
              <w:top w:val="outset" w:color="auto" w:sz="6" w:space="0"/>
              <w:left w:val="outset" w:color="auto" w:sz="6" w:space="0"/>
              <w:bottom w:val="outset" w:color="auto" w:sz="6" w:space="0"/>
              <w:right w:val="outset" w:color="auto" w:sz="6" w:space="0"/>
            </w:tcBorders>
            <w:vAlign w:val="center"/>
          </w:tcPr>
          <w:p w14:paraId="68ECA637">
            <w:pPr>
              <w:wordWrap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7383" w:type="dxa"/>
            <w:tcBorders>
              <w:top w:val="outset" w:color="auto" w:sz="6" w:space="0"/>
              <w:left w:val="outset" w:color="auto" w:sz="6" w:space="0"/>
              <w:bottom w:val="outset" w:color="auto" w:sz="6" w:space="0"/>
              <w:right w:val="outset" w:color="auto" w:sz="6" w:space="0"/>
            </w:tcBorders>
            <w:vAlign w:val="center"/>
          </w:tcPr>
          <w:p w14:paraId="04F745A6">
            <w:pPr>
              <w:wordWrap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详细技术参数及性能配置要求</w:t>
            </w:r>
          </w:p>
        </w:tc>
        <w:tc>
          <w:tcPr>
            <w:tcW w:w="600" w:type="dxa"/>
            <w:tcBorders>
              <w:top w:val="outset" w:color="auto" w:sz="6" w:space="0"/>
              <w:left w:val="outset" w:color="auto" w:sz="6" w:space="0"/>
              <w:bottom w:val="outset" w:color="auto" w:sz="6" w:space="0"/>
              <w:right w:val="outset" w:color="auto" w:sz="6" w:space="0"/>
            </w:tcBorders>
            <w:vAlign w:val="center"/>
          </w:tcPr>
          <w:p w14:paraId="66DE1446">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计量单位</w:t>
            </w:r>
          </w:p>
        </w:tc>
        <w:tc>
          <w:tcPr>
            <w:tcW w:w="934" w:type="dxa"/>
            <w:tcBorders>
              <w:top w:val="outset" w:color="auto" w:sz="6" w:space="0"/>
              <w:left w:val="outset" w:color="auto" w:sz="6" w:space="0"/>
              <w:bottom w:val="outset" w:color="auto" w:sz="6" w:space="0"/>
              <w:right w:val="outset" w:color="auto" w:sz="6" w:space="0"/>
            </w:tcBorders>
            <w:shd w:val="clear" w:color="auto" w:fill="auto"/>
            <w:vAlign w:val="center"/>
          </w:tcPr>
          <w:p w14:paraId="07F517C4">
            <w:pPr>
              <w:spacing w:line="400" w:lineRule="exact"/>
              <w:jc w:val="center"/>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rPr>
              <w:t>数量</w:t>
            </w:r>
          </w:p>
        </w:tc>
        <w:tc>
          <w:tcPr>
            <w:tcW w:w="1000" w:type="dxa"/>
            <w:tcBorders>
              <w:top w:val="outset" w:color="auto" w:sz="6" w:space="0"/>
              <w:left w:val="outset" w:color="auto" w:sz="6" w:space="0"/>
              <w:bottom w:val="outset" w:color="auto" w:sz="6" w:space="0"/>
              <w:right w:val="outset" w:color="auto" w:sz="6" w:space="0"/>
            </w:tcBorders>
            <w:vAlign w:val="center"/>
          </w:tcPr>
          <w:p w14:paraId="08FF5302">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预算单价（元）</w:t>
            </w:r>
          </w:p>
        </w:tc>
        <w:tc>
          <w:tcPr>
            <w:tcW w:w="1200" w:type="dxa"/>
            <w:tcBorders>
              <w:top w:val="outset" w:color="auto" w:sz="6" w:space="0"/>
              <w:left w:val="outset" w:color="auto" w:sz="6" w:space="0"/>
              <w:bottom w:val="outset" w:color="auto" w:sz="6" w:space="0"/>
              <w:right w:val="outset" w:color="auto" w:sz="6" w:space="0"/>
            </w:tcBorders>
            <w:vAlign w:val="center"/>
          </w:tcPr>
          <w:p w14:paraId="00476B65">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预算合计（元）</w:t>
            </w:r>
          </w:p>
        </w:tc>
        <w:tc>
          <w:tcPr>
            <w:tcW w:w="1056" w:type="dxa"/>
            <w:tcBorders>
              <w:top w:val="outset" w:color="auto" w:sz="6" w:space="0"/>
              <w:left w:val="outset" w:color="auto" w:sz="6" w:space="0"/>
              <w:bottom w:val="outset" w:color="auto" w:sz="6" w:space="0"/>
              <w:right w:val="outset" w:color="auto" w:sz="6" w:space="0"/>
            </w:tcBorders>
            <w:vAlign w:val="center"/>
          </w:tcPr>
          <w:p w14:paraId="0BE4139A">
            <w:pPr>
              <w:wordWrap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5F68AF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791" w:type="dxa"/>
            <w:tcBorders>
              <w:top w:val="outset" w:color="auto" w:sz="6" w:space="0"/>
              <w:left w:val="outset" w:color="auto" w:sz="6" w:space="0"/>
              <w:bottom w:val="outset" w:color="auto" w:sz="6" w:space="0"/>
              <w:right w:val="outset" w:color="auto" w:sz="6" w:space="0"/>
            </w:tcBorders>
            <w:shd w:val="clear" w:color="auto" w:fill="auto"/>
            <w:vAlign w:val="center"/>
          </w:tcPr>
          <w:p w14:paraId="0C09784B">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w:t>
            </w:r>
          </w:p>
        </w:tc>
        <w:tc>
          <w:tcPr>
            <w:tcW w:w="1155" w:type="dxa"/>
            <w:tcBorders>
              <w:top w:val="outset" w:color="auto" w:sz="6" w:space="0"/>
              <w:left w:val="outset" w:color="auto" w:sz="6" w:space="0"/>
              <w:bottom w:val="outset" w:color="auto" w:sz="6" w:space="0"/>
              <w:right w:val="outset" w:color="auto" w:sz="6" w:space="0"/>
            </w:tcBorders>
            <w:shd w:val="clear" w:color="auto" w:fill="auto"/>
            <w:vAlign w:val="center"/>
          </w:tcPr>
          <w:p w14:paraId="57E26D2F">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右江民族医学院互联网络专线租赁服务</w:t>
            </w:r>
            <w:r>
              <w:rPr>
                <w:rFonts w:hint="eastAsia" w:cs="宋体"/>
                <w:b w:val="0"/>
                <w:bCs w:val="0"/>
                <w:color w:val="auto"/>
                <w:sz w:val="21"/>
                <w:szCs w:val="21"/>
                <w:lang w:eastAsia="zh-CN"/>
              </w:rPr>
              <w:t>（</w:t>
            </w:r>
            <w:r>
              <w:rPr>
                <w:rFonts w:hint="eastAsia" w:ascii="宋体" w:hAnsi="宋体" w:eastAsia="宋体" w:cs="宋体"/>
                <w:b w:val="0"/>
                <w:bCs w:val="0"/>
                <w:color w:val="auto"/>
                <w:sz w:val="21"/>
                <w:szCs w:val="21"/>
              </w:rPr>
              <w:t>分标一</w:t>
            </w:r>
            <w:r>
              <w:rPr>
                <w:rFonts w:hint="eastAsia" w:cs="宋体"/>
                <w:b w:val="0"/>
                <w:bCs w:val="0"/>
                <w:color w:val="auto"/>
                <w:sz w:val="21"/>
                <w:szCs w:val="21"/>
                <w:lang w:eastAsia="zh-CN"/>
              </w:rPr>
              <w:t>）</w:t>
            </w:r>
          </w:p>
        </w:tc>
        <w:tc>
          <w:tcPr>
            <w:tcW w:w="7383" w:type="dxa"/>
            <w:tcBorders>
              <w:top w:val="outset" w:color="auto" w:sz="6" w:space="0"/>
              <w:left w:val="outset" w:color="auto" w:sz="6" w:space="0"/>
              <w:bottom w:val="outset" w:color="auto" w:sz="6" w:space="0"/>
              <w:right w:val="outset" w:color="auto" w:sz="6" w:space="0"/>
            </w:tcBorders>
            <w:shd w:val="clear" w:color="auto" w:fill="auto"/>
            <w:vAlign w:val="center"/>
          </w:tcPr>
          <w:p w14:paraId="1A913556">
            <w:pPr>
              <w:wordWrap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分标一：</w:t>
            </w:r>
          </w:p>
          <w:p w14:paraId="4FB7EA73">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一、提供1条≥550Mbps的互联网出口带宽服务，并提供≥5个公网静态IPv4地址和/1个/56IPv6前缀地址。</w:t>
            </w:r>
          </w:p>
          <w:p w14:paraId="627B2D02">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二、供应商汇聚层和骨干层线路需具有自愈环保护功能和不超过50ms保护倒换能力，保证专线不会因光缆的意外阻断或部分设备故障而中断。</w:t>
            </w:r>
          </w:p>
          <w:p w14:paraId="2A7A84E3">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三、要求全网的传输设备均具备网管能力，全程提供端到端的网管监控功能，实行7*24小时不间断监控，可有效地检测并定位网络故障。</w:t>
            </w:r>
          </w:p>
          <w:p w14:paraId="67EEB497">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四、投标人须负责链路的接入施工，为避免某校区的出口链路因不可抗因素发生断路导致网络中断，须将链路分别接入学校的两个校区（百城校区和百东校区）机房，并根据实际预设配置路由，当某个校区出口链路发生断路时，可将互联网专线的总出口快速切换至另一个校区，确保网络业务的持续性。负责完成两校区出口链路的光纤铺设、端口配置、路由调试等全部工作，确保链路可正常使用，接入过程须符合学校机房安全管理规定，避免对现有网络系统造成影响。同时提供本次专线接入所需的相关硬件设备，包括路由器、交换机、光缆、尾纤跳线、光模块等。</w:t>
            </w:r>
          </w:p>
          <w:p w14:paraId="37E720F6">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五、线路技术指标：≥1000M互联网带宽裸机测试，上、下行速率对称，且稳定在1000Mbps。链路年可用性≥99.9%，平均延迟≤50ms，丢包率≤3‰；链路支持动态带宽调整（根据单位需求可灵活扩容），扩容过程不影响现有网络服务。</w:t>
            </w:r>
          </w:p>
          <w:p w14:paraId="67636E5B">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六、采用双路由接入学校出口设备，确保其中一路中断，另外一路仍能继续提供服务。</w:t>
            </w:r>
          </w:p>
          <w:p w14:paraId="6C8D82DB">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七、线路安全方面支持抗DDos防御及流量清洗能力。</w:t>
            </w:r>
          </w:p>
          <w:p w14:paraId="0BE1F7AF">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八、学校网络需要扩展或升级时，须提供相应解决方案等技术支持。</w:t>
            </w:r>
          </w:p>
          <w:p w14:paraId="2AFE24FB">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九.根据学校实际需求，提供百城校区和百东校区的网络互通服务。</w:t>
            </w:r>
          </w:p>
          <w:p w14:paraId="18E4D11C">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十、由投标人免费提供1台负载均衡设备（含硬件、配套软件及终身授权），设备规格须满足两条链路的智能流量分配及故障自动切换的核心需求，且与单位现有网络设备（交换机、路由器等）兼容；设备须为原厂全新正品，提供原厂供货证明及原厂售后服务承诺函，严禁提供翻新、拼装、二手设备。</w:t>
            </w:r>
          </w:p>
          <w:p w14:paraId="7BBE1F2B">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1、设备四层吞吐量≥20Gbps，四层并发连接数≥800万，七层并发连接数≥100万，新建连接数≥35万。</w:t>
            </w:r>
          </w:p>
          <w:p w14:paraId="47BEAF6E">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2、硬盘容量不少于≥480GB SSD；内存≥8GB；配置不少于6个千兆电口，4个万兆光口SFP+；配置冗余电源，2U机架式。</w:t>
            </w:r>
          </w:p>
          <w:p w14:paraId="795CDDB5">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3、单一设备可同时支持包括链路负载均衡、服务器负载均衡和全局负载均衡的功能，功能同时处于激活可使用状态，无需额外购买相应授权。</w:t>
            </w:r>
          </w:p>
          <w:p w14:paraId="7AB26548">
            <w:pPr>
              <w:wordWrap w:val="0"/>
              <w:spacing w:line="400" w:lineRule="exact"/>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rPr>
              <w:t>4、负载均衡支持在Web页面配置实现基于管理员自定义的时间计划来进行出站访问的流量调度，支持基于应用协议的智能选路，内置网上银行、Web流媒体、游戏、音频视频规则库，并且规则库不少于5000条。</w:t>
            </w:r>
            <w:r>
              <w:rPr>
                <w:rFonts w:hint="eastAsia" w:ascii="宋体" w:hAnsi="宋体" w:eastAsia="宋体" w:cs="宋体"/>
                <w:b/>
                <w:bCs/>
                <w:color w:val="auto"/>
                <w:sz w:val="21"/>
                <w:szCs w:val="21"/>
                <w:highlight w:val="cyan"/>
              </w:rPr>
              <w:t>（提供产品界面截图并加盖投标人公章）</w:t>
            </w:r>
          </w:p>
          <w:p w14:paraId="28E4772A">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5、具备强大负载均衡算法，支持HTTP、TCP、HTTPS、SIP-TCP、SIP-UDP、8583、DNS等服务类型，支持轮询、加权轮询、按主机加权轮询、加权最小连接、按主机加权最小连接、动态反馈、最快响应时间、加权最小流量、最小流量、最少连接、主机-最小流量、主机-最少连接调度、动态反馈、按主机加权最小流量、源IP源端口哈希、源IP哈希、URI哈希和HOST哈希等。</w:t>
            </w:r>
          </w:p>
          <w:p w14:paraId="5FBC5169">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6、具备DNS功能，支持A、AAAA、DNSSEC、CAA和DS记录，支持DNS缓存和RPZ防火墙功能。</w:t>
            </w:r>
            <w:r>
              <w:rPr>
                <w:rFonts w:hint="eastAsia" w:ascii="宋体" w:hAnsi="宋体" w:eastAsia="宋体" w:cs="宋体"/>
                <w:b/>
                <w:bCs/>
                <w:color w:val="auto"/>
                <w:sz w:val="21"/>
                <w:szCs w:val="21"/>
                <w:highlight w:val="cyan"/>
              </w:rPr>
              <w:t>（提供产品界面截图并加盖投标人公章）</w:t>
            </w:r>
          </w:p>
          <w:p w14:paraId="568C0A1A">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7、设备需支持多种编程语言脚本（如lua和TCL）实现功能配置，对IP、TCP、UDP、SSL、HTTP和HTTPS等类型的流量进行分发、修改和统计等操作，具备对可编程脚本语法的校验功能，能够识别出脚本语言是否正确，定位到具体的错误语句。</w:t>
            </w:r>
          </w:p>
          <w:p w14:paraId="556C62EF">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8、为了方便管控和调节业务服务的压力，支持基于WEB图形化界面支持对虚拟服务、节点设置上行和下行流量限制，支持配置每台的业务主机的并发连接数、新建连接数和每秒请求数限制，同时可配置每个虚拟服务的单个IP或所有IP的最大新建和最大并发限制来调节真实业务服务器压力。</w:t>
            </w:r>
            <w:r>
              <w:rPr>
                <w:rFonts w:hint="eastAsia" w:ascii="宋体" w:hAnsi="宋体" w:eastAsia="宋体" w:cs="宋体"/>
                <w:b/>
                <w:bCs/>
                <w:color w:val="auto"/>
                <w:sz w:val="21"/>
                <w:szCs w:val="21"/>
                <w:highlight w:val="cyan"/>
              </w:rPr>
              <w:t>（提供产品界面截图并加盖投标人公章）</w:t>
            </w:r>
          </w:p>
          <w:p w14:paraId="3A1C3C59">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9、具备多种类型的会话保持技术，支持源IP、Cookie（插入/被动/改写）、HTTP-Passive（应答被动、请求被动）、Radius、SSL Session ID、SIP（CALL-ID）和源IP+源端口等多种会话保持机制，支持跨虚拟服务的会话保持。</w:t>
            </w:r>
          </w:p>
          <w:p w14:paraId="6843EDC8">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10、具备多种类型的健康检查技术，支持常见的主动式健康检查功能，提供基于SNMP、ICMP、SIP、ICMPv6、TCP、UDP、FTP、HTTP、DNS、RADIUS、HTTPS、LDAP、HTTP2、ORACLE、MSSQL、MYSQL数据库等多种类型的探测判断机制，支持外部应用监视器健康检查功能，同时可配置间隔时间、超时时间，同时可通过Web页面执行命令，并且能开启/关闭调试日志功能。</w:t>
            </w:r>
          </w:p>
          <w:p w14:paraId="11060E7D">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11、为了适应未来应用国产化应用改造，负载均衡设备需支持国产数据库负载，支持OceanBase、达梦和人大金仓数据库的负载均衡。</w:t>
            </w:r>
          </w:p>
          <w:p w14:paraId="30669C6A">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12、为了保障业务可用性优先，出现节点繁忙的情况时，可以有多种选择（如连接排队、强制调度、调度失败等），并且可以直接在Web页面直接进行选择配置，支持对于超过服务器的连接数上限或者请求数上限的新建连接缓存起来放入队列中，后续分批逐步发送给服务器，而不是直接丢弃数据包。</w:t>
            </w:r>
            <w:r>
              <w:rPr>
                <w:rFonts w:hint="eastAsia" w:ascii="宋体" w:hAnsi="宋体" w:eastAsia="宋体" w:cs="宋体"/>
                <w:b/>
                <w:bCs/>
                <w:color w:val="auto"/>
                <w:sz w:val="21"/>
                <w:szCs w:val="21"/>
                <w:highlight w:val="cyan"/>
              </w:rPr>
              <w:t>（提供产品界面截图并加盖投标人公章）</w:t>
            </w:r>
          </w:p>
          <w:p w14:paraId="6B8B6187">
            <w:pPr>
              <w:wordWrap w:val="0"/>
              <w:spacing w:line="400" w:lineRule="exact"/>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rPr>
              <w:t>13、为了便于业务上线前对业务进行验证，且操作简单，设备支持模拟健康监测功能，无需完成真实的业务配置即可提前采用icmp、http、https、tcp、ftp以及DNS等健康检查方式模拟检查业务的状态；且支持完成链路负载均衡配置后，可以直接在Web页面验证负载配置后的效果。</w:t>
            </w:r>
            <w:r>
              <w:rPr>
                <w:rFonts w:hint="eastAsia" w:ascii="宋体" w:hAnsi="宋体" w:eastAsia="宋体" w:cs="宋体"/>
                <w:b/>
                <w:bCs/>
                <w:color w:val="auto"/>
                <w:sz w:val="21"/>
                <w:szCs w:val="21"/>
                <w:highlight w:val="cyan"/>
              </w:rPr>
              <w:t>（提供产品界面截图并加盖投标人公章）</w:t>
            </w:r>
          </w:p>
          <w:p w14:paraId="5D295BC5">
            <w:pPr>
              <w:wordWrap w:val="0"/>
              <w:spacing w:line="400" w:lineRule="exact"/>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rPr>
              <w:t>14、支持在WEB页面配置TOA(TCP Option Address)源地址插入功能,降低通过脚本实现此功能对设备的硬件资源开销，从而提升整体设备性能。</w:t>
            </w:r>
            <w:r>
              <w:rPr>
                <w:rFonts w:hint="eastAsia" w:ascii="宋体" w:hAnsi="宋体" w:eastAsia="宋体" w:cs="宋体"/>
                <w:b/>
                <w:bCs/>
                <w:color w:val="auto"/>
                <w:sz w:val="21"/>
                <w:szCs w:val="21"/>
                <w:highlight w:val="cyan"/>
              </w:rPr>
              <w:t>（提供产品界面截图并加盖投标人公章）</w:t>
            </w:r>
          </w:p>
          <w:p w14:paraId="16B28BC8">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15、为了保障cookie会话保持的安全性，避免cookie混乱泄漏，支持cookie作用域和作用路径的自定义，支持cookie加密，提升cookie安全性。</w:t>
            </w:r>
          </w:p>
          <w:p w14:paraId="5AA92AC2">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16、为了简化运维，支持在同一个虚拟服务下同时配置多个IPv4和IPv6地址，服务器池节点支持域名和IP两种形式，可设置指定域名解析间隔时间。</w:t>
            </w:r>
            <w:r>
              <w:rPr>
                <w:rFonts w:hint="eastAsia" w:ascii="宋体" w:hAnsi="宋体" w:eastAsia="宋体" w:cs="宋体"/>
                <w:b/>
                <w:bCs/>
                <w:color w:val="auto"/>
                <w:sz w:val="21"/>
                <w:szCs w:val="21"/>
                <w:highlight w:val="cyan"/>
              </w:rPr>
              <w:t>（提供产品界面截图并加盖投标人公章）</w:t>
            </w:r>
          </w:p>
          <w:p w14:paraId="26DA29AC">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17、支持HTTP2网关部署，在不改变web服务器的情况下将对外服务协议从HTTP1.1/1.0升级至HTTP/2，支持HTTP2策略，可设置每连接最大流量数、空闲超时时间、接收窗口大小和头部表大小等。</w:t>
            </w:r>
          </w:p>
          <w:p w14:paraId="1A7D731E">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18、为了能够有效提升应用的稳定性和用户体验，确保在高并发情况下的流量管理和资源利用，支持TCP策略，实现三层、四层和七层虚拟服务模式。</w:t>
            </w:r>
          </w:p>
          <w:p w14:paraId="59B61240">
            <w:pPr>
              <w:wordWrap w:val="0"/>
              <w:spacing w:line="400" w:lineRule="exact"/>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rPr>
              <w:t>19、为了提升web页面加载速度，支持图片优化技术，通过对图片格式的转换，减少传输流量，无需改动服务器端的图片源文件，可根据浏览器种类自动识别转换类型，将图片转换为对应支持的WebP或JPEG格式，优化加速效果。</w:t>
            </w:r>
            <w:r>
              <w:rPr>
                <w:rFonts w:hint="eastAsia" w:ascii="宋体" w:hAnsi="宋体" w:eastAsia="宋体" w:cs="宋体"/>
                <w:b/>
                <w:bCs/>
                <w:color w:val="auto"/>
                <w:sz w:val="21"/>
                <w:szCs w:val="21"/>
                <w:highlight w:val="cyan"/>
              </w:rPr>
              <w:t>（提供产品界面截图并加盖投标人公章）</w:t>
            </w:r>
          </w:p>
          <w:p w14:paraId="38E6FE9D">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20、支持虚拟服务地图方式展示VS和Pool与Memeber的关联关系以及对应的状态信息，可按虚拟服务名称或者状态来进行排序。</w:t>
            </w:r>
          </w:p>
          <w:p w14:paraId="10C28CF4">
            <w:pPr>
              <w:wordWrap w:val="0"/>
              <w:spacing w:line="400" w:lineRule="exact"/>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rPr>
              <w:t>21、为了帮助管理员来对设备更好的运维排障，支持对管理日志进行对比，能直观的看到设备配置的变化，支持直接通过web页面进行命令管理和进行抓包排障，可以设置抓包时长，提升管理效率。</w:t>
            </w:r>
            <w:r>
              <w:rPr>
                <w:rFonts w:hint="eastAsia" w:ascii="宋体" w:hAnsi="宋体" w:eastAsia="宋体" w:cs="宋体"/>
                <w:b/>
                <w:bCs/>
                <w:color w:val="auto"/>
                <w:sz w:val="21"/>
                <w:szCs w:val="21"/>
                <w:highlight w:val="cyan"/>
              </w:rPr>
              <w:t>（提供产品界面截图并加盖投标人公章）</w:t>
            </w:r>
          </w:p>
          <w:p w14:paraId="51D517D1">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22、设备质保：在专线租赁服务期内，提供设备的免费维修、更换服务，若设备出现故障，投标人须在2小时内响应，24小时内完成维修或更换，确保设备正常运行。</w:t>
            </w:r>
          </w:p>
          <w:p w14:paraId="409A20B0">
            <w:pPr>
              <w:wordWrap w:val="0"/>
              <w:spacing w:line="40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十一、付款方式：服务费用按三年分期支付，每年支付一次，每期费用为合同总金额的1/3。签订合同后乙方向甲方开具12个月服务费用的合法增值税专用发票，甲方收到发票后30日进行支付。</w:t>
            </w:r>
          </w:p>
        </w:tc>
        <w:tc>
          <w:tcPr>
            <w:tcW w:w="600" w:type="dxa"/>
            <w:tcBorders>
              <w:top w:val="outset" w:color="auto" w:sz="6" w:space="0"/>
              <w:left w:val="outset" w:color="auto" w:sz="6" w:space="0"/>
              <w:bottom w:val="outset" w:color="auto" w:sz="6" w:space="0"/>
              <w:right w:val="outset" w:color="auto" w:sz="6" w:space="0"/>
            </w:tcBorders>
            <w:shd w:val="clear" w:color="auto" w:fill="auto"/>
            <w:vAlign w:val="center"/>
          </w:tcPr>
          <w:p w14:paraId="11BC307E">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年</w:t>
            </w:r>
          </w:p>
        </w:tc>
        <w:tc>
          <w:tcPr>
            <w:tcW w:w="934" w:type="dxa"/>
            <w:tcBorders>
              <w:top w:val="outset" w:color="auto" w:sz="6" w:space="0"/>
              <w:left w:val="outset" w:color="auto" w:sz="6" w:space="0"/>
              <w:bottom w:val="outset" w:color="auto" w:sz="6" w:space="0"/>
              <w:right w:val="outset" w:color="auto" w:sz="6" w:space="0"/>
            </w:tcBorders>
            <w:shd w:val="clear" w:color="auto" w:fill="auto"/>
            <w:vAlign w:val="center"/>
          </w:tcPr>
          <w:p w14:paraId="2CC9EA7A">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3</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752BCAD4">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12</w:t>
            </w:r>
            <w:r>
              <w:rPr>
                <w:rFonts w:hint="eastAsia" w:cs="宋体"/>
                <w:color w:val="auto"/>
                <w:sz w:val="21"/>
                <w:szCs w:val="21"/>
                <w:lang w:val="en-US" w:eastAsia="zh-CN"/>
              </w:rPr>
              <w:t>0</w:t>
            </w:r>
            <w:r>
              <w:rPr>
                <w:rFonts w:hint="eastAsia" w:ascii="宋体" w:hAnsi="宋体" w:eastAsia="宋体" w:cs="宋体"/>
                <w:color w:val="auto"/>
                <w:sz w:val="21"/>
                <w:szCs w:val="21"/>
              </w:rPr>
              <w:t>000</w:t>
            </w:r>
          </w:p>
        </w:tc>
        <w:tc>
          <w:tcPr>
            <w:tcW w:w="1200" w:type="dxa"/>
            <w:tcBorders>
              <w:top w:val="outset" w:color="auto" w:sz="6" w:space="0"/>
              <w:left w:val="outset" w:color="auto" w:sz="6" w:space="0"/>
              <w:bottom w:val="outset" w:color="auto" w:sz="6" w:space="0"/>
              <w:right w:val="outset" w:color="auto" w:sz="6" w:space="0"/>
            </w:tcBorders>
            <w:shd w:val="clear" w:color="auto" w:fill="auto"/>
            <w:vAlign w:val="center"/>
          </w:tcPr>
          <w:p w14:paraId="0F286C37">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3</w:t>
            </w:r>
            <w:r>
              <w:rPr>
                <w:rFonts w:hint="eastAsia" w:cs="宋体"/>
                <w:color w:val="auto"/>
                <w:sz w:val="21"/>
                <w:szCs w:val="21"/>
                <w:lang w:val="en-US" w:eastAsia="zh-CN"/>
              </w:rPr>
              <w:t>60</w:t>
            </w:r>
            <w:r>
              <w:rPr>
                <w:rFonts w:hint="eastAsia" w:ascii="宋体" w:hAnsi="宋体" w:eastAsia="宋体" w:cs="宋体"/>
                <w:color w:val="auto"/>
                <w:sz w:val="21"/>
                <w:szCs w:val="21"/>
              </w:rPr>
              <w:t>000</w:t>
            </w:r>
          </w:p>
        </w:tc>
        <w:tc>
          <w:tcPr>
            <w:tcW w:w="1056" w:type="dxa"/>
            <w:tcBorders>
              <w:top w:val="outset" w:color="auto" w:sz="6" w:space="0"/>
              <w:left w:val="outset" w:color="auto" w:sz="6" w:space="0"/>
              <w:bottom w:val="outset" w:color="auto" w:sz="6" w:space="0"/>
              <w:right w:val="outset" w:color="auto" w:sz="6" w:space="0"/>
            </w:tcBorders>
            <w:vAlign w:val="center"/>
          </w:tcPr>
          <w:p w14:paraId="1B5EAF9E">
            <w:pPr>
              <w:wordWrap w:val="0"/>
              <w:spacing w:line="400" w:lineRule="exact"/>
              <w:jc w:val="both"/>
              <w:rPr>
                <w:rFonts w:hint="eastAsia" w:ascii="宋体" w:hAnsi="宋体" w:eastAsia="宋体" w:cs="宋体"/>
                <w:color w:val="auto"/>
                <w:sz w:val="21"/>
                <w:szCs w:val="21"/>
              </w:rPr>
            </w:pPr>
          </w:p>
        </w:tc>
      </w:tr>
      <w:tr w14:paraId="1514DD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496" w:hRule="atLeast"/>
        </w:trPr>
        <w:tc>
          <w:tcPr>
            <w:tcW w:w="791" w:type="dxa"/>
            <w:tcBorders>
              <w:top w:val="outset" w:color="auto" w:sz="6" w:space="0"/>
              <w:left w:val="outset" w:color="auto" w:sz="6" w:space="0"/>
              <w:bottom w:val="outset" w:color="auto" w:sz="6" w:space="0"/>
              <w:right w:val="outset" w:color="auto" w:sz="6" w:space="0"/>
            </w:tcBorders>
            <w:vAlign w:val="center"/>
          </w:tcPr>
          <w:p w14:paraId="5E93AD71">
            <w:pPr>
              <w:wordWrap w:val="0"/>
              <w:spacing w:line="400" w:lineRule="exact"/>
              <w:jc w:val="center"/>
              <w:rPr>
                <w:rFonts w:hint="eastAsia" w:ascii="宋体" w:hAnsi="宋体" w:eastAsia="宋体" w:cs="宋体"/>
                <w:bCs/>
                <w:color w:val="auto"/>
                <w:kern w:val="2"/>
                <w:sz w:val="21"/>
                <w:szCs w:val="21"/>
                <w:lang w:bidi="ar"/>
              </w:rPr>
            </w:pPr>
            <w:r>
              <w:rPr>
                <w:rFonts w:hint="eastAsia" w:ascii="宋体" w:hAnsi="宋体" w:eastAsia="宋体" w:cs="宋体"/>
                <w:bCs/>
                <w:color w:val="auto"/>
                <w:kern w:val="2"/>
                <w:sz w:val="21"/>
                <w:szCs w:val="21"/>
                <w:lang w:bidi="ar"/>
              </w:rPr>
              <w:t>合计</w:t>
            </w:r>
          </w:p>
        </w:tc>
        <w:tc>
          <w:tcPr>
            <w:tcW w:w="1155" w:type="dxa"/>
            <w:tcBorders>
              <w:top w:val="outset" w:color="auto" w:sz="6" w:space="0"/>
              <w:left w:val="outset" w:color="auto" w:sz="6" w:space="0"/>
              <w:bottom w:val="outset" w:color="auto" w:sz="6" w:space="0"/>
              <w:right w:val="outset" w:color="auto" w:sz="6" w:space="0"/>
            </w:tcBorders>
            <w:vAlign w:val="center"/>
          </w:tcPr>
          <w:p w14:paraId="40CC603E">
            <w:pPr>
              <w:wordWrap w:val="0"/>
              <w:spacing w:line="400" w:lineRule="exact"/>
              <w:jc w:val="both"/>
              <w:rPr>
                <w:rFonts w:hint="eastAsia" w:ascii="宋体" w:hAnsi="宋体" w:eastAsia="宋体" w:cs="宋体"/>
                <w:bCs/>
                <w:color w:val="auto"/>
                <w:kern w:val="2"/>
                <w:sz w:val="21"/>
                <w:szCs w:val="21"/>
                <w:lang w:bidi="ar"/>
              </w:rPr>
            </w:pPr>
          </w:p>
        </w:tc>
        <w:tc>
          <w:tcPr>
            <w:tcW w:w="7383" w:type="dxa"/>
            <w:tcBorders>
              <w:top w:val="outset" w:color="auto" w:sz="6" w:space="0"/>
              <w:left w:val="outset" w:color="auto" w:sz="6" w:space="0"/>
              <w:bottom w:val="outset" w:color="auto" w:sz="6" w:space="0"/>
              <w:right w:val="outset" w:color="auto" w:sz="6" w:space="0"/>
            </w:tcBorders>
            <w:vAlign w:val="center"/>
          </w:tcPr>
          <w:p w14:paraId="1FDE7E0C">
            <w:pPr>
              <w:wordWrap w:val="0"/>
              <w:spacing w:line="400" w:lineRule="exact"/>
              <w:jc w:val="both"/>
              <w:rPr>
                <w:rFonts w:hint="eastAsia" w:ascii="宋体" w:hAnsi="宋体" w:eastAsia="宋体" w:cs="宋体"/>
                <w:bCs/>
                <w:color w:val="auto"/>
                <w:kern w:val="2"/>
                <w:sz w:val="21"/>
                <w:szCs w:val="21"/>
                <w:lang w:bidi="ar"/>
              </w:rPr>
            </w:pPr>
          </w:p>
        </w:tc>
        <w:tc>
          <w:tcPr>
            <w:tcW w:w="600" w:type="dxa"/>
            <w:tcBorders>
              <w:top w:val="outset" w:color="auto" w:sz="6" w:space="0"/>
              <w:left w:val="outset" w:color="auto" w:sz="6" w:space="0"/>
              <w:bottom w:val="outset" w:color="auto" w:sz="6" w:space="0"/>
              <w:right w:val="outset" w:color="auto" w:sz="6" w:space="0"/>
            </w:tcBorders>
            <w:shd w:val="clear" w:color="auto" w:fill="auto"/>
            <w:vAlign w:val="center"/>
          </w:tcPr>
          <w:p w14:paraId="192E497A">
            <w:pPr>
              <w:wordWrap w:val="0"/>
              <w:spacing w:line="400" w:lineRule="exact"/>
              <w:jc w:val="center"/>
              <w:rPr>
                <w:rFonts w:hint="eastAsia" w:ascii="宋体" w:hAnsi="宋体" w:eastAsia="宋体" w:cs="宋体"/>
                <w:bCs/>
                <w:color w:val="auto"/>
                <w:kern w:val="2"/>
                <w:sz w:val="21"/>
                <w:szCs w:val="21"/>
                <w:lang w:val="en-US" w:eastAsia="zh-CN" w:bidi="ar"/>
              </w:rPr>
            </w:pPr>
          </w:p>
        </w:tc>
        <w:tc>
          <w:tcPr>
            <w:tcW w:w="934" w:type="dxa"/>
            <w:tcBorders>
              <w:top w:val="outset" w:color="auto" w:sz="6" w:space="0"/>
              <w:left w:val="outset" w:color="auto" w:sz="6" w:space="0"/>
              <w:bottom w:val="outset" w:color="auto" w:sz="6" w:space="0"/>
              <w:right w:val="outset" w:color="auto" w:sz="6" w:space="0"/>
            </w:tcBorders>
            <w:vAlign w:val="center"/>
          </w:tcPr>
          <w:p w14:paraId="153011D0">
            <w:pPr>
              <w:wordWrap w:val="0"/>
              <w:spacing w:line="400" w:lineRule="exact"/>
              <w:jc w:val="center"/>
              <w:rPr>
                <w:rFonts w:hint="eastAsia" w:ascii="宋体" w:hAnsi="宋体" w:eastAsia="宋体" w:cs="宋体"/>
                <w:bCs/>
                <w:color w:val="auto"/>
                <w:kern w:val="2"/>
                <w:sz w:val="21"/>
                <w:szCs w:val="21"/>
                <w:lang w:bidi="ar"/>
              </w:rPr>
            </w:pPr>
          </w:p>
        </w:tc>
        <w:tc>
          <w:tcPr>
            <w:tcW w:w="1000" w:type="dxa"/>
            <w:tcBorders>
              <w:top w:val="outset" w:color="auto" w:sz="6" w:space="0"/>
              <w:left w:val="outset" w:color="auto" w:sz="6" w:space="0"/>
              <w:bottom w:val="outset" w:color="auto" w:sz="6" w:space="0"/>
              <w:right w:val="outset" w:color="auto" w:sz="6" w:space="0"/>
            </w:tcBorders>
            <w:vAlign w:val="center"/>
          </w:tcPr>
          <w:p w14:paraId="67092556">
            <w:pPr>
              <w:wordWrap w:val="0"/>
              <w:spacing w:line="400" w:lineRule="exact"/>
              <w:jc w:val="both"/>
              <w:rPr>
                <w:rFonts w:hint="default" w:ascii="宋体" w:hAnsi="宋体" w:eastAsia="宋体" w:cs="宋体"/>
                <w:color w:val="auto"/>
                <w:sz w:val="21"/>
                <w:szCs w:val="21"/>
                <w:lang w:val="en-US" w:eastAsia="zh-CN"/>
              </w:rPr>
            </w:pPr>
          </w:p>
        </w:tc>
        <w:tc>
          <w:tcPr>
            <w:tcW w:w="1200" w:type="dxa"/>
            <w:tcBorders>
              <w:top w:val="outset" w:color="auto" w:sz="6" w:space="0"/>
              <w:left w:val="outset" w:color="auto" w:sz="6" w:space="0"/>
              <w:bottom w:val="outset" w:color="auto" w:sz="6" w:space="0"/>
              <w:right w:val="outset" w:color="auto" w:sz="6" w:space="0"/>
            </w:tcBorders>
            <w:vAlign w:val="center"/>
          </w:tcPr>
          <w:p w14:paraId="6DA789BB">
            <w:pPr>
              <w:wordWrap w:val="0"/>
              <w:spacing w:line="40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360000</w:t>
            </w:r>
            <w:r>
              <w:rPr>
                <w:rFonts w:hint="eastAsia" w:cs="宋体"/>
                <w:color w:val="auto"/>
                <w:sz w:val="21"/>
                <w:szCs w:val="21"/>
                <w:lang w:val="en-US" w:eastAsia="zh-CN"/>
              </w:rPr>
              <w:t>.00</w:t>
            </w:r>
          </w:p>
        </w:tc>
        <w:tc>
          <w:tcPr>
            <w:tcW w:w="1056" w:type="dxa"/>
            <w:tcBorders>
              <w:top w:val="outset" w:color="auto" w:sz="6" w:space="0"/>
              <w:left w:val="outset" w:color="auto" w:sz="6" w:space="0"/>
              <w:bottom w:val="outset" w:color="auto" w:sz="6" w:space="0"/>
              <w:right w:val="outset" w:color="auto" w:sz="6" w:space="0"/>
            </w:tcBorders>
            <w:vAlign w:val="center"/>
          </w:tcPr>
          <w:p w14:paraId="6B9BFED6">
            <w:pPr>
              <w:wordWrap w:val="0"/>
              <w:spacing w:line="400" w:lineRule="exact"/>
              <w:jc w:val="both"/>
              <w:rPr>
                <w:rFonts w:hint="eastAsia" w:ascii="宋体" w:hAnsi="宋体" w:eastAsia="宋体" w:cs="宋体"/>
                <w:color w:val="auto"/>
                <w:sz w:val="21"/>
                <w:szCs w:val="21"/>
              </w:rPr>
            </w:pPr>
          </w:p>
        </w:tc>
      </w:tr>
    </w:tbl>
    <w:p w14:paraId="1BFE756E">
      <w:pPr>
        <w:rPr>
          <w:rFonts w:ascii="华文仿宋" w:hAnsi="华文仿宋" w:eastAsia="华文仿宋" w:cs="华文仿宋"/>
          <w:b/>
          <w:bCs/>
          <w:color w:val="auto"/>
          <w:sz w:val="30"/>
          <w:szCs w:val="30"/>
        </w:rPr>
      </w:pPr>
    </w:p>
    <w:p w14:paraId="1BD08E1E">
      <w:pPr>
        <w:rPr>
          <w:rFonts w:ascii="华文仿宋" w:hAnsi="华文仿宋" w:eastAsia="华文仿宋" w:cs="华文仿宋"/>
          <w:b/>
          <w:bCs/>
          <w:color w:val="auto"/>
          <w:sz w:val="30"/>
          <w:szCs w:val="30"/>
        </w:rPr>
      </w:pPr>
      <w:r>
        <w:rPr>
          <w:rFonts w:ascii="华文仿宋" w:hAnsi="华文仿宋" w:eastAsia="华文仿宋" w:cs="华文仿宋"/>
          <w:b/>
          <w:bCs/>
          <w:color w:val="auto"/>
          <w:sz w:val="30"/>
          <w:szCs w:val="30"/>
        </w:rPr>
        <w:br w:type="page"/>
      </w:r>
    </w:p>
    <w:p w14:paraId="54F3070E">
      <w:pPr>
        <w:rPr>
          <w:rFonts w:ascii="华文仿宋" w:hAnsi="华文仿宋" w:eastAsia="华文仿宋" w:cs="华文仿宋"/>
          <w:b/>
          <w:bCs/>
          <w:color w:val="auto"/>
          <w:sz w:val="30"/>
          <w:szCs w:val="30"/>
        </w:rPr>
        <w:sectPr>
          <w:footerReference r:id="rId3" w:type="default"/>
          <w:pgSz w:w="16838" w:h="11906" w:orient="landscape"/>
          <w:pgMar w:top="1800" w:right="1440" w:bottom="1800" w:left="1440" w:header="851" w:footer="992" w:gutter="0"/>
          <w:cols w:space="425" w:num="1"/>
          <w:docGrid w:type="lines" w:linePitch="326" w:charSpace="0"/>
        </w:sectPr>
      </w:pPr>
    </w:p>
    <w:p w14:paraId="479F1B89">
      <w:pPr>
        <w:spacing w:after="120"/>
        <w:jc w:val="center"/>
        <w:rPr>
          <w:b/>
          <w:bCs/>
          <w:color w:val="auto"/>
          <w:sz w:val="36"/>
          <w:szCs w:val="36"/>
        </w:rPr>
      </w:pPr>
      <w:r>
        <w:rPr>
          <w:rFonts w:hint="eastAsia"/>
          <w:b/>
          <w:bCs/>
          <w:color w:val="auto"/>
          <w:sz w:val="36"/>
          <w:szCs w:val="36"/>
          <w:lang w:bidi="ar"/>
        </w:rPr>
        <w:t>本项目商务要求</w:t>
      </w:r>
    </w:p>
    <w:tbl>
      <w:tblPr>
        <w:tblStyle w:val="7"/>
        <w:tblW w:w="10402" w:type="dxa"/>
        <w:jc w:val="center"/>
        <w:tblLayout w:type="fixed"/>
        <w:tblCellMar>
          <w:top w:w="0" w:type="dxa"/>
          <w:left w:w="0" w:type="dxa"/>
          <w:bottom w:w="0" w:type="dxa"/>
          <w:right w:w="0" w:type="dxa"/>
        </w:tblCellMar>
      </w:tblPr>
      <w:tblGrid>
        <w:gridCol w:w="851"/>
        <w:gridCol w:w="2492"/>
        <w:gridCol w:w="7059"/>
      </w:tblGrid>
      <w:tr w14:paraId="0DFE059F">
        <w:tblPrEx>
          <w:tblCellMar>
            <w:top w:w="0" w:type="dxa"/>
            <w:left w:w="0" w:type="dxa"/>
            <w:bottom w:w="0" w:type="dxa"/>
            <w:right w:w="0" w:type="dxa"/>
          </w:tblCellMar>
        </w:tblPrEx>
        <w:trPr>
          <w:trHeight w:val="517"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FD16A9">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序号</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275EAB24">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条款</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24EAA489">
            <w:pPr>
              <w:spacing w:line="400" w:lineRule="exact"/>
              <w:ind w:firstLine="480"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要求</w:t>
            </w:r>
          </w:p>
        </w:tc>
      </w:tr>
      <w:tr w14:paraId="138C441E">
        <w:tblPrEx>
          <w:tblCellMar>
            <w:top w:w="0" w:type="dxa"/>
            <w:left w:w="0" w:type="dxa"/>
            <w:bottom w:w="0" w:type="dxa"/>
            <w:right w:w="0" w:type="dxa"/>
          </w:tblCellMar>
        </w:tblPrEx>
        <w:trPr>
          <w:trHeight w:val="516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C74E707">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01FCECE3">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报价及其他要求</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777B1275">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1.</w:t>
            </w:r>
            <w:r>
              <w:rPr>
                <w:rFonts w:hint="eastAsia" w:ascii="宋体" w:hAnsi="宋体" w:eastAsia="宋体" w:cs="宋体"/>
                <w:color w:val="auto"/>
                <w:szCs w:val="24"/>
                <w:highlight w:val="none"/>
              </w:rPr>
              <w:t>要求投标</w:t>
            </w:r>
            <w:r>
              <w:rPr>
                <w:rFonts w:hint="eastAsia" w:ascii="宋体" w:hAnsi="宋体" w:eastAsia="宋体" w:cs="宋体"/>
                <w:color w:val="auto"/>
                <w:szCs w:val="24"/>
                <w:highlight w:val="none"/>
                <w:lang w:val="en-US" w:eastAsia="zh-CN"/>
              </w:rPr>
              <w:t>网络专线租赁服务设备</w:t>
            </w:r>
            <w:r>
              <w:rPr>
                <w:rFonts w:hint="eastAsia" w:ascii="宋体" w:hAnsi="宋体" w:eastAsia="宋体" w:cs="宋体"/>
                <w:color w:val="auto"/>
                <w:szCs w:val="24"/>
                <w:highlight w:val="none"/>
              </w:rPr>
              <w:t>是全新的、合格的、满足本项目技术需求及要求的。所有零部件、配件必须是未经使用的全新的并符合国家有关质量安全标准的产品。</w:t>
            </w:r>
          </w:p>
          <w:p w14:paraId="3B5D1712">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2.本次报价须为人民币报价，</w:t>
            </w:r>
            <w:r>
              <w:rPr>
                <w:rFonts w:hint="eastAsia" w:ascii="宋体" w:hAnsi="宋体" w:eastAsia="宋体" w:cs="宋体"/>
                <w:color w:val="auto"/>
                <w:highlight w:val="none"/>
                <w:lang w:val="en-US" w:eastAsia="zh-CN"/>
              </w:rPr>
              <w:t>包含满足本次竞标全部采购需求所应提供的服务</w:t>
            </w:r>
            <w:r>
              <w:rPr>
                <w:rFonts w:hint="eastAsia" w:ascii="宋体" w:hAnsi="宋体" w:eastAsia="宋体" w:cs="宋体"/>
                <w:color w:val="auto"/>
                <w:szCs w:val="24"/>
                <w:highlight w:val="none"/>
                <w:lang w:bidi="ar"/>
              </w:rPr>
              <w:t>：</w:t>
            </w:r>
            <w:r>
              <w:rPr>
                <w:rFonts w:hint="eastAsia" w:ascii="宋体" w:hAnsi="宋体" w:eastAsia="宋体" w:cs="宋体"/>
                <w:color w:val="auto"/>
                <w:highlight w:val="none"/>
                <w:lang w:val="en-US" w:eastAsia="zh-CN"/>
              </w:rPr>
              <w:t>含竞标服务、完成本项目服务工作所需的人员成本、</w:t>
            </w:r>
            <w:r>
              <w:rPr>
                <w:rFonts w:hint="eastAsia" w:ascii="宋体" w:hAnsi="宋体" w:eastAsia="宋体" w:cs="宋体"/>
                <w:color w:val="auto"/>
                <w:szCs w:val="24"/>
                <w:highlight w:val="none"/>
                <w:lang w:bidi="ar"/>
              </w:rPr>
              <w:t>标准附件、备品备件、专用工具、辅材、专用工具、安装调试</w:t>
            </w:r>
            <w:r>
              <w:rPr>
                <w:rFonts w:hint="eastAsia" w:ascii="宋体" w:hAnsi="宋体" w:eastAsia="宋体" w:cs="宋体"/>
                <w:color w:val="auto"/>
                <w:highlight w:val="none"/>
                <w:lang w:bidi="ar"/>
              </w:rPr>
              <w:t>（包括但不限于各类硬件、系统等的安装、试运行等费用）</w:t>
            </w:r>
            <w:r>
              <w:rPr>
                <w:rFonts w:hint="eastAsia" w:ascii="宋体" w:hAnsi="宋体" w:eastAsia="宋体" w:cs="宋体"/>
                <w:color w:val="auto"/>
                <w:szCs w:val="24"/>
                <w:highlight w:val="none"/>
                <w:lang w:bidi="ar"/>
              </w:rPr>
              <w:t>、包装、运输、装卸、保险费、各类税费、产品检测、检验费、验收费、产品质保期内维护费、技术培训费</w:t>
            </w:r>
            <w:r>
              <w:rPr>
                <w:rFonts w:hint="eastAsia" w:ascii="宋体" w:hAnsi="宋体" w:eastAsia="宋体" w:cs="宋体"/>
                <w:color w:val="auto"/>
                <w:highlight w:val="none"/>
                <w:lang w:bidi="ar"/>
              </w:rPr>
              <w:t>（包括但不限于场地费、教材费用等）</w:t>
            </w:r>
            <w:r>
              <w:rPr>
                <w:rFonts w:hint="eastAsia" w:ascii="宋体" w:hAnsi="宋体" w:eastAsia="宋体" w:cs="宋体"/>
                <w:color w:val="auto"/>
                <w:szCs w:val="24"/>
                <w:highlight w:val="none"/>
                <w:lang w:bidi="ar"/>
              </w:rPr>
              <w:t>、技术资料及其它与本项目有关的未列明的一切费用。对于本文件中未列明，而供应商认为必需的费用也需列入总报价。在合同实施时，采购人将不予支付成交供应商没有列入的项目费用，并认为此项目的费用已包括在响应总报价中。</w:t>
            </w:r>
          </w:p>
        </w:tc>
      </w:tr>
      <w:tr w14:paraId="64346FEB">
        <w:tblPrEx>
          <w:tblCellMar>
            <w:top w:w="0" w:type="dxa"/>
            <w:left w:w="0" w:type="dxa"/>
            <w:bottom w:w="0" w:type="dxa"/>
            <w:right w:w="0" w:type="dxa"/>
          </w:tblCellMar>
        </w:tblPrEx>
        <w:trPr>
          <w:trHeight w:val="657"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476F0A">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4B1CAEB2">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合同签订日期</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71D1EEA2">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成交通知书发出后25个日历日内。</w:t>
            </w:r>
          </w:p>
        </w:tc>
      </w:tr>
      <w:tr w14:paraId="316D7065">
        <w:tblPrEx>
          <w:tblCellMar>
            <w:top w:w="0" w:type="dxa"/>
            <w:left w:w="0" w:type="dxa"/>
            <w:bottom w:w="0" w:type="dxa"/>
            <w:right w:w="0" w:type="dxa"/>
          </w:tblCellMar>
        </w:tblPrEx>
        <w:trPr>
          <w:trHeight w:val="64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8B8717">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3</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37688E4E">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bidi="ar"/>
              </w:rPr>
              <w:t>服务交付</w:t>
            </w:r>
            <w:r>
              <w:rPr>
                <w:rFonts w:hint="eastAsia" w:ascii="宋体" w:hAnsi="宋体" w:eastAsia="宋体" w:cs="宋体"/>
                <w:color w:val="auto"/>
                <w:szCs w:val="24"/>
                <w:highlight w:val="none"/>
                <w:lang w:bidi="ar"/>
              </w:rPr>
              <w:t>时间</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38B8ECF2">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成交供应商接到采购人通知供货后</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个工作日内交付。</w:t>
            </w:r>
          </w:p>
        </w:tc>
      </w:tr>
      <w:tr w14:paraId="066F1D36">
        <w:tblPrEx>
          <w:tblCellMar>
            <w:top w:w="0" w:type="dxa"/>
            <w:left w:w="0" w:type="dxa"/>
            <w:bottom w:w="0" w:type="dxa"/>
            <w:right w:w="0" w:type="dxa"/>
          </w:tblCellMar>
        </w:tblPrEx>
        <w:trPr>
          <w:trHeight w:val="807"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77260C5">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4</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78BA81C6">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服务期限</w:t>
            </w:r>
            <w:r>
              <w:rPr>
                <w:rFonts w:hint="eastAsia" w:ascii="宋体" w:hAnsi="宋体" w:eastAsia="宋体" w:cs="宋体"/>
                <w:color w:val="auto"/>
                <w:szCs w:val="24"/>
                <w:highlight w:val="none"/>
              </w:rPr>
              <w:t>及</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地点</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51D98D74">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服务期限</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3年，自合同签订之日起开始计算</w:t>
            </w:r>
            <w:r>
              <w:rPr>
                <w:rFonts w:hint="eastAsia" w:ascii="宋体" w:hAnsi="宋体" w:eastAsia="宋体" w:cs="宋体"/>
                <w:color w:val="auto"/>
                <w:szCs w:val="24"/>
                <w:highlight w:val="none"/>
              </w:rPr>
              <w:t>。</w:t>
            </w:r>
          </w:p>
          <w:p w14:paraId="2982A327">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地点：广西百色市采购人指定地点。</w:t>
            </w:r>
          </w:p>
        </w:tc>
      </w:tr>
      <w:tr w14:paraId="469EE82F">
        <w:tblPrEx>
          <w:tblCellMar>
            <w:top w:w="0" w:type="dxa"/>
            <w:left w:w="0" w:type="dxa"/>
            <w:bottom w:w="0" w:type="dxa"/>
            <w:right w:w="0" w:type="dxa"/>
          </w:tblCellMar>
        </w:tblPrEx>
        <w:trPr>
          <w:trHeight w:val="107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9B76E98">
            <w:pPr>
              <w:spacing w:line="400" w:lineRule="exact"/>
              <w:jc w:val="center"/>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5</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4BCC5EA9">
            <w:pPr>
              <w:spacing w:line="40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rPr>
              <w:t>设备质保</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4AC9D489">
            <w:pPr>
              <w:spacing w:line="400" w:lineRule="exact"/>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在专线租赁服务期内，提供设备的免费维修、更换服务，若设备出现故障，投标人须在2小时内响应，24小时内完成维修或更换，确保设备正常运行。</w:t>
            </w:r>
          </w:p>
        </w:tc>
      </w:tr>
      <w:tr w14:paraId="1589D564">
        <w:tblPrEx>
          <w:tblCellMar>
            <w:top w:w="0" w:type="dxa"/>
            <w:left w:w="0" w:type="dxa"/>
            <w:bottom w:w="0" w:type="dxa"/>
            <w:right w:w="0" w:type="dxa"/>
          </w:tblCellMar>
        </w:tblPrEx>
        <w:trPr>
          <w:trHeight w:val="167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C2AAC06">
            <w:pPr>
              <w:spacing w:line="40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6</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19F69EF5">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验收标准</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7EBE0C23">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1.验收要求：</w:t>
            </w:r>
          </w:p>
          <w:p w14:paraId="16F41A5C">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（1）要求履约过程中所有服务行为、成果文件等均不涉及任何法律纠纷。</w:t>
            </w:r>
          </w:p>
          <w:p w14:paraId="06D5D86C">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2）验收时由采购人对照采购需求的技术指标全面核对检验，如不符合采购需求的技术需求或提供虚假承诺的，采购人有权拒绝验收，成交供应商承担所有责任和费用，采购人有权解除合同并保留进一步追究责任的权利。</w:t>
            </w:r>
          </w:p>
          <w:p w14:paraId="765E2F23">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（3）本项目须严格执行国家、行业、地方相关验收标准及规范及采购需求和合同要求。</w:t>
            </w:r>
          </w:p>
          <w:p w14:paraId="03C0B33C">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2.验收标准：</w:t>
            </w:r>
          </w:p>
          <w:p w14:paraId="030E506D">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val="en-US" w:eastAsia="zh-CN" w:bidi="ar"/>
              </w:rPr>
              <w:t>1</w:t>
            </w: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bidi="ar"/>
              </w:rPr>
              <w:t>须满足现行国家、行业及地方标准、规范。如具体采购需求与标准、规范不一致的，高于标准、规范的，按具体采购需求执行，低于标准、规范的，按标准、规范执行。</w:t>
            </w:r>
          </w:p>
          <w:p w14:paraId="7709DF55">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val="en-US" w:eastAsia="zh-CN" w:bidi="ar"/>
              </w:rPr>
              <w:t>2</w:t>
            </w: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bidi="ar"/>
              </w:rPr>
              <w:t>未尽事宜，按《关于印发广西壮族自治区政府采购项目履约验收管理办法的通知》（桂财采〔2015〕22号）执行。</w:t>
            </w:r>
          </w:p>
        </w:tc>
      </w:tr>
      <w:tr w14:paraId="61EA8183">
        <w:tblPrEx>
          <w:tblCellMar>
            <w:top w:w="0" w:type="dxa"/>
            <w:left w:w="0" w:type="dxa"/>
            <w:bottom w:w="0" w:type="dxa"/>
            <w:right w:w="0" w:type="dxa"/>
          </w:tblCellMar>
        </w:tblPrEx>
        <w:trPr>
          <w:trHeight w:val="7456"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10D010F">
            <w:pPr>
              <w:spacing w:line="40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7</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1A635099">
            <w:pPr>
              <w:spacing w:line="4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lang w:bidi="ar"/>
              </w:rPr>
              <w:t>售后服务要求</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5C770613">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1）在租用期限内，成交供应商应严格遵守《中华人民共和国电信条例》，维护双方权益，应按信息产业部颁布的&lt;电信服务标准&gt;的电路质量要求，保证招标人租用线路畅通及安全使用。</w:t>
            </w:r>
          </w:p>
          <w:p w14:paraId="692EA3CD">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2）供应商在电路租用期间应提供免费传输知识培训，指导采购人技术人员做好日常维护。</w:t>
            </w:r>
          </w:p>
          <w:p w14:paraId="79A869E4">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3）提供售后服务承诺书，提供售后服务机构及联系人名单，列明详细地址及联系方式。</w:t>
            </w:r>
          </w:p>
          <w:p w14:paraId="683FE33C">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4）提供7×24小时热线电话服务,并提供多个故障申告途径及绿色通道，做到全方位响应，并指定专人负责上门受理调试日常维护及平时协助甲方维护检测等工作；提供365×24小时的售后服务响应。</w:t>
            </w:r>
          </w:p>
          <w:p w14:paraId="4C6E8292">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5）保证网络的畅通，负责运营商到用户单位主干光缆所有设备的免费运行维护，如光端机、转换器等设备，如果主干网络出现问题，必须在接到报告后4小时内响应，8个小时内到达现场排除故障，直到网络恢复正常。如设备故障在8小时内无法解决的应免费提供备件，确保网络正常运行,问题解决时间要求不超过24个小时。</w:t>
            </w:r>
          </w:p>
          <w:p w14:paraId="6BB04E9F">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6）每个季度对网络进行一次巡检，检查网络设备和主干光缆的运行情况，提交巡检报告。</w:t>
            </w:r>
          </w:p>
          <w:p w14:paraId="41E180BF">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7）当用户网络需要扩展或升级时，负责免费提供相应解决方案等技术支持；因成交人施工、网络割接等原因影响网络运行的，应当提前一天通知用户，并提供相应的技术解决方案，尽快消除故障、恢复通信线路。</w:t>
            </w:r>
          </w:p>
        </w:tc>
      </w:tr>
      <w:tr w14:paraId="7EFC0AFA">
        <w:tblPrEx>
          <w:tblCellMar>
            <w:top w:w="0" w:type="dxa"/>
            <w:left w:w="0" w:type="dxa"/>
            <w:bottom w:w="0" w:type="dxa"/>
            <w:right w:w="0" w:type="dxa"/>
          </w:tblCellMar>
        </w:tblPrEx>
        <w:trPr>
          <w:trHeight w:val="1407"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02FB250">
            <w:pPr>
              <w:spacing w:line="40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8</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4503A09C">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知识产权</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260432D9">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14:paraId="70264C60">
        <w:tblPrEx>
          <w:tblCellMar>
            <w:top w:w="0" w:type="dxa"/>
            <w:left w:w="0" w:type="dxa"/>
            <w:bottom w:w="0" w:type="dxa"/>
            <w:right w:w="0" w:type="dxa"/>
          </w:tblCellMar>
        </w:tblPrEx>
        <w:trPr>
          <w:trHeight w:val="517"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0AC9B20">
            <w:pPr>
              <w:spacing w:line="40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9</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61F438F7">
            <w:pPr>
              <w:spacing w:line="4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lang w:bidi="ar"/>
              </w:rPr>
              <w:t>付款方式、时间及条件</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49EBC4F9">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1．</w:t>
            </w:r>
            <w:r>
              <w:rPr>
                <w:rFonts w:hint="eastAsia" w:ascii="宋体" w:hAnsi="宋体" w:eastAsia="宋体" w:cs="宋体"/>
                <w:color w:val="auto"/>
                <w:szCs w:val="24"/>
                <w:highlight w:val="none"/>
                <w:lang w:val="en-US" w:eastAsia="zh-CN" w:bidi="ar"/>
              </w:rPr>
              <w:t>成交供应商每期提供服务完毕经采购人验收合格无异议后</w:t>
            </w:r>
            <w:r>
              <w:rPr>
                <w:rFonts w:hint="eastAsia" w:ascii="宋体" w:hAnsi="宋体" w:eastAsia="宋体" w:cs="宋体"/>
                <w:color w:val="auto"/>
                <w:szCs w:val="24"/>
                <w:highlight w:val="none"/>
                <w:lang w:bidi="ar"/>
              </w:rPr>
              <w:t>，采购人签署项目验收书；</w:t>
            </w:r>
          </w:p>
          <w:p w14:paraId="55AC6BB9">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2．</w:t>
            </w:r>
            <w:r>
              <w:rPr>
                <w:rFonts w:hint="eastAsia" w:ascii="宋体" w:hAnsi="宋体" w:eastAsia="宋体" w:cs="宋体"/>
                <w:color w:val="auto"/>
                <w:szCs w:val="24"/>
                <w:highlight w:val="none"/>
                <w:lang w:val="en-US" w:eastAsia="zh-CN" w:bidi="ar"/>
              </w:rPr>
              <w:t>成交</w:t>
            </w:r>
            <w:r>
              <w:rPr>
                <w:rFonts w:hint="eastAsia" w:ascii="宋体" w:hAnsi="宋体" w:eastAsia="宋体" w:cs="宋体"/>
                <w:color w:val="auto"/>
                <w:szCs w:val="24"/>
                <w:highlight w:val="none"/>
                <w:lang w:bidi="ar"/>
              </w:rPr>
              <w:t>供应商向采购人开具</w:t>
            </w:r>
            <w:r>
              <w:rPr>
                <w:rFonts w:hint="eastAsia" w:ascii="宋体" w:hAnsi="宋体" w:eastAsia="宋体" w:cs="宋体"/>
                <w:color w:val="auto"/>
                <w:szCs w:val="24"/>
                <w:highlight w:val="none"/>
                <w:lang w:val="en-US" w:eastAsia="zh-CN" w:bidi="ar"/>
              </w:rPr>
              <w:t>每期</w:t>
            </w:r>
            <w:r>
              <w:rPr>
                <w:rFonts w:hint="eastAsia" w:ascii="宋体" w:hAnsi="宋体" w:eastAsia="宋体" w:cs="宋体"/>
                <w:color w:val="auto"/>
                <w:szCs w:val="24"/>
                <w:highlight w:val="none"/>
                <w:lang w:bidi="ar"/>
              </w:rPr>
              <w:t>服务费用的合法增值税专用发票和验收书向采购人提出付款申请；</w:t>
            </w:r>
          </w:p>
          <w:p w14:paraId="502B83F3">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3．票据要求：成交供应商必须按照采购人要求提供真实、有效、合法的增值税专用发票。一旦发现成交供应商提供虚假发票，除须向采购人补开合法发票外，须赔偿采购人发票票面金额三倍的违约金，且采购人有权终止合同，成交供应商不得提出异议，因终止合同而产生的一切损失均由成交供应商承担；</w:t>
            </w:r>
          </w:p>
          <w:p w14:paraId="597CE925">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4．付款方式：服务费用按三年分期支付，每年支付一次，每期费用为合同总金额的1/3。签订合同后乙方向甲方开具12个月服务费用的合法增值税专用发票，甲方收到发票后30日进行支付。</w:t>
            </w:r>
          </w:p>
          <w:p w14:paraId="75A9B962">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5．本合同使用货币币制如未作特别说明均为人民币。</w:t>
            </w:r>
          </w:p>
        </w:tc>
      </w:tr>
      <w:tr w14:paraId="71F7F61B">
        <w:tblPrEx>
          <w:tblCellMar>
            <w:top w:w="0" w:type="dxa"/>
            <w:left w:w="0" w:type="dxa"/>
            <w:bottom w:w="0" w:type="dxa"/>
            <w:right w:w="0" w:type="dxa"/>
          </w:tblCellMar>
        </w:tblPrEx>
        <w:trPr>
          <w:trHeight w:val="517"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A03CFC">
            <w:pPr>
              <w:spacing w:line="40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bidi="ar"/>
              </w:rPr>
              <w:t>10</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33A4ED47">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履约保证金</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479B1D75">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1</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履约保证金金额：</w:t>
            </w:r>
            <w:r>
              <w:rPr>
                <w:rFonts w:hint="eastAsia" w:ascii="宋体" w:hAnsi="宋体" w:eastAsia="宋体" w:cs="宋体"/>
                <w:b w:val="0"/>
                <w:bCs w:val="0"/>
                <w:color w:val="auto"/>
                <w:szCs w:val="24"/>
                <w:highlight w:val="none"/>
                <w:u w:val="single"/>
                <w:lang w:bidi="ar"/>
              </w:rPr>
              <w:t>按成交总金额的 5 %。</w:t>
            </w:r>
            <w:r>
              <w:rPr>
                <w:rFonts w:hint="eastAsia" w:ascii="宋体" w:hAnsi="宋体" w:eastAsia="宋体" w:cs="宋体"/>
                <w:b w:val="0"/>
                <w:bCs w:val="0"/>
                <w:color w:val="auto"/>
                <w:szCs w:val="24"/>
                <w:highlight w:val="none"/>
                <w:lang w:bidi="ar"/>
              </w:rPr>
              <w:t>（对中小企业收取的履约保证金数额为成交总金额的2%）</w:t>
            </w:r>
          </w:p>
          <w:p w14:paraId="01E255B1">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2</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履约保证金提交方式：以银行转账、支票、汇票、本票或者金融机构、担保机构出具的保函等非现金形式缴纳或提交，以转账方式提交履约保证金的，由成交供应商在签订合同前按规定的金额直接缴入右江民族医学院账户，账户名称: 右江民族医学院；开户行：建设银行百色分行营业部；银行账号：45001676101050702467。否则，不予办理签订合同。履约保证金提交时必须备注项目名称、项目编号（合同编号）。如：XXXXX项目履约保证金，项目编号/合同编号XXXXX-XXXXXX。</w:t>
            </w:r>
          </w:p>
          <w:p w14:paraId="4595CBC2">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3</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签订合同后，如成交供应商出现不按双方签订的合同规定履约，则其全部履约保证金不予退还，履约保证金不足以赔偿损失的，按实际损失赔偿。</w:t>
            </w:r>
          </w:p>
          <w:p w14:paraId="28B6E584">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4</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成交供应商按合同约定履约且无违约行为，在服务期满后，向采购人提交合格的合同验收书，填写履约保证金退付意见等材料并经采购人确认后，采购人在5个工作日内无息退还履约保证金。</w:t>
            </w:r>
          </w:p>
          <w:p w14:paraId="435F02F7">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5</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在履约保证金退还日期前，若成交供应商的开户名称、开户银行、账号有变动的，请以书面形式通知采购人，否则由此产生的后果由成交供应商自负。</w:t>
            </w:r>
          </w:p>
          <w:p w14:paraId="2C275C1E">
            <w:pPr>
              <w:spacing w:line="400" w:lineRule="exact"/>
              <w:ind w:firstLine="480" w:firstLineChars="200"/>
              <w:rPr>
                <w:rFonts w:hint="eastAsia" w:ascii="宋体" w:hAnsi="宋体" w:eastAsia="宋体" w:cs="宋体"/>
                <w:color w:val="auto"/>
                <w:szCs w:val="24"/>
                <w:highlight w:val="none"/>
                <w:lang w:bidi="ar"/>
              </w:rPr>
            </w:pPr>
          </w:p>
        </w:tc>
      </w:tr>
      <w:tr w14:paraId="4D09A8C3">
        <w:tblPrEx>
          <w:tblCellMar>
            <w:top w:w="0" w:type="dxa"/>
            <w:left w:w="0" w:type="dxa"/>
            <w:bottom w:w="0" w:type="dxa"/>
            <w:right w:w="0" w:type="dxa"/>
          </w:tblCellMar>
        </w:tblPrEx>
        <w:trPr>
          <w:trHeight w:val="158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5DE4B7">
            <w:pPr>
              <w:spacing w:line="40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bidi="ar"/>
              </w:rPr>
              <w:t>11</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18E8C022">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文件上传要求</w:t>
            </w:r>
          </w:p>
        </w:tc>
        <w:tc>
          <w:tcPr>
            <w:tcW w:w="7059" w:type="dxa"/>
            <w:tcBorders>
              <w:top w:val="single" w:color="auto" w:sz="4" w:space="0"/>
              <w:left w:val="single" w:color="auto" w:sz="4" w:space="0"/>
              <w:bottom w:val="single" w:color="auto" w:sz="4" w:space="0"/>
              <w:right w:val="single" w:color="auto" w:sz="4" w:space="0"/>
            </w:tcBorders>
            <w:shd w:val="clear" w:color="auto" w:fill="auto"/>
            <w:vAlign w:val="center"/>
          </w:tcPr>
          <w:p w14:paraId="4AB5D45D">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供应商</w:t>
            </w:r>
            <w:r>
              <w:rPr>
                <w:rFonts w:hint="eastAsia" w:ascii="宋体" w:hAnsi="宋体" w:eastAsia="宋体" w:cs="宋体"/>
                <w:b/>
                <w:bCs/>
                <w:color w:val="FF0000"/>
                <w:szCs w:val="24"/>
                <w:highlight w:val="none"/>
                <w:lang w:eastAsia="zh-CN" w:bidi="ar"/>
              </w:rPr>
              <w:t>必须</w:t>
            </w:r>
            <w:r>
              <w:rPr>
                <w:rFonts w:hint="eastAsia" w:ascii="宋体" w:hAnsi="宋体" w:eastAsia="宋体" w:cs="宋体"/>
                <w:b/>
                <w:bCs/>
                <w:color w:val="FF0000"/>
                <w:szCs w:val="24"/>
                <w:highlight w:val="none"/>
                <w:lang w:bidi="ar"/>
              </w:rPr>
              <w:t>上传以下材料</w:t>
            </w:r>
            <w:r>
              <w:rPr>
                <w:rFonts w:hint="eastAsia" w:ascii="宋体" w:hAnsi="宋体" w:eastAsia="宋体" w:cs="宋体"/>
                <w:b/>
                <w:bCs/>
                <w:color w:val="FF0000"/>
                <w:szCs w:val="24"/>
                <w:highlight w:val="none"/>
                <w:lang w:eastAsia="zh-CN" w:bidi="ar"/>
              </w:rPr>
              <w:t>，所提供材料必须加盖</w:t>
            </w:r>
            <w:r>
              <w:rPr>
                <w:rFonts w:hint="eastAsia" w:ascii="宋体" w:hAnsi="宋体" w:eastAsia="宋体" w:cs="宋体"/>
                <w:b/>
                <w:bCs/>
                <w:color w:val="FF0000"/>
                <w:szCs w:val="24"/>
                <w:highlight w:val="none"/>
                <w:lang w:bidi="ar"/>
              </w:rPr>
              <w:t>供应商公章</w:t>
            </w:r>
            <w:r>
              <w:rPr>
                <w:rFonts w:hint="eastAsia" w:ascii="宋体" w:hAnsi="宋体" w:eastAsia="宋体" w:cs="宋体"/>
                <w:b/>
                <w:bCs/>
                <w:color w:val="FF0000"/>
                <w:szCs w:val="24"/>
                <w:highlight w:val="none"/>
                <w:lang w:eastAsia="zh-CN" w:bidi="ar"/>
              </w:rPr>
              <w:t>，未按要求提供的按无效响应处理：</w:t>
            </w:r>
          </w:p>
          <w:p w14:paraId="13817D6B">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（1）项目报价表</w:t>
            </w:r>
            <w:r>
              <w:rPr>
                <w:rFonts w:hint="eastAsia" w:ascii="宋体" w:hAnsi="宋体" w:eastAsia="宋体" w:cs="宋体"/>
                <w:b/>
                <w:bCs/>
                <w:color w:val="FF0000"/>
                <w:szCs w:val="24"/>
                <w:highlight w:val="none"/>
                <w:lang w:eastAsia="zh-CN" w:bidi="ar"/>
              </w:rPr>
              <w:t>，表中响应</w:t>
            </w:r>
            <w:r>
              <w:rPr>
                <w:rFonts w:hint="eastAsia" w:cs="宋体"/>
                <w:b/>
                <w:bCs/>
                <w:color w:val="FF0000"/>
                <w:szCs w:val="24"/>
                <w:highlight w:val="none"/>
                <w:lang w:val="en-US" w:eastAsia="zh-CN" w:bidi="ar"/>
              </w:rPr>
              <w:t>服务</w:t>
            </w:r>
            <w:r>
              <w:rPr>
                <w:rFonts w:hint="eastAsia" w:ascii="宋体" w:hAnsi="宋体" w:eastAsia="宋体" w:cs="宋体"/>
                <w:b/>
                <w:bCs/>
                <w:color w:val="FF0000"/>
                <w:szCs w:val="24"/>
                <w:highlight w:val="none"/>
                <w:lang w:eastAsia="zh-CN" w:bidi="ar"/>
              </w:rPr>
              <w:t>技术参数必须如实填写完整；</w:t>
            </w:r>
          </w:p>
          <w:p w14:paraId="436CFA1D">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（2）商务要求响应表</w:t>
            </w:r>
            <w:r>
              <w:rPr>
                <w:rFonts w:hint="eastAsia" w:ascii="宋体" w:hAnsi="宋体" w:eastAsia="宋体" w:cs="宋体"/>
                <w:b/>
                <w:bCs/>
                <w:color w:val="FF0000"/>
                <w:szCs w:val="24"/>
                <w:highlight w:val="none"/>
                <w:lang w:eastAsia="zh-CN" w:bidi="ar"/>
              </w:rPr>
              <w:t>；</w:t>
            </w:r>
          </w:p>
          <w:p w14:paraId="7727697B">
            <w:pPr>
              <w:spacing w:line="400" w:lineRule="exact"/>
              <w:ind w:firstLine="482" w:firstLineChars="200"/>
              <w:rPr>
                <w:rFonts w:hint="eastAsia" w:ascii="宋体" w:hAnsi="宋体" w:eastAsia="宋体" w:cs="宋体"/>
                <w:b/>
                <w:bCs/>
                <w:color w:val="FF0000"/>
                <w:szCs w:val="24"/>
                <w:highlight w:val="none"/>
                <w:lang w:bidi="ar"/>
              </w:rPr>
            </w:pPr>
            <w:r>
              <w:rPr>
                <w:rFonts w:hint="eastAsia" w:ascii="宋体" w:hAnsi="宋体" w:eastAsia="宋体" w:cs="宋体"/>
                <w:b/>
                <w:bCs/>
                <w:color w:val="FF0000"/>
                <w:szCs w:val="24"/>
                <w:highlight w:val="none"/>
                <w:lang w:bidi="ar"/>
              </w:rPr>
              <w:t>（3）营业执照复印件；</w:t>
            </w:r>
          </w:p>
          <w:p w14:paraId="56062B7F">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w:t>
            </w:r>
            <w:r>
              <w:rPr>
                <w:rFonts w:hint="eastAsia" w:ascii="宋体" w:hAnsi="宋体" w:eastAsia="宋体" w:cs="宋体"/>
                <w:b/>
                <w:bCs/>
                <w:color w:val="FF0000"/>
                <w:szCs w:val="24"/>
                <w:highlight w:val="none"/>
                <w:lang w:val="en-US" w:eastAsia="zh-CN" w:bidi="ar"/>
              </w:rPr>
              <w:t>4</w:t>
            </w:r>
            <w:r>
              <w:rPr>
                <w:rFonts w:hint="eastAsia" w:ascii="宋体" w:hAnsi="宋体" w:eastAsia="宋体" w:cs="宋体"/>
                <w:b/>
                <w:bCs/>
                <w:color w:val="FF0000"/>
                <w:szCs w:val="24"/>
                <w:highlight w:val="none"/>
                <w:lang w:bidi="ar"/>
              </w:rPr>
              <w:t>）法定代表人身份证复印件</w:t>
            </w:r>
            <w:r>
              <w:rPr>
                <w:rFonts w:hint="eastAsia" w:ascii="宋体" w:hAnsi="宋体" w:eastAsia="宋体" w:cs="宋体"/>
                <w:b/>
                <w:bCs/>
                <w:color w:val="FF0000"/>
                <w:szCs w:val="24"/>
                <w:highlight w:val="none"/>
                <w:lang w:eastAsia="zh-CN" w:bidi="ar"/>
              </w:rPr>
              <w:t>；</w:t>
            </w:r>
          </w:p>
          <w:p w14:paraId="6609322C">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5</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bidi="ar"/>
              </w:rPr>
              <w:t>供应商</w:t>
            </w:r>
            <w:r>
              <w:rPr>
                <w:rFonts w:hint="eastAsia" w:ascii="宋体" w:hAnsi="宋体" w:eastAsia="宋体" w:cs="宋体"/>
                <w:b/>
                <w:bCs/>
                <w:color w:val="FF0000"/>
                <w:szCs w:val="24"/>
                <w:highlight w:val="none"/>
                <w:lang w:eastAsia="zh-CN" w:bidi="ar"/>
              </w:rPr>
              <w:t>授权</w:t>
            </w:r>
            <w:r>
              <w:rPr>
                <w:rFonts w:hint="eastAsia" w:ascii="宋体" w:hAnsi="宋体" w:eastAsia="宋体" w:cs="宋体"/>
                <w:b/>
                <w:bCs/>
                <w:color w:val="FF0000"/>
                <w:szCs w:val="24"/>
                <w:highlight w:val="none"/>
                <w:lang w:bidi="ar"/>
              </w:rPr>
              <w:t>代表参加</w:t>
            </w:r>
            <w:r>
              <w:rPr>
                <w:rFonts w:hint="eastAsia" w:ascii="宋体" w:hAnsi="宋体" w:eastAsia="宋体" w:cs="宋体"/>
                <w:b/>
                <w:bCs/>
                <w:color w:val="FF0000"/>
                <w:szCs w:val="24"/>
                <w:highlight w:val="none"/>
                <w:lang w:eastAsia="zh-CN" w:bidi="ar"/>
              </w:rPr>
              <w:t>的</w:t>
            </w:r>
            <w:r>
              <w:rPr>
                <w:rFonts w:hint="eastAsia" w:ascii="宋体" w:hAnsi="宋体" w:eastAsia="宋体" w:cs="宋体"/>
                <w:b/>
                <w:bCs/>
                <w:color w:val="FF0000"/>
                <w:szCs w:val="24"/>
                <w:highlight w:val="none"/>
                <w:lang w:bidi="ar"/>
              </w:rPr>
              <w:t>，</w:t>
            </w:r>
            <w:r>
              <w:rPr>
                <w:rFonts w:hint="eastAsia" w:ascii="宋体" w:hAnsi="宋体" w:eastAsia="宋体" w:cs="宋体"/>
                <w:b/>
                <w:bCs/>
                <w:color w:val="FF0000"/>
                <w:szCs w:val="24"/>
                <w:highlight w:val="none"/>
                <w:lang w:eastAsia="zh-CN" w:bidi="ar"/>
              </w:rPr>
              <w:t>须同时提供</w:t>
            </w:r>
            <w:r>
              <w:rPr>
                <w:rFonts w:hint="eastAsia" w:ascii="宋体" w:hAnsi="宋体" w:eastAsia="宋体" w:cs="宋体"/>
                <w:b/>
                <w:bCs/>
                <w:color w:val="FF0000"/>
                <w:szCs w:val="24"/>
                <w:highlight w:val="none"/>
                <w:lang w:bidi="ar"/>
              </w:rPr>
              <w:t>授权委托书</w:t>
            </w:r>
            <w:r>
              <w:rPr>
                <w:rFonts w:hint="eastAsia" w:ascii="宋体" w:hAnsi="宋体" w:eastAsia="宋体" w:cs="宋体"/>
                <w:b/>
                <w:bCs/>
                <w:color w:val="FF0000"/>
                <w:szCs w:val="24"/>
                <w:highlight w:val="none"/>
                <w:lang w:eastAsia="zh-CN" w:bidi="ar"/>
              </w:rPr>
              <w:t>和被授权人的</w:t>
            </w:r>
            <w:r>
              <w:rPr>
                <w:rFonts w:hint="eastAsia" w:ascii="宋体" w:hAnsi="宋体" w:eastAsia="宋体" w:cs="宋体"/>
                <w:b/>
                <w:bCs/>
                <w:color w:val="FF0000"/>
                <w:szCs w:val="24"/>
                <w:highlight w:val="none"/>
                <w:lang w:bidi="ar"/>
              </w:rPr>
              <w:t>身份证复印件</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法人报价时不需要提供授权书</w:t>
            </w:r>
            <w:r>
              <w:rPr>
                <w:rFonts w:hint="eastAsia" w:ascii="宋体" w:hAnsi="宋体" w:eastAsia="宋体" w:cs="宋体"/>
                <w:b/>
                <w:bCs/>
                <w:color w:val="FF0000"/>
                <w:szCs w:val="24"/>
                <w:highlight w:val="none"/>
                <w:lang w:eastAsia="zh-CN" w:bidi="ar"/>
              </w:rPr>
              <w:t>）。</w:t>
            </w:r>
          </w:p>
          <w:p w14:paraId="338013EA">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6</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按要求</w:t>
            </w:r>
            <w:r>
              <w:rPr>
                <w:rFonts w:hint="eastAsia" w:ascii="宋体" w:hAnsi="宋体" w:eastAsia="宋体" w:cs="宋体"/>
                <w:b/>
                <w:bCs/>
                <w:color w:val="FF0000"/>
                <w:szCs w:val="24"/>
                <w:highlight w:val="none"/>
                <w:lang w:eastAsia="zh-CN" w:bidi="ar"/>
              </w:rPr>
              <w:t>提供</w:t>
            </w:r>
            <w:r>
              <w:rPr>
                <w:rFonts w:hint="eastAsia" w:ascii="宋体" w:hAnsi="宋体" w:eastAsia="宋体" w:cs="宋体"/>
                <w:b/>
                <w:bCs/>
                <w:color w:val="FF0000"/>
                <w:szCs w:val="24"/>
                <w:highlight w:val="none"/>
                <w:lang w:val="en-US" w:eastAsia="zh-CN" w:bidi="ar"/>
              </w:rPr>
              <w:t>相应条款</w:t>
            </w:r>
            <w:r>
              <w:rPr>
                <w:rFonts w:hint="eastAsia" w:ascii="宋体" w:hAnsi="宋体" w:eastAsia="宋体" w:cs="宋体"/>
                <w:b/>
                <w:bCs/>
                <w:color w:val="FF0000"/>
                <w:szCs w:val="24"/>
                <w:highlight w:val="none"/>
                <w:lang w:eastAsia="zh-CN" w:bidi="ar"/>
              </w:rPr>
              <w:t>产品界面截图并加盖投标人公章。</w:t>
            </w:r>
          </w:p>
          <w:p w14:paraId="0D010F8B">
            <w:pPr>
              <w:spacing w:line="400" w:lineRule="exact"/>
              <w:ind w:firstLine="482" w:firstLineChars="200"/>
              <w:rPr>
                <w:rFonts w:hint="eastAsia" w:ascii="宋体" w:hAnsi="宋体" w:eastAsia="宋体" w:cs="宋体"/>
                <w:b/>
                <w:bCs/>
                <w:color w:val="FF0000"/>
                <w:szCs w:val="24"/>
                <w:highlight w:val="none"/>
                <w:lang w:val="en-US" w:eastAsia="zh-CN" w:bidi="ar"/>
              </w:rPr>
            </w:pPr>
            <w:r>
              <w:rPr>
                <w:rFonts w:hint="eastAsia" w:ascii="宋体" w:hAnsi="宋体" w:eastAsia="宋体" w:cs="宋体"/>
                <w:b/>
                <w:bCs/>
                <w:color w:val="FF0000"/>
                <w:szCs w:val="24"/>
                <w:highlight w:val="none"/>
                <w:lang w:val="en-US" w:eastAsia="zh-CN" w:bidi="ar"/>
              </w:rPr>
              <w:t>注：</w:t>
            </w:r>
          </w:p>
          <w:p w14:paraId="1931057A">
            <w:pPr>
              <w:spacing w:line="400" w:lineRule="exact"/>
              <w:ind w:firstLine="482" w:firstLineChars="200"/>
              <w:rPr>
                <w:rFonts w:hint="eastAsia" w:ascii="宋体" w:hAnsi="宋体" w:eastAsia="宋体" w:cs="宋体"/>
                <w:b/>
                <w:bCs/>
                <w:color w:val="FF0000"/>
                <w:szCs w:val="24"/>
                <w:highlight w:val="none"/>
                <w:lang w:val="en-US" w:eastAsia="zh-CN" w:bidi="ar"/>
              </w:rPr>
            </w:pPr>
            <w:r>
              <w:rPr>
                <w:rFonts w:hint="eastAsia" w:ascii="宋体" w:hAnsi="宋体" w:eastAsia="宋体" w:cs="宋体"/>
                <w:b/>
                <w:bCs/>
                <w:color w:val="FF0000"/>
                <w:szCs w:val="24"/>
                <w:highlight w:val="none"/>
                <w:lang w:val="en-US" w:eastAsia="zh-CN" w:bidi="ar"/>
              </w:rPr>
              <w:t>【（1）（2）（6）】材料缺漏或负偏离按</w:t>
            </w:r>
            <w:r>
              <w:rPr>
                <w:rFonts w:hint="eastAsia" w:ascii="宋体" w:hAnsi="宋体" w:eastAsia="宋体" w:cs="宋体"/>
                <w:b/>
                <w:bCs/>
                <w:i w:val="0"/>
                <w:iCs w:val="0"/>
                <w:caps w:val="0"/>
                <w:color w:val="FF0000"/>
                <w:spacing w:val="0"/>
                <w:sz w:val="24"/>
                <w:szCs w:val="24"/>
                <w:highlight w:val="none"/>
                <w:shd w:val="clear"/>
                <w:lang w:bidi="ar"/>
              </w:rPr>
              <w:t>技术参数及商务要求审查</w:t>
            </w:r>
            <w:r>
              <w:rPr>
                <w:rFonts w:hint="eastAsia" w:ascii="宋体" w:hAnsi="宋体" w:eastAsia="宋体" w:cs="宋体"/>
                <w:b/>
                <w:bCs/>
                <w:i w:val="0"/>
                <w:iCs w:val="0"/>
                <w:caps w:val="0"/>
                <w:color w:val="FF0000"/>
                <w:spacing w:val="0"/>
                <w:sz w:val="24"/>
                <w:szCs w:val="24"/>
                <w:highlight w:val="none"/>
                <w:shd w:val="clear"/>
                <w:lang w:val="en-US" w:eastAsia="zh-CN" w:bidi="ar"/>
              </w:rPr>
              <w:t>不通过处理；</w:t>
            </w:r>
          </w:p>
          <w:p w14:paraId="4121D583">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3</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（4）（5）】材料缺漏按资格性审查不通过处理</w:t>
            </w:r>
            <w:r>
              <w:rPr>
                <w:rFonts w:hint="eastAsia" w:ascii="宋体" w:hAnsi="宋体" w:eastAsia="宋体" w:cs="宋体"/>
                <w:b/>
                <w:bCs/>
                <w:color w:val="FF0000"/>
                <w:szCs w:val="24"/>
                <w:highlight w:val="none"/>
                <w:lang w:eastAsia="zh-CN" w:bidi="ar"/>
              </w:rPr>
              <w:t>）。</w:t>
            </w:r>
          </w:p>
        </w:tc>
      </w:tr>
    </w:tbl>
    <w:p w14:paraId="248B618C">
      <w:pPr>
        <w:rPr>
          <w:rFonts w:ascii="华文仿宋" w:hAnsi="华文仿宋" w:eastAsia="华文仿宋" w:cs="华文仿宋"/>
          <w:b/>
          <w:bCs/>
          <w:color w:val="auto"/>
          <w:sz w:val="30"/>
          <w:szCs w:val="30"/>
        </w:rPr>
        <w:sectPr>
          <w:pgSz w:w="12240" w:h="15840" w:orient="landscape"/>
          <w:pgMar w:top="1440" w:right="1800" w:bottom="1440" w:left="1800" w:header="720" w:footer="720" w:gutter="0"/>
          <w:cols w:space="0" w:num="1"/>
          <w:docGrid w:type="lines" w:linePitch="332" w:charSpace="0"/>
        </w:sectPr>
      </w:pPr>
      <w:r>
        <w:rPr>
          <w:rFonts w:ascii="华文仿宋" w:hAnsi="华文仿宋" w:eastAsia="华文仿宋" w:cs="华文仿宋"/>
          <w:b/>
          <w:bCs/>
          <w:color w:val="auto"/>
          <w:sz w:val="30"/>
          <w:szCs w:val="30"/>
        </w:rPr>
        <w:br w:type="page"/>
      </w:r>
    </w:p>
    <w:p w14:paraId="5DC360D6">
      <w:pPr>
        <w:widowControl w:val="0"/>
        <w:spacing w:line="400" w:lineRule="exact"/>
        <w:ind w:right="1120"/>
        <w:jc w:val="center"/>
        <w:rPr>
          <w:rFonts w:hint="eastAsia" w:ascii="宋体" w:hAnsi="宋体" w:eastAsia="宋体" w:cs="宋体"/>
          <w:b/>
          <w:bCs/>
          <w:color w:val="auto"/>
          <w:sz w:val="36"/>
          <w:szCs w:val="36"/>
        </w:rPr>
      </w:pPr>
      <w:r>
        <w:rPr>
          <w:rFonts w:hint="eastAsia" w:ascii="宋体" w:hAnsi="宋体" w:eastAsia="宋体" w:cs="宋体"/>
          <w:b/>
          <w:bCs/>
          <w:color w:val="auto"/>
          <w:kern w:val="2"/>
          <w:sz w:val="36"/>
          <w:szCs w:val="36"/>
          <w:lang w:bidi="ar"/>
        </w:rPr>
        <w:t>项目报价表</w:t>
      </w:r>
    </w:p>
    <w:p w14:paraId="0284F8B7">
      <w:pPr>
        <w:pStyle w:val="15"/>
        <w:widowControl/>
        <w:rPr>
          <w:color w:val="auto"/>
          <w:sz w:val="28"/>
          <w:szCs w:val="28"/>
        </w:rPr>
      </w:pPr>
    </w:p>
    <w:tbl>
      <w:tblPr>
        <w:tblStyle w:val="7"/>
        <w:tblW w:w="1461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30" w:type="dxa"/>
          <w:left w:w="30" w:type="dxa"/>
          <w:bottom w:w="30" w:type="dxa"/>
          <w:right w:w="30" w:type="dxa"/>
        </w:tblCellMar>
      </w:tblPr>
      <w:tblGrid>
        <w:gridCol w:w="702"/>
        <w:gridCol w:w="882"/>
        <w:gridCol w:w="4490"/>
        <w:gridCol w:w="4490"/>
        <w:gridCol w:w="791"/>
        <w:gridCol w:w="850"/>
        <w:gridCol w:w="1100"/>
        <w:gridCol w:w="1306"/>
      </w:tblGrid>
      <w:tr w14:paraId="4DF482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90" w:hRule="atLeast"/>
          <w:jc w:val="center"/>
        </w:trPr>
        <w:tc>
          <w:tcPr>
            <w:tcW w:w="702" w:type="dxa"/>
            <w:tcBorders>
              <w:top w:val="outset" w:color="auto" w:sz="6" w:space="0"/>
              <w:left w:val="outset" w:color="auto" w:sz="6" w:space="0"/>
              <w:bottom w:val="outset" w:color="auto" w:sz="6" w:space="0"/>
              <w:right w:val="outset" w:color="auto" w:sz="6" w:space="0"/>
            </w:tcBorders>
            <w:shd w:val="clear" w:color="auto" w:fill="auto"/>
            <w:noWrap/>
            <w:vAlign w:val="center"/>
          </w:tcPr>
          <w:p w14:paraId="5B42BA13">
            <w:pPr>
              <w:widowControl w:val="0"/>
              <w:wordWrap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序号</w:t>
            </w:r>
          </w:p>
        </w:tc>
        <w:tc>
          <w:tcPr>
            <w:tcW w:w="882" w:type="dxa"/>
            <w:tcBorders>
              <w:top w:val="outset" w:color="auto" w:sz="6" w:space="0"/>
              <w:left w:val="outset" w:color="auto" w:sz="6" w:space="0"/>
              <w:bottom w:val="outset" w:color="auto" w:sz="6" w:space="0"/>
              <w:right w:val="outset" w:color="auto" w:sz="6" w:space="0"/>
            </w:tcBorders>
            <w:shd w:val="clear" w:color="auto" w:fill="auto"/>
            <w:vAlign w:val="center"/>
          </w:tcPr>
          <w:p w14:paraId="3D4ACBCA">
            <w:pPr>
              <w:widowControl w:val="0"/>
              <w:wordWrap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名称</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0A46C5A9">
            <w:pPr>
              <w:widowControl w:val="0"/>
              <w:wordWrap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详细技术参数及性能配置要求</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19A65EA6">
            <w:pPr>
              <w:widowControl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eastAsia="zh-CN" w:bidi="ar"/>
              </w:rPr>
              <w:t>响应</w:t>
            </w:r>
            <w:r>
              <w:rPr>
                <w:rFonts w:hint="eastAsia" w:cs="宋体"/>
                <w:color w:val="auto"/>
                <w:kern w:val="2"/>
                <w:sz w:val="24"/>
                <w:szCs w:val="24"/>
                <w:lang w:val="en-US" w:eastAsia="zh-CN" w:bidi="ar"/>
              </w:rPr>
              <w:t>服务</w:t>
            </w:r>
            <w:r>
              <w:rPr>
                <w:rFonts w:hint="eastAsia" w:ascii="宋体" w:hAnsi="宋体" w:eastAsia="宋体" w:cs="宋体"/>
                <w:color w:val="auto"/>
                <w:kern w:val="2"/>
                <w:sz w:val="24"/>
                <w:szCs w:val="24"/>
                <w:lang w:bidi="ar"/>
              </w:rPr>
              <w:t>的技术参数</w:t>
            </w:r>
          </w:p>
        </w:tc>
        <w:tc>
          <w:tcPr>
            <w:tcW w:w="791" w:type="dxa"/>
            <w:tcBorders>
              <w:top w:val="outset" w:color="auto" w:sz="6" w:space="0"/>
              <w:left w:val="outset" w:color="auto" w:sz="6" w:space="0"/>
              <w:bottom w:val="outset" w:color="auto" w:sz="6" w:space="0"/>
              <w:right w:val="outset" w:color="auto" w:sz="6" w:space="0"/>
            </w:tcBorders>
            <w:shd w:val="clear" w:color="auto" w:fill="auto"/>
            <w:vAlign w:val="center"/>
          </w:tcPr>
          <w:p w14:paraId="6BB9E84B">
            <w:pPr>
              <w:widowControl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计量单位</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14:paraId="294F67D0">
            <w:pPr>
              <w:widowControl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数量</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14:paraId="4CF30CD4">
            <w:pPr>
              <w:widowControl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单价（元）</w:t>
            </w:r>
          </w:p>
        </w:tc>
        <w:tc>
          <w:tcPr>
            <w:tcW w:w="1306" w:type="dxa"/>
            <w:tcBorders>
              <w:top w:val="outset" w:color="auto" w:sz="6" w:space="0"/>
              <w:left w:val="outset" w:color="auto" w:sz="6" w:space="0"/>
              <w:bottom w:val="outset" w:color="auto" w:sz="6" w:space="0"/>
              <w:right w:val="outset" w:color="auto" w:sz="6" w:space="0"/>
            </w:tcBorders>
            <w:shd w:val="clear" w:color="auto" w:fill="auto"/>
            <w:vAlign w:val="center"/>
          </w:tcPr>
          <w:p w14:paraId="4B834CFB">
            <w:pPr>
              <w:widowControl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合计（元）</w:t>
            </w:r>
          </w:p>
        </w:tc>
      </w:tr>
      <w:tr w14:paraId="1E3E9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119" w:hRule="atLeast"/>
          <w:jc w:val="center"/>
        </w:trPr>
        <w:tc>
          <w:tcPr>
            <w:tcW w:w="702" w:type="dxa"/>
            <w:tcBorders>
              <w:top w:val="outset" w:color="auto" w:sz="6" w:space="0"/>
              <w:left w:val="outset" w:color="auto" w:sz="6" w:space="0"/>
              <w:bottom w:val="outset" w:color="auto" w:sz="6" w:space="0"/>
              <w:right w:val="outset" w:color="auto" w:sz="6" w:space="0"/>
            </w:tcBorders>
            <w:shd w:val="clear" w:color="auto" w:fill="auto"/>
            <w:vAlign w:val="center"/>
          </w:tcPr>
          <w:p w14:paraId="1847E260">
            <w:pPr>
              <w:wordWrap w:val="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1</w:t>
            </w:r>
          </w:p>
        </w:tc>
        <w:tc>
          <w:tcPr>
            <w:tcW w:w="882" w:type="dxa"/>
            <w:tcBorders>
              <w:top w:val="outset" w:color="auto" w:sz="6" w:space="0"/>
              <w:left w:val="outset" w:color="auto" w:sz="6" w:space="0"/>
              <w:bottom w:val="outset" w:color="auto" w:sz="6" w:space="0"/>
              <w:right w:val="outset" w:color="auto" w:sz="6" w:space="0"/>
            </w:tcBorders>
            <w:shd w:val="clear" w:color="auto" w:fill="auto"/>
            <w:vAlign w:val="center"/>
          </w:tcPr>
          <w:p w14:paraId="7B41ACBE">
            <w:pPr>
              <w:wordWrap w:val="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右江民族医学院互联网络专线租赁服务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分标一</w:t>
            </w:r>
            <w:r>
              <w:rPr>
                <w:rFonts w:hint="eastAsia" w:ascii="宋体" w:hAnsi="宋体" w:eastAsia="宋体" w:cs="宋体"/>
                <w:color w:val="auto"/>
                <w:sz w:val="24"/>
                <w:szCs w:val="24"/>
                <w:lang w:eastAsia="zh-CN"/>
              </w:rPr>
              <w:t>）</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50927D70">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分标一：</w:t>
            </w:r>
          </w:p>
          <w:p w14:paraId="5CC12857">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一、提供1条≥550Mbps的互联网出口带宽服务，并提供≥5个公网静态IPv4地址和/1个/56IPv6前缀地址。</w:t>
            </w:r>
          </w:p>
          <w:p w14:paraId="4A978401">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二、供应商汇聚层和骨干层线路需具有自愈环保护功能和不超过50ms保护倒换能力，保证专线不会因光缆的意外阻断或部分设备故障而中断。</w:t>
            </w:r>
          </w:p>
          <w:p w14:paraId="185163AD">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三、要求全网的传输设备均具备网管能力，全程提供端到端的网管监控功能，实行7*24小时不间断监控，可有效地检测并定位网络故障。</w:t>
            </w:r>
          </w:p>
          <w:p w14:paraId="1D79548E">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须负责链路的接入施工，为避免某校区的出口链路因不可抗因素发生断路导致网络中断，须将链路分别接入学校的两个校区（百城校区和百东校区）机房，并根据实际预设配置路由，当某个校区出口链路发生断路时，可将互联网专线的总出口快速切换至另一个校区，确保网络业务的持续性。负责完成两校区出口链路的光纤铺设、端口配置、路由调试等全部工作，确保链路可正常使用，接入过程须符合学校机房安全管理规定，避免对现有网络系统造成影响。同时提供本次专线接入所需的相关硬件设备，包括路由器、交换机、光缆、尾纤跳线、光模块等。</w:t>
            </w:r>
          </w:p>
          <w:p w14:paraId="7DE6663F">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线路技术指标：≥1000M互联网带宽裸机测试，上、下行速率对称，且稳定在1000Mbps。链路年可用性≥99.9%，平均延迟≤50ms，丢包率≤3‰；链路支持动态带宽调整（根据单位需求可灵活扩容），扩容过程不影响现有网络服务。</w:t>
            </w:r>
          </w:p>
          <w:p w14:paraId="1FE1DC43">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六、采用双路由接入学校出口设备，确保其中一路中断，另外一路仍能继续提供服务。</w:t>
            </w:r>
          </w:p>
          <w:p w14:paraId="10A6A328">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七、线路安全方面支持抗DDos防御及流量清洗能力。</w:t>
            </w:r>
          </w:p>
          <w:p w14:paraId="1ED5F01B">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八、学校网络需要扩展或升级时，须提供相应解决方案等技术支持。</w:t>
            </w:r>
          </w:p>
          <w:p w14:paraId="2B1B33EB">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九.根据学校实际需求，提供百城校区和百东校区的网络互通服务。</w:t>
            </w:r>
          </w:p>
          <w:p w14:paraId="1D550832">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由投标人免费提供1台负载均衡设备（含硬件、配套软件及终身授权），设备规格须满足两条链路的智能流量分配及故障自动切换的核心需求，且与单位现有网络设备（交换机、路由器等）兼容；设备须为原厂全新正品，提供原厂供货证明及原厂售后服务承诺函，严禁提供翻新、拼装、二手设备。</w:t>
            </w:r>
          </w:p>
          <w:p w14:paraId="5E83F5A5">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1、设备四层吞吐量≥20Gbps，四层并发连接数≥800万，七层并发连接数≥100万，新建连接数≥35万。</w:t>
            </w:r>
          </w:p>
          <w:p w14:paraId="7154B9D1">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2、硬盘容量不少于≥480GB SSD；内存≥8GB；配置不少于6个千兆电口，4个万兆光口SFP+；配置冗余电源，2U机架式。</w:t>
            </w:r>
          </w:p>
          <w:p w14:paraId="30B6C1B6">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3、单一设备可同时支持包括链路负载均衡、服务器负载均衡和全局负载均衡的功能，功能同时处于激活可使用状态，无需额外购买相应授权。</w:t>
            </w:r>
          </w:p>
          <w:p w14:paraId="75C634EE">
            <w:pPr>
              <w:wordWrap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4、负载均衡支持在Web页面配置实现基于管理员自定义的时间计划来进行出站访问的流量调度，支持基于应用协议的智能选路，内置网上银行、Web流媒体、游戏、音频视频规则库，并且规则库不少于5000条。</w:t>
            </w:r>
            <w:r>
              <w:rPr>
                <w:rFonts w:hint="eastAsia" w:ascii="宋体" w:hAnsi="宋体" w:eastAsia="宋体" w:cs="宋体"/>
                <w:b/>
                <w:bCs/>
                <w:color w:val="auto"/>
                <w:sz w:val="24"/>
                <w:szCs w:val="24"/>
                <w:highlight w:val="none"/>
              </w:rPr>
              <w:t>（提供产品界面截图并加盖投标人公章）</w:t>
            </w:r>
          </w:p>
          <w:p w14:paraId="6B7683F1">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强大负载均衡算法，支持HTTP、TCP、HTTPS、SIP-TCP、SIP-UDP、8583、DNS等服务类型，支持轮询、加权轮询、按主机加权轮询、加权最小连接、按主机加权最小连接、动态反馈、最快响应时间、加权最小流量、最小流量、最少连接、主机-最小流量、主机-最少连接调度、动态反馈、按主机加权最小流量、源IP源端口哈希、源IP哈希、URI哈希和HOST哈希等。</w:t>
            </w:r>
          </w:p>
          <w:p w14:paraId="37EE3868">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6、具备DNS功能，支持A、AAAA、DNSSEC、CAA和DS记录，支持DNS缓存和RPZ防火墙功能。</w:t>
            </w:r>
            <w:r>
              <w:rPr>
                <w:rFonts w:hint="eastAsia" w:ascii="宋体" w:hAnsi="宋体" w:eastAsia="宋体" w:cs="宋体"/>
                <w:b/>
                <w:bCs/>
                <w:color w:val="auto"/>
                <w:sz w:val="24"/>
                <w:szCs w:val="24"/>
                <w:highlight w:val="none"/>
              </w:rPr>
              <w:t>（提供产品界面截图并加盖投标人公章）</w:t>
            </w:r>
          </w:p>
          <w:p w14:paraId="760AA73B">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设备需支持多种编程语言脚本（如lua和TCL）实现功能配置，对IP、TCP、UDP、SSL、HTTP和HTTPS等类型的流量进行分发、修改和统计等操作，具备对可编程脚本语法的校验功能，能够识别出脚本语言是否正确，定位到具体的错误语句。</w:t>
            </w:r>
          </w:p>
          <w:p w14:paraId="7E08BC2E">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为了方便管控和调节业务服务的压力，支持基于WEB图形化界面支持对虚拟服务、节点设置上行和下行流量限制，支持配置每台的业务主机的并发连接数、新建连接数和每秒请求数限制，同时可配置每个虚拟服务的单个IP或所有IP的最大新建和最大并发限制来调节真实业务服务器压力。</w:t>
            </w:r>
            <w:r>
              <w:rPr>
                <w:rFonts w:hint="eastAsia" w:ascii="宋体" w:hAnsi="宋体" w:eastAsia="宋体" w:cs="宋体"/>
                <w:b/>
                <w:bCs/>
                <w:color w:val="auto"/>
                <w:sz w:val="24"/>
                <w:szCs w:val="24"/>
                <w:highlight w:val="none"/>
              </w:rPr>
              <w:t>（提供产品界面截图并加盖投标人公章）</w:t>
            </w:r>
          </w:p>
          <w:p w14:paraId="6D8C2354">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9、具备多种类型的会话保持技术，支持源IP、Cookie（插入/被动/改写）、HTTP-Passive（应答被动、请求被动）、Radius、SSL Session ID、SIP（CALL-ID）和源IP+源端口等多种会话保持机制，支持跨虚拟服务的会话保持。</w:t>
            </w:r>
          </w:p>
          <w:p w14:paraId="1D96D205">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具备多种类型的健康检查技术，支持常见的主动式健康检查功能，提供基于SNMP、ICMP、SIP、ICMPv6、TCP、UDP、FTP、HTTP、DNS、RADIUS、HTTPS、LDAP、HTTP2、ORACLE、MSSQL、MYSQL数据库等多种类型的探测判断机制，支持外部应用监视器健康检查功能，同时可配置间隔时间、超时时间，同时可通过Web页面执行命令，并且能开启/关闭调试日志功能。</w:t>
            </w:r>
          </w:p>
          <w:p w14:paraId="7E1EEF06">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11、为了适应未来应用国产化应用改造，负载均衡设备需支持国产数据库负载，支持OceanBase、达梦和人大金仓数据库的负载均衡。</w:t>
            </w:r>
          </w:p>
          <w:p w14:paraId="1E991265">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为了保障业务可用性优先，出现节点繁忙的情况时，可以有多种选择（如连接排队、强制调度、调度失败等），并且可以直接在Web页面直接进行选择配置，支持对于超过服务器的连接数上限或者请求数上限的新建连接缓存起来放入队列中，后续分批逐步发送给服务器，而不是直接丢弃数据包。</w:t>
            </w:r>
            <w:r>
              <w:rPr>
                <w:rFonts w:hint="eastAsia" w:ascii="宋体" w:hAnsi="宋体" w:eastAsia="宋体" w:cs="宋体"/>
                <w:b/>
                <w:bCs/>
                <w:color w:val="auto"/>
                <w:sz w:val="24"/>
                <w:szCs w:val="24"/>
                <w:highlight w:val="none"/>
              </w:rPr>
              <w:t>（提供产品界面截图并加盖投标人公章）</w:t>
            </w:r>
          </w:p>
          <w:p w14:paraId="2F4448FF">
            <w:pPr>
              <w:wordWrap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13、为了便于业务上线前对业务进行验证，且操作简单，设备支持模拟健康监测功能，无需完成真实的业务配置即可提前采用icmp、http、https、tcp、ftp以及DNS等健康检查方式模拟检查业务的状态；且支持完成链路负载均衡配置后，可以直接在Web页面验证负载配置后的效果。</w:t>
            </w:r>
            <w:r>
              <w:rPr>
                <w:rFonts w:hint="eastAsia" w:ascii="宋体" w:hAnsi="宋体" w:eastAsia="宋体" w:cs="宋体"/>
                <w:b/>
                <w:bCs/>
                <w:color w:val="auto"/>
                <w:sz w:val="24"/>
                <w:szCs w:val="24"/>
                <w:highlight w:val="none"/>
              </w:rPr>
              <w:t>（提供产品界面截图并加盖投标人公章）</w:t>
            </w:r>
          </w:p>
          <w:p w14:paraId="34FD412E">
            <w:pPr>
              <w:wordWrap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14、支持在WEB页面配置TOA(TCP Option Address)源地址插入功能,降低通过脚本实现此功能对设备的硬件资源开销，从而提升整体设备性能。</w:t>
            </w:r>
            <w:r>
              <w:rPr>
                <w:rFonts w:hint="eastAsia" w:ascii="宋体" w:hAnsi="宋体" w:eastAsia="宋体" w:cs="宋体"/>
                <w:b/>
                <w:bCs/>
                <w:color w:val="auto"/>
                <w:sz w:val="24"/>
                <w:szCs w:val="24"/>
                <w:highlight w:val="none"/>
              </w:rPr>
              <w:t>（提供产品界面截图并加盖投标人公章）</w:t>
            </w:r>
          </w:p>
          <w:p w14:paraId="68F5515A">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15、为了保障cookie会话保持的安全性，避免cookie混乱泄漏，支持cookie作用域和作用路径的自定义，支持cookie加密，提升cookie安全性。</w:t>
            </w:r>
          </w:p>
          <w:p w14:paraId="424B06CF">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16、为了简化运维，支持在同一个虚拟服务下同时配置多个IPv4和IPv6地址，服务器池节点支持域名和IP两种形式，可设置指定域名解析间隔时间。</w:t>
            </w:r>
            <w:r>
              <w:rPr>
                <w:rFonts w:hint="eastAsia" w:ascii="宋体" w:hAnsi="宋体" w:eastAsia="宋体" w:cs="宋体"/>
                <w:b/>
                <w:bCs/>
                <w:color w:val="auto"/>
                <w:sz w:val="24"/>
                <w:szCs w:val="24"/>
                <w:highlight w:val="none"/>
              </w:rPr>
              <w:t>（提供产品界面截图并加盖投标人公章）</w:t>
            </w:r>
          </w:p>
          <w:p w14:paraId="13F49685">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17、支持HTTP2网关部署，在不改变web服务器的情况下将对外服务协议从HTTP1.1/1.0升级至HTTP/2，支持HTTP2策略，可设置每连接最大流量数、空闲超时时间、接收窗口大小和头部表大小等。</w:t>
            </w:r>
          </w:p>
          <w:p w14:paraId="28AE5463">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18、为了能够有效提升应用的稳定性和用户体验，确保在高并发情况下的流量管理和资源利用，支持TCP策略，实现三层、四层和七层虚拟服务模式。</w:t>
            </w:r>
          </w:p>
          <w:p w14:paraId="1C58E94E">
            <w:pPr>
              <w:wordWrap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19、为了提升web页面加载速度，支持图片优化技术，通过对图片格式的转换，减少传输流量，无需改动服务器端的图片源文件，可根据浏览器种类自动识别转换类型，将图片转换为对应支持的WebP或JPEG格式，优化加速效果。</w:t>
            </w:r>
            <w:r>
              <w:rPr>
                <w:rFonts w:hint="eastAsia" w:ascii="宋体" w:hAnsi="宋体" w:eastAsia="宋体" w:cs="宋体"/>
                <w:b/>
                <w:bCs/>
                <w:color w:val="auto"/>
                <w:sz w:val="24"/>
                <w:szCs w:val="24"/>
                <w:highlight w:val="none"/>
              </w:rPr>
              <w:t>（提供产品界面截图并加盖投标人公章）</w:t>
            </w:r>
          </w:p>
          <w:p w14:paraId="382A33A6">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20、支持虚拟服务地图方式展示VS和Pool与Memeber的关联关系以及对应的状态信息，可按虚拟服务名称或者状态来进行排序。</w:t>
            </w:r>
          </w:p>
          <w:p w14:paraId="5E0797E1">
            <w:pPr>
              <w:wordWrap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21、为了帮助管理员来对设备更好的运维排障，支持对管理日志进行对比，能直观的看到设备配置的变化，支持直接通过web页面进行命令管理和进行抓包排障，可以设置抓包时长，提升管理效率。</w:t>
            </w:r>
            <w:r>
              <w:rPr>
                <w:rFonts w:hint="eastAsia" w:ascii="宋体" w:hAnsi="宋体" w:eastAsia="宋体" w:cs="宋体"/>
                <w:b/>
                <w:bCs/>
                <w:color w:val="auto"/>
                <w:sz w:val="24"/>
                <w:szCs w:val="24"/>
                <w:highlight w:val="none"/>
              </w:rPr>
              <w:t>（提供产品界面截图并加盖投标人公章）</w:t>
            </w:r>
          </w:p>
          <w:p w14:paraId="6490CD3C">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22、设备质保：在专线租赁服务期内，提供设备的免费维修、更换服务，若设备出现故障，投标人须在2小时内响应，24小时内完成维修或更换，确保设备正常运行。</w:t>
            </w:r>
          </w:p>
          <w:p w14:paraId="32A7FDC6">
            <w:pPr>
              <w:wordWrap w:val="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十一、付款方式：服务费用按三年分期支付，每年支付一次，每期费用为合同总金额的1/3。签订合同后乙方向甲方开具12个月服务费用的合法增值税专用发票，甲方收到发票后30日进行支付。</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63C294D7">
            <w:pPr>
              <w:widowControl w:val="0"/>
              <w:wordWrap w:val="0"/>
              <w:jc w:val="center"/>
              <w:rPr>
                <w:rFonts w:hint="eastAsia" w:ascii="宋体" w:hAnsi="宋体" w:eastAsia="宋体" w:cs="宋体"/>
                <w:color w:val="auto"/>
                <w:sz w:val="24"/>
                <w:szCs w:val="24"/>
              </w:rPr>
            </w:pPr>
          </w:p>
        </w:tc>
        <w:tc>
          <w:tcPr>
            <w:tcW w:w="791" w:type="dxa"/>
            <w:tcBorders>
              <w:top w:val="outset" w:color="auto" w:sz="6" w:space="0"/>
              <w:left w:val="outset" w:color="auto" w:sz="6" w:space="0"/>
              <w:bottom w:val="outset" w:color="auto" w:sz="6" w:space="0"/>
              <w:right w:val="outset" w:color="auto" w:sz="6" w:space="0"/>
            </w:tcBorders>
            <w:shd w:val="clear" w:color="auto" w:fill="auto"/>
            <w:vAlign w:val="center"/>
          </w:tcPr>
          <w:p w14:paraId="76441AC2">
            <w:pPr>
              <w:wordWrap w:val="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年</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14:paraId="7858CA26">
            <w:pPr>
              <w:wordWrap w:val="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3</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14:paraId="1ECD42B3">
            <w:pPr>
              <w:widowControl w:val="0"/>
              <w:jc w:val="center"/>
              <w:textAlignment w:val="center"/>
              <w:rPr>
                <w:rFonts w:hint="eastAsia" w:ascii="宋体" w:hAnsi="宋体" w:eastAsia="宋体" w:cs="宋体"/>
                <w:color w:val="auto"/>
                <w:sz w:val="24"/>
                <w:szCs w:val="24"/>
              </w:rPr>
            </w:pPr>
          </w:p>
        </w:tc>
        <w:tc>
          <w:tcPr>
            <w:tcW w:w="1306" w:type="dxa"/>
            <w:tcBorders>
              <w:top w:val="outset" w:color="auto" w:sz="6" w:space="0"/>
              <w:left w:val="outset" w:color="auto" w:sz="6" w:space="0"/>
              <w:bottom w:val="outset" w:color="auto" w:sz="6" w:space="0"/>
              <w:right w:val="outset" w:color="auto" w:sz="6" w:space="0"/>
            </w:tcBorders>
            <w:shd w:val="clear" w:color="auto" w:fill="auto"/>
            <w:vAlign w:val="center"/>
          </w:tcPr>
          <w:p w14:paraId="6A8E112C">
            <w:pPr>
              <w:widowControl w:val="0"/>
              <w:jc w:val="center"/>
              <w:textAlignment w:val="center"/>
              <w:rPr>
                <w:rFonts w:hint="eastAsia" w:ascii="宋体" w:hAnsi="宋体" w:eastAsia="宋体" w:cs="宋体"/>
                <w:color w:val="auto"/>
                <w:sz w:val="24"/>
                <w:szCs w:val="24"/>
              </w:rPr>
            </w:pPr>
          </w:p>
        </w:tc>
      </w:tr>
      <w:tr w14:paraId="649D20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745" w:hRule="atLeast"/>
          <w:jc w:val="center"/>
        </w:trPr>
        <w:tc>
          <w:tcPr>
            <w:tcW w:w="702" w:type="dxa"/>
            <w:tcBorders>
              <w:top w:val="outset" w:color="auto" w:sz="6" w:space="0"/>
              <w:left w:val="outset" w:color="auto" w:sz="6" w:space="0"/>
              <w:bottom w:val="outset" w:color="auto" w:sz="6" w:space="0"/>
              <w:right w:val="outset" w:color="auto" w:sz="6" w:space="0"/>
            </w:tcBorders>
            <w:shd w:val="clear" w:color="auto" w:fill="auto"/>
            <w:vAlign w:val="center"/>
          </w:tcPr>
          <w:p w14:paraId="34063AED">
            <w:pPr>
              <w:widowControl w:val="0"/>
              <w:wordWrap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合计</w:t>
            </w:r>
          </w:p>
        </w:tc>
        <w:tc>
          <w:tcPr>
            <w:tcW w:w="13909"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790A7519">
            <w:pPr>
              <w:widowControl w:val="0"/>
              <w:wordWrap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人民币合计金额（大写）        （小写）¥ </w:t>
            </w:r>
            <w:r>
              <w:rPr>
                <w:rFonts w:hint="eastAsia" w:ascii="宋体" w:hAnsi="宋体" w:eastAsia="宋体" w:cs="宋体"/>
                <w:b/>
                <w:bCs/>
                <w:color w:val="auto"/>
                <w:sz w:val="24"/>
                <w:szCs w:val="24"/>
                <w:lang w:val="en-US" w:eastAsia="zh-CN"/>
              </w:rPr>
              <w:t xml:space="preserve">       </w:t>
            </w:r>
          </w:p>
        </w:tc>
      </w:tr>
    </w:tbl>
    <w:p w14:paraId="2EE49389">
      <w:pPr>
        <w:widowControl w:val="0"/>
        <w:spacing w:line="500" w:lineRule="exact"/>
        <w:rPr>
          <w:b/>
          <w:bCs/>
          <w:color w:val="auto"/>
          <w:szCs w:val="24"/>
          <w:u w:val="single"/>
        </w:rPr>
      </w:pPr>
      <w:r>
        <w:rPr>
          <w:rFonts w:hint="eastAsia"/>
          <w:color w:val="auto"/>
          <w:kern w:val="2"/>
          <w:sz w:val="24"/>
          <w:szCs w:val="24"/>
          <w:lang w:bidi="ar"/>
        </w:rPr>
        <w:t>项目名称：</w:t>
      </w:r>
      <w:r>
        <w:rPr>
          <w:rFonts w:hint="eastAsia"/>
          <w:b/>
          <w:bCs/>
          <w:color w:val="auto"/>
          <w:kern w:val="2"/>
          <w:sz w:val="24"/>
          <w:szCs w:val="24"/>
          <w:u w:val="single"/>
          <w:lang w:bidi="ar"/>
        </w:rPr>
        <w:t>右江民族医学院互联网络专线租赁服务采购项目</w:t>
      </w:r>
      <w:r>
        <w:rPr>
          <w:rFonts w:hint="eastAsia"/>
          <w:b/>
          <w:bCs/>
          <w:color w:val="auto"/>
          <w:kern w:val="2"/>
          <w:sz w:val="24"/>
          <w:szCs w:val="24"/>
          <w:u w:val="single"/>
          <w:lang w:eastAsia="zh-CN" w:bidi="ar"/>
        </w:rPr>
        <w:t>（分标一）</w:t>
      </w:r>
    </w:p>
    <w:p w14:paraId="5D78B655">
      <w:pPr>
        <w:widowControl w:val="0"/>
        <w:spacing w:line="500" w:lineRule="exact"/>
        <w:rPr>
          <w:color w:val="auto"/>
          <w:szCs w:val="24"/>
        </w:rPr>
      </w:pPr>
      <w:r>
        <w:rPr>
          <w:rFonts w:hint="eastAsia"/>
          <w:color w:val="auto"/>
          <w:kern w:val="2"/>
          <w:sz w:val="24"/>
          <w:szCs w:val="24"/>
          <w:lang w:bidi="ar"/>
        </w:rPr>
        <w:t>报价单位（公章）：</w:t>
      </w:r>
      <w:r>
        <w:rPr>
          <w:rFonts w:hint="eastAsia"/>
          <w:color w:val="auto"/>
          <w:kern w:val="2"/>
          <w:sz w:val="24"/>
          <w:szCs w:val="24"/>
          <w:u w:val="single"/>
          <w:lang w:bidi="ar"/>
        </w:rPr>
        <w:t xml:space="preserve">                        </w:t>
      </w:r>
      <w:r>
        <w:rPr>
          <w:rFonts w:hint="eastAsia"/>
          <w:color w:val="auto"/>
          <w:kern w:val="2"/>
          <w:sz w:val="24"/>
          <w:szCs w:val="24"/>
          <w:lang w:bidi="ar"/>
        </w:rPr>
        <w:t xml:space="preserve">   </w:t>
      </w:r>
    </w:p>
    <w:p w14:paraId="42B4FF0B">
      <w:pPr>
        <w:widowControl w:val="0"/>
        <w:spacing w:line="500" w:lineRule="exact"/>
        <w:rPr>
          <w:rFonts w:eastAsia="仿宋"/>
          <w:bCs/>
          <w:color w:val="auto"/>
          <w:u w:val="single"/>
        </w:rPr>
      </w:pPr>
      <w:r>
        <w:rPr>
          <w:rFonts w:hint="eastAsia"/>
          <w:color w:val="auto"/>
          <w:kern w:val="2"/>
          <w:sz w:val="24"/>
          <w:szCs w:val="24"/>
          <w:lang w:bidi="ar"/>
        </w:rPr>
        <w:t>报价日期：</w:t>
      </w:r>
      <w:r>
        <w:rPr>
          <w:rFonts w:hint="eastAsia"/>
          <w:color w:val="auto"/>
          <w:kern w:val="2"/>
          <w:sz w:val="24"/>
          <w:szCs w:val="24"/>
          <w:u w:val="single"/>
          <w:lang w:bidi="ar"/>
        </w:rPr>
        <w:t xml:space="preserve">                               </w:t>
      </w:r>
    </w:p>
    <w:p w14:paraId="56335E8A">
      <w:pPr>
        <w:pStyle w:val="15"/>
        <w:widowControl/>
        <w:spacing w:line="500" w:lineRule="exact"/>
        <w:rPr>
          <w:rFonts w:ascii="宋体" w:hAnsi="宋体"/>
          <w:color w:val="auto"/>
          <w:szCs w:val="24"/>
        </w:rPr>
      </w:pPr>
      <w:r>
        <w:rPr>
          <w:rFonts w:hint="eastAsia" w:ascii="宋体" w:hAnsi="宋体"/>
          <w:color w:val="auto"/>
          <w:szCs w:val="24"/>
        </w:rPr>
        <w:t>联系人：</w:t>
      </w:r>
      <w:r>
        <w:rPr>
          <w:rFonts w:hint="eastAsia" w:ascii="宋体" w:hAnsi="宋体"/>
          <w:color w:val="auto"/>
          <w:szCs w:val="24"/>
          <w:u w:val="single"/>
        </w:rPr>
        <w:t xml:space="preserve">                            </w:t>
      </w:r>
    </w:p>
    <w:p w14:paraId="000E5DBB">
      <w:pPr>
        <w:pStyle w:val="15"/>
        <w:widowControl/>
        <w:spacing w:line="500" w:lineRule="exact"/>
        <w:rPr>
          <w:color w:val="auto"/>
          <w:sz w:val="24"/>
          <w:szCs w:val="24"/>
        </w:rPr>
      </w:pPr>
      <w:r>
        <w:rPr>
          <w:rFonts w:hint="eastAsia" w:ascii="宋体" w:hAnsi="宋体"/>
          <w:color w:val="auto"/>
          <w:szCs w:val="24"/>
        </w:rPr>
        <w:t>联系方式：</w:t>
      </w:r>
      <w:r>
        <w:rPr>
          <w:rFonts w:hint="eastAsia" w:ascii="宋体" w:hAnsi="宋体" w:cs="宋体"/>
          <w:color w:val="auto"/>
          <w:szCs w:val="24"/>
          <w:u w:val="single"/>
        </w:rPr>
        <w:t xml:space="preserve">                          </w:t>
      </w:r>
      <w:r>
        <w:rPr>
          <w:rFonts w:hint="eastAsia" w:ascii="宋体" w:hAnsi="宋体" w:cs="宋体"/>
          <w:color w:val="auto"/>
          <w:szCs w:val="24"/>
        </w:rPr>
        <w:t xml:space="preserve"> </w:t>
      </w:r>
      <w:r>
        <w:rPr>
          <w:rFonts w:hint="eastAsia" w:ascii="宋体" w:hAnsi="宋体"/>
          <w:color w:val="auto"/>
          <w:szCs w:val="24"/>
        </w:rPr>
        <w:t xml:space="preserve">  </w:t>
      </w:r>
    </w:p>
    <w:p w14:paraId="6DC253FB">
      <w:pPr>
        <w:spacing w:line="500" w:lineRule="exact"/>
        <w:rPr>
          <w:rFonts w:ascii="华文仿宋" w:hAnsi="华文仿宋" w:eastAsia="华文仿宋" w:cs="华文仿宋"/>
          <w:b/>
          <w:bCs/>
          <w:color w:val="auto"/>
          <w:sz w:val="24"/>
          <w:szCs w:val="24"/>
        </w:rPr>
        <w:sectPr>
          <w:pgSz w:w="16838" w:h="11906" w:orient="landscape"/>
          <w:pgMar w:top="1803" w:right="1440" w:bottom="1803" w:left="1440" w:header="851" w:footer="992" w:gutter="0"/>
          <w:cols w:space="0" w:num="1"/>
          <w:docGrid w:type="lines" w:linePitch="332" w:charSpace="0"/>
        </w:sectPr>
      </w:pPr>
    </w:p>
    <w:p w14:paraId="0BD9F887">
      <w:pPr>
        <w:snapToGrid w:val="0"/>
        <w:spacing w:before="50" w:line="360" w:lineRule="exact"/>
        <w:rPr>
          <w:b/>
          <w:color w:val="auto"/>
          <w:sz w:val="28"/>
          <w:szCs w:val="28"/>
        </w:rPr>
      </w:pPr>
      <w:r>
        <w:rPr>
          <w:rFonts w:hint="eastAsia"/>
          <w:b/>
          <w:color w:val="auto"/>
          <w:sz w:val="28"/>
          <w:szCs w:val="28"/>
          <w:lang w:bidi="ar"/>
        </w:rPr>
        <w:t>商务响应表格式：</w:t>
      </w:r>
    </w:p>
    <w:p w14:paraId="4861DECF">
      <w:pPr>
        <w:snapToGrid w:val="0"/>
        <w:spacing w:before="50" w:line="360" w:lineRule="exact"/>
        <w:jc w:val="center"/>
        <w:rPr>
          <w:color w:val="auto"/>
          <w:sz w:val="36"/>
          <w:szCs w:val="36"/>
          <w:u w:val="single"/>
        </w:rPr>
      </w:pPr>
      <w:r>
        <w:rPr>
          <w:rFonts w:hint="eastAsia"/>
          <w:b/>
          <w:color w:val="auto"/>
          <w:sz w:val="36"/>
          <w:szCs w:val="36"/>
          <w:lang w:bidi="ar"/>
        </w:rPr>
        <w:t>商务响应表</w:t>
      </w:r>
    </w:p>
    <w:p w14:paraId="635B9204">
      <w:pPr>
        <w:snapToGrid w:val="0"/>
        <w:spacing w:before="50" w:line="360" w:lineRule="exact"/>
        <w:rPr>
          <w:color w:val="auto"/>
          <w:szCs w:val="21"/>
          <w:u w:val="single"/>
        </w:rPr>
      </w:pPr>
    </w:p>
    <w:tbl>
      <w:tblPr>
        <w:tblStyle w:val="7"/>
        <w:tblW w:w="10247" w:type="dxa"/>
        <w:tblInd w:w="-679"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614"/>
        <w:gridCol w:w="5833"/>
        <w:gridCol w:w="1284"/>
        <w:gridCol w:w="1516"/>
      </w:tblGrid>
      <w:tr w14:paraId="5D06FB1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1614" w:type="dxa"/>
            <w:tcBorders>
              <w:top w:val="single" w:color="auto" w:sz="4" w:space="0"/>
              <w:left w:val="single" w:color="auto" w:sz="4" w:space="0"/>
              <w:bottom w:val="single" w:color="auto" w:sz="4" w:space="0"/>
              <w:right w:val="single" w:color="auto" w:sz="4" w:space="0"/>
            </w:tcBorders>
            <w:shd w:val="clear" w:color="auto" w:fill="auto"/>
          </w:tcPr>
          <w:p w14:paraId="4402B7F7">
            <w:pPr>
              <w:snapToGrid w:val="0"/>
              <w:spacing w:before="166" w:beforeLines="5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条款</w:t>
            </w:r>
          </w:p>
        </w:tc>
        <w:tc>
          <w:tcPr>
            <w:tcW w:w="5833" w:type="dxa"/>
            <w:tcBorders>
              <w:top w:val="single" w:color="auto" w:sz="4" w:space="0"/>
              <w:left w:val="single" w:color="auto" w:sz="4" w:space="0"/>
              <w:bottom w:val="single" w:color="auto" w:sz="4" w:space="0"/>
              <w:right w:val="single" w:color="auto" w:sz="4" w:space="0"/>
            </w:tcBorders>
            <w:shd w:val="clear" w:color="auto" w:fill="auto"/>
          </w:tcPr>
          <w:p w14:paraId="299B48F8">
            <w:pPr>
              <w:snapToGrid w:val="0"/>
              <w:spacing w:before="166" w:beforeLines="5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采购项目文件要求</w:t>
            </w:r>
          </w:p>
        </w:tc>
        <w:tc>
          <w:tcPr>
            <w:tcW w:w="1284" w:type="dxa"/>
            <w:tcBorders>
              <w:top w:val="single" w:color="auto" w:sz="4" w:space="0"/>
              <w:left w:val="single" w:color="auto" w:sz="4" w:space="0"/>
              <w:bottom w:val="single" w:color="auto" w:sz="4" w:space="0"/>
              <w:right w:val="single" w:color="auto" w:sz="4" w:space="0"/>
            </w:tcBorders>
            <w:shd w:val="clear" w:color="auto" w:fill="auto"/>
          </w:tcPr>
          <w:p w14:paraId="7D436DF7">
            <w:pPr>
              <w:snapToGrid w:val="0"/>
              <w:spacing w:before="166" w:beforeLines="5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是否提供并响应</w:t>
            </w:r>
          </w:p>
        </w:tc>
        <w:tc>
          <w:tcPr>
            <w:tcW w:w="1516" w:type="dxa"/>
            <w:tcBorders>
              <w:top w:val="single" w:color="auto" w:sz="4" w:space="0"/>
              <w:left w:val="single" w:color="auto" w:sz="4" w:space="0"/>
              <w:bottom w:val="single" w:color="auto" w:sz="4" w:space="0"/>
              <w:right w:val="single" w:color="auto" w:sz="4" w:space="0"/>
            </w:tcBorders>
            <w:shd w:val="clear" w:color="auto" w:fill="auto"/>
          </w:tcPr>
          <w:p w14:paraId="3A8DD771">
            <w:pPr>
              <w:snapToGrid w:val="0"/>
              <w:spacing w:before="166" w:beforeLines="5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投标人的承诺或说明</w:t>
            </w:r>
          </w:p>
        </w:tc>
      </w:tr>
      <w:tr w14:paraId="4385D9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trPr>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33625CC2">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报价及其他要求</w:t>
            </w:r>
          </w:p>
        </w:tc>
        <w:tc>
          <w:tcPr>
            <w:tcW w:w="5833" w:type="dxa"/>
            <w:tcBorders>
              <w:top w:val="single" w:color="auto" w:sz="4" w:space="0"/>
              <w:left w:val="single" w:color="auto" w:sz="4" w:space="0"/>
              <w:bottom w:val="single" w:color="auto" w:sz="4" w:space="0"/>
              <w:right w:val="single" w:color="auto" w:sz="4" w:space="0"/>
            </w:tcBorders>
            <w:shd w:val="clear" w:color="auto" w:fill="auto"/>
            <w:vAlign w:val="center"/>
          </w:tcPr>
          <w:p w14:paraId="69BF56FE">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1.</w:t>
            </w:r>
            <w:r>
              <w:rPr>
                <w:rFonts w:hint="eastAsia" w:ascii="宋体" w:hAnsi="宋体" w:eastAsia="宋体" w:cs="宋体"/>
                <w:color w:val="auto"/>
                <w:szCs w:val="24"/>
                <w:highlight w:val="none"/>
              </w:rPr>
              <w:t>要求投标</w:t>
            </w:r>
            <w:r>
              <w:rPr>
                <w:rFonts w:hint="eastAsia" w:ascii="宋体" w:hAnsi="宋体" w:eastAsia="宋体" w:cs="宋体"/>
                <w:color w:val="auto"/>
                <w:szCs w:val="24"/>
                <w:highlight w:val="none"/>
                <w:lang w:val="en-US" w:eastAsia="zh-CN"/>
              </w:rPr>
              <w:t>网络专线租赁服务设备</w:t>
            </w:r>
            <w:r>
              <w:rPr>
                <w:rFonts w:hint="eastAsia" w:ascii="宋体" w:hAnsi="宋体" w:eastAsia="宋体" w:cs="宋体"/>
                <w:color w:val="auto"/>
                <w:szCs w:val="24"/>
                <w:highlight w:val="none"/>
              </w:rPr>
              <w:t>是全新的、合格的、满足本项目技术需求及要求的。所有零部件、配件必须是未经使用的全新的并符合国家有关质量安全标准的产品。</w:t>
            </w:r>
          </w:p>
          <w:p w14:paraId="2CA691EC">
            <w:pPr>
              <w:spacing w:line="400" w:lineRule="exact"/>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2.本次报价须为人民币报价，</w:t>
            </w:r>
            <w:r>
              <w:rPr>
                <w:rFonts w:hint="eastAsia" w:ascii="宋体" w:hAnsi="宋体" w:eastAsia="宋体" w:cs="宋体"/>
                <w:color w:val="auto"/>
                <w:highlight w:val="none"/>
                <w:lang w:val="en-US" w:eastAsia="zh-CN"/>
              </w:rPr>
              <w:t>包含满足本次竞标全部采购需求所应提供的服务</w:t>
            </w:r>
            <w:r>
              <w:rPr>
                <w:rFonts w:hint="eastAsia" w:ascii="宋体" w:hAnsi="宋体" w:eastAsia="宋体" w:cs="宋体"/>
                <w:color w:val="auto"/>
                <w:szCs w:val="24"/>
                <w:highlight w:val="none"/>
                <w:lang w:bidi="ar"/>
              </w:rPr>
              <w:t>：</w:t>
            </w:r>
            <w:r>
              <w:rPr>
                <w:rFonts w:hint="eastAsia" w:ascii="宋体" w:hAnsi="宋体" w:eastAsia="宋体" w:cs="宋体"/>
                <w:color w:val="auto"/>
                <w:highlight w:val="none"/>
                <w:lang w:val="en-US" w:eastAsia="zh-CN"/>
              </w:rPr>
              <w:t>含竞标服务、完成本项目服务工作所需的人员成本、</w:t>
            </w:r>
            <w:r>
              <w:rPr>
                <w:rFonts w:hint="eastAsia" w:ascii="宋体" w:hAnsi="宋体" w:eastAsia="宋体" w:cs="宋体"/>
                <w:color w:val="auto"/>
                <w:szCs w:val="24"/>
                <w:highlight w:val="none"/>
                <w:lang w:bidi="ar"/>
              </w:rPr>
              <w:t>标准附件、备品备件、专用工具、辅材、专用工具、安装调试</w:t>
            </w:r>
            <w:r>
              <w:rPr>
                <w:rFonts w:hint="eastAsia" w:ascii="宋体" w:hAnsi="宋体" w:eastAsia="宋体" w:cs="宋体"/>
                <w:color w:val="auto"/>
                <w:highlight w:val="none"/>
                <w:lang w:bidi="ar"/>
              </w:rPr>
              <w:t>（包括但不限于各类硬件、系统等的安装、试运行等费用）</w:t>
            </w:r>
            <w:r>
              <w:rPr>
                <w:rFonts w:hint="eastAsia" w:ascii="宋体" w:hAnsi="宋体" w:eastAsia="宋体" w:cs="宋体"/>
                <w:color w:val="auto"/>
                <w:szCs w:val="24"/>
                <w:highlight w:val="none"/>
                <w:lang w:bidi="ar"/>
              </w:rPr>
              <w:t>、包装、运输、装卸、保险费、各类税费、产品检测、检验费、验收费、产品质保期内维护费、技术培训费</w:t>
            </w:r>
            <w:r>
              <w:rPr>
                <w:rFonts w:hint="eastAsia" w:ascii="宋体" w:hAnsi="宋体" w:eastAsia="宋体" w:cs="宋体"/>
                <w:color w:val="auto"/>
                <w:highlight w:val="none"/>
                <w:lang w:bidi="ar"/>
              </w:rPr>
              <w:t>（包括但不限于场地费、教材费用等）</w:t>
            </w:r>
            <w:r>
              <w:rPr>
                <w:rFonts w:hint="eastAsia" w:ascii="宋体" w:hAnsi="宋体" w:eastAsia="宋体" w:cs="宋体"/>
                <w:color w:val="auto"/>
                <w:szCs w:val="24"/>
                <w:highlight w:val="none"/>
                <w:lang w:bidi="ar"/>
              </w:rPr>
              <w:t>、技术资料及其它与本项目有关的未列明的一切费用。对于本文件中未列明，而供应商认为必需的费用也需列入总报价。在合同实施时，采购人将不予支付成交供应商没有列入的项目费用，并认为此项目的费用已包括在响应总报价中。</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D0B6FAB">
            <w:pPr>
              <w:snapToGrid w:val="0"/>
              <w:spacing w:line="400" w:lineRule="exact"/>
              <w:ind w:firstLine="360" w:firstLineChars="150"/>
              <w:rPr>
                <w:rFonts w:hint="eastAsia" w:ascii="宋体" w:hAnsi="宋体" w:eastAsia="宋体" w:cs="宋体"/>
                <w:color w:val="auto"/>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3C18CC6">
            <w:pPr>
              <w:snapToGrid w:val="0"/>
              <w:spacing w:line="400" w:lineRule="exact"/>
              <w:rPr>
                <w:rFonts w:hint="eastAsia" w:ascii="宋体" w:hAnsi="宋体" w:eastAsia="宋体" w:cs="宋体"/>
                <w:color w:val="auto"/>
                <w:szCs w:val="24"/>
                <w:highlight w:val="none"/>
              </w:rPr>
            </w:pPr>
          </w:p>
        </w:tc>
      </w:tr>
      <w:tr w14:paraId="69F6EE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trPr>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1BBF7746">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合同签订日期</w:t>
            </w:r>
          </w:p>
        </w:tc>
        <w:tc>
          <w:tcPr>
            <w:tcW w:w="5833" w:type="dxa"/>
            <w:tcBorders>
              <w:top w:val="single" w:color="auto" w:sz="4" w:space="0"/>
              <w:left w:val="single" w:color="auto" w:sz="4" w:space="0"/>
              <w:bottom w:val="single" w:color="auto" w:sz="4" w:space="0"/>
              <w:right w:val="single" w:color="auto" w:sz="4" w:space="0"/>
            </w:tcBorders>
            <w:shd w:val="clear" w:color="auto" w:fill="auto"/>
            <w:vAlign w:val="center"/>
          </w:tcPr>
          <w:p w14:paraId="0944F007">
            <w:pPr>
              <w:spacing w:line="4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成交通知书发出后25个日历日内。</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62C2ABA8">
            <w:pPr>
              <w:snapToGrid w:val="0"/>
              <w:spacing w:line="400" w:lineRule="exact"/>
              <w:rPr>
                <w:rFonts w:hint="eastAsia" w:ascii="宋体" w:hAnsi="宋体" w:eastAsia="宋体" w:cs="宋体"/>
                <w:color w:val="auto"/>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60B6FE10">
            <w:pPr>
              <w:snapToGrid w:val="0"/>
              <w:spacing w:line="400" w:lineRule="exact"/>
              <w:rPr>
                <w:rFonts w:hint="eastAsia" w:ascii="宋体" w:hAnsi="宋体" w:eastAsia="宋体" w:cs="宋体"/>
                <w:color w:val="auto"/>
                <w:szCs w:val="24"/>
                <w:highlight w:val="none"/>
              </w:rPr>
            </w:pPr>
          </w:p>
        </w:tc>
      </w:tr>
      <w:tr w14:paraId="7C1F76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trPr>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42C29826">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bidi="ar"/>
              </w:rPr>
              <w:t>服务交付</w:t>
            </w:r>
            <w:r>
              <w:rPr>
                <w:rFonts w:hint="eastAsia" w:ascii="宋体" w:hAnsi="宋体" w:eastAsia="宋体" w:cs="宋体"/>
                <w:color w:val="auto"/>
                <w:szCs w:val="24"/>
                <w:highlight w:val="none"/>
                <w:lang w:bidi="ar"/>
              </w:rPr>
              <w:t>时间</w:t>
            </w:r>
          </w:p>
        </w:tc>
        <w:tc>
          <w:tcPr>
            <w:tcW w:w="5833" w:type="dxa"/>
            <w:tcBorders>
              <w:top w:val="single" w:color="auto" w:sz="4" w:space="0"/>
              <w:left w:val="single" w:color="auto" w:sz="4" w:space="0"/>
              <w:bottom w:val="single" w:color="auto" w:sz="4" w:space="0"/>
              <w:right w:val="single" w:color="auto" w:sz="4" w:space="0"/>
            </w:tcBorders>
            <w:shd w:val="clear" w:color="auto" w:fill="auto"/>
            <w:vAlign w:val="center"/>
          </w:tcPr>
          <w:p w14:paraId="5BF89371">
            <w:pPr>
              <w:spacing w:line="4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成交供应商接到采购人通知供货后</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个工作日内交付。</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6E282A6C">
            <w:pPr>
              <w:snapToGrid w:val="0"/>
              <w:spacing w:line="400" w:lineRule="exact"/>
              <w:ind w:left="43"/>
              <w:rPr>
                <w:rFonts w:hint="eastAsia" w:ascii="宋体" w:hAnsi="宋体" w:eastAsia="宋体" w:cs="宋体"/>
                <w:color w:val="auto"/>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934BB3B">
            <w:pPr>
              <w:snapToGrid w:val="0"/>
              <w:spacing w:line="400" w:lineRule="exact"/>
              <w:ind w:left="43"/>
              <w:rPr>
                <w:rFonts w:hint="eastAsia" w:ascii="宋体" w:hAnsi="宋体" w:eastAsia="宋体" w:cs="宋体"/>
                <w:color w:val="auto"/>
                <w:szCs w:val="24"/>
                <w:highlight w:val="none"/>
              </w:rPr>
            </w:pPr>
          </w:p>
        </w:tc>
      </w:tr>
      <w:tr w14:paraId="587CC9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trPr>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61663BC1">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rPr>
              <w:t>服务期限</w:t>
            </w:r>
            <w:r>
              <w:rPr>
                <w:rFonts w:hint="eastAsia" w:ascii="宋体" w:hAnsi="宋体" w:eastAsia="宋体" w:cs="宋体"/>
                <w:color w:val="auto"/>
                <w:szCs w:val="24"/>
                <w:highlight w:val="none"/>
              </w:rPr>
              <w:t>及</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地点</w:t>
            </w:r>
          </w:p>
        </w:tc>
        <w:tc>
          <w:tcPr>
            <w:tcW w:w="5833" w:type="dxa"/>
            <w:tcBorders>
              <w:top w:val="single" w:color="auto" w:sz="4" w:space="0"/>
              <w:left w:val="single" w:color="auto" w:sz="4" w:space="0"/>
              <w:bottom w:val="single" w:color="auto" w:sz="4" w:space="0"/>
              <w:right w:val="single" w:color="auto" w:sz="4" w:space="0"/>
            </w:tcBorders>
            <w:shd w:val="clear" w:color="auto" w:fill="auto"/>
            <w:vAlign w:val="center"/>
          </w:tcPr>
          <w:p w14:paraId="34036786">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服务期限</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3年，自合同签订之日起开始计算</w:t>
            </w:r>
            <w:r>
              <w:rPr>
                <w:rFonts w:hint="eastAsia" w:ascii="宋体" w:hAnsi="宋体" w:eastAsia="宋体" w:cs="宋体"/>
                <w:color w:val="auto"/>
                <w:szCs w:val="24"/>
                <w:highlight w:val="none"/>
              </w:rPr>
              <w:t>。</w:t>
            </w:r>
          </w:p>
          <w:p w14:paraId="419A4F4B">
            <w:pPr>
              <w:spacing w:line="4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地点：广西百色市采购人指定地点。</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69E6DFE5">
            <w:pPr>
              <w:snapToGrid w:val="0"/>
              <w:spacing w:line="400" w:lineRule="exact"/>
              <w:ind w:left="43"/>
              <w:rPr>
                <w:rFonts w:hint="eastAsia" w:ascii="宋体" w:hAnsi="宋体" w:eastAsia="宋体" w:cs="宋体"/>
                <w:color w:val="auto"/>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546CE972">
            <w:pPr>
              <w:snapToGrid w:val="0"/>
              <w:spacing w:line="400" w:lineRule="exact"/>
              <w:ind w:left="43"/>
              <w:rPr>
                <w:rFonts w:hint="eastAsia" w:ascii="宋体" w:hAnsi="宋体" w:eastAsia="宋体" w:cs="宋体"/>
                <w:color w:val="auto"/>
                <w:szCs w:val="24"/>
                <w:highlight w:val="none"/>
              </w:rPr>
            </w:pPr>
          </w:p>
        </w:tc>
      </w:tr>
      <w:tr w14:paraId="56C104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trPr>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7DE12FD8">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设备质保</w:t>
            </w:r>
          </w:p>
        </w:tc>
        <w:tc>
          <w:tcPr>
            <w:tcW w:w="5833" w:type="dxa"/>
            <w:tcBorders>
              <w:top w:val="single" w:color="auto" w:sz="4" w:space="0"/>
              <w:left w:val="single" w:color="auto" w:sz="4" w:space="0"/>
              <w:bottom w:val="single" w:color="auto" w:sz="4" w:space="0"/>
              <w:right w:val="single" w:color="auto" w:sz="4" w:space="0"/>
            </w:tcBorders>
            <w:shd w:val="clear" w:color="auto" w:fill="auto"/>
            <w:vAlign w:val="center"/>
          </w:tcPr>
          <w:p w14:paraId="52E19685">
            <w:pPr>
              <w:spacing w:line="4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在专线租赁服务期内，提供设备的免费维修、更换服务，若设备出现故障，投标人须在2小时内响应，24小时内完成维修或更换，确保设备正常运行。</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5D138F8E">
            <w:pPr>
              <w:snapToGrid w:val="0"/>
              <w:spacing w:line="400" w:lineRule="exact"/>
              <w:ind w:left="43"/>
              <w:rPr>
                <w:rFonts w:hint="eastAsia" w:ascii="宋体" w:hAnsi="宋体" w:eastAsia="宋体" w:cs="宋体"/>
                <w:color w:val="auto"/>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6AA5C998">
            <w:pPr>
              <w:snapToGrid w:val="0"/>
              <w:spacing w:line="400" w:lineRule="exact"/>
              <w:ind w:left="43"/>
              <w:rPr>
                <w:rFonts w:hint="eastAsia" w:ascii="宋体" w:hAnsi="宋体" w:eastAsia="宋体" w:cs="宋体"/>
                <w:color w:val="auto"/>
                <w:szCs w:val="24"/>
                <w:highlight w:val="none"/>
              </w:rPr>
            </w:pPr>
          </w:p>
        </w:tc>
      </w:tr>
      <w:tr w14:paraId="5B58A9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trPr>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3782D0FE">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验收标准</w:t>
            </w:r>
          </w:p>
        </w:tc>
        <w:tc>
          <w:tcPr>
            <w:tcW w:w="5833" w:type="dxa"/>
            <w:tcBorders>
              <w:top w:val="single" w:color="auto" w:sz="4" w:space="0"/>
              <w:left w:val="single" w:color="auto" w:sz="4" w:space="0"/>
              <w:bottom w:val="single" w:color="auto" w:sz="4" w:space="0"/>
              <w:right w:val="single" w:color="auto" w:sz="4" w:space="0"/>
            </w:tcBorders>
            <w:shd w:val="clear" w:color="auto" w:fill="auto"/>
            <w:vAlign w:val="center"/>
          </w:tcPr>
          <w:p w14:paraId="6D05D439">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1.验收要求：</w:t>
            </w:r>
          </w:p>
          <w:p w14:paraId="1B90983C">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（1）要求履约过程中所有服务行为、成果文件等均不涉及任何法律纠纷。</w:t>
            </w:r>
          </w:p>
          <w:p w14:paraId="6DD07B35">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2）验收时由采购人对照采购需求的技术指标全面核对检验，如不符合采购需求的技术需求或提供虚假承诺的，采购人有权拒绝验收，成交供应商承担所有责任和费用，采购人有权解除合同并保留进一步追究责任的权利。</w:t>
            </w:r>
          </w:p>
          <w:p w14:paraId="1BB8BD16">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（3）本项目须严格执行国家、行业、地方相关验收标准及规范及采购需求和合同要求。</w:t>
            </w:r>
          </w:p>
          <w:p w14:paraId="4D20DB69">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2.验收标准：</w:t>
            </w:r>
          </w:p>
          <w:p w14:paraId="172B9DC4">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val="en-US" w:eastAsia="zh-CN" w:bidi="ar"/>
              </w:rPr>
              <w:t>1</w:t>
            </w: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bidi="ar"/>
              </w:rPr>
              <w:t>须满足现行国家、行业及地方标准、规范。如具体采购需求与标准、规范不一致的，高于标准、规范的，按具体采购需求执行，低于标准、规范的，按标准、规范执行。</w:t>
            </w:r>
          </w:p>
          <w:p w14:paraId="0374A60E">
            <w:pPr>
              <w:spacing w:line="400" w:lineRule="exact"/>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val="en-US" w:eastAsia="zh-CN" w:bidi="ar"/>
              </w:rPr>
              <w:t>2</w:t>
            </w: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bidi="ar"/>
              </w:rPr>
              <w:t>未尽事宜，按《关于印发广西壮族自治区政府采购项目履约验收管理办法的通知》（桂财采〔2015〕22号）执行。</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1A1F2E91">
            <w:pPr>
              <w:snapToGrid w:val="0"/>
              <w:spacing w:line="400" w:lineRule="exact"/>
              <w:ind w:left="43"/>
              <w:rPr>
                <w:rFonts w:hint="eastAsia" w:ascii="宋体" w:hAnsi="宋体" w:eastAsia="宋体" w:cs="宋体"/>
                <w:color w:val="auto"/>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365AE5D">
            <w:pPr>
              <w:snapToGrid w:val="0"/>
              <w:spacing w:line="400" w:lineRule="exact"/>
              <w:ind w:left="43"/>
              <w:rPr>
                <w:rFonts w:hint="eastAsia" w:ascii="宋体" w:hAnsi="宋体" w:eastAsia="宋体" w:cs="宋体"/>
                <w:color w:val="auto"/>
                <w:szCs w:val="24"/>
                <w:highlight w:val="none"/>
              </w:rPr>
            </w:pPr>
          </w:p>
        </w:tc>
      </w:tr>
      <w:tr w14:paraId="7A100E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trPr>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2903D514">
            <w:pPr>
              <w:spacing w:line="400" w:lineRule="exact"/>
              <w:jc w:val="center"/>
              <w:rPr>
                <w:rFonts w:hint="eastAsia" w:ascii="宋体" w:hAnsi="宋体" w:eastAsia="宋体" w:cs="宋体"/>
                <w:color w:val="auto"/>
                <w:sz w:val="24"/>
                <w:szCs w:val="24"/>
                <w:highlight w:val="none"/>
                <w:shd w:val="pct10" w:color="auto" w:fill="FFFFFF"/>
                <w:lang w:val="en-US" w:eastAsia="zh-CN" w:bidi="ar-SA"/>
              </w:rPr>
            </w:pPr>
            <w:r>
              <w:rPr>
                <w:rFonts w:hint="eastAsia" w:ascii="宋体" w:hAnsi="宋体" w:eastAsia="宋体" w:cs="宋体"/>
                <w:color w:val="auto"/>
                <w:szCs w:val="24"/>
                <w:highlight w:val="none"/>
                <w:lang w:bidi="ar"/>
              </w:rPr>
              <w:t>售后服务要求</w:t>
            </w:r>
          </w:p>
        </w:tc>
        <w:tc>
          <w:tcPr>
            <w:tcW w:w="5833" w:type="dxa"/>
            <w:tcBorders>
              <w:top w:val="single" w:color="auto" w:sz="4" w:space="0"/>
              <w:left w:val="single" w:color="auto" w:sz="4" w:space="0"/>
              <w:bottom w:val="single" w:color="auto" w:sz="4" w:space="0"/>
              <w:right w:val="single" w:color="auto" w:sz="4" w:space="0"/>
            </w:tcBorders>
            <w:shd w:val="clear" w:color="auto" w:fill="auto"/>
            <w:vAlign w:val="center"/>
          </w:tcPr>
          <w:p w14:paraId="42A1BE81">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1）在租用期限内，成交供应商应严格遵守《中华人民共和国电信条例》，维护双方权益，应按信息产业部颁布的&lt;电信服务标准&gt;的电路质量要求，保证招标人租用线路畅通及安全使用。</w:t>
            </w:r>
          </w:p>
          <w:p w14:paraId="15DC7E0C">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2）供应商在电路租用期间应提供免费传输知识培训，指导采购人技术人员做好日常维护。</w:t>
            </w:r>
          </w:p>
          <w:p w14:paraId="5D893D2A">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3）提供售后服务承诺书，提供售后服务机构及联系人名单，列明详细地址及联系方式。</w:t>
            </w:r>
          </w:p>
          <w:p w14:paraId="4D41316A">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4）提供7×24小时热线电话服务,并提供多个故障申告途径及绿色通道，做到全方位响应，并指定专人负责上门受理调试日常维护及平时协助甲方维护检测等工作；提供365×24小时的售后服务响应。</w:t>
            </w:r>
          </w:p>
          <w:p w14:paraId="1468C204">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5）保证网络的畅通，负责运营商到用户单位主干光缆所有设备的免费运行维护，如光端机、转换器等设备，如果主干网络出现问题，必须在接到报告后4小时内响应，8个小时内到达现场排除故障，直到网络恢复正常。如设备故障在8小时内无法解决的应免费提供备件，确保网络正常运行,问题解决时间要求不超过24个小时。</w:t>
            </w:r>
          </w:p>
          <w:p w14:paraId="765C30B1">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6）每个季度对网络进行一次巡检，检查网络设备和主干光缆的运行情况，提交巡检报告。</w:t>
            </w:r>
          </w:p>
          <w:p w14:paraId="0DBCCE85">
            <w:pPr>
              <w:spacing w:line="400" w:lineRule="exact"/>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7）当用户网络需要扩展或升级时，负责免费提供相应解决方案等技术支持；因成交人施工、网络割接等原因影响网络运行的，应当提前一天通知用户，并提供相应的技术解决方案，尽快消除故障、恢复通信线路。</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3795F2F9">
            <w:pPr>
              <w:snapToGrid w:val="0"/>
              <w:spacing w:line="400" w:lineRule="exact"/>
              <w:ind w:left="43"/>
              <w:rPr>
                <w:rFonts w:hint="eastAsia" w:ascii="宋体" w:hAnsi="宋体" w:eastAsia="宋体" w:cs="宋体"/>
                <w:color w:val="auto"/>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344A24E3">
            <w:pPr>
              <w:snapToGrid w:val="0"/>
              <w:spacing w:line="400" w:lineRule="exact"/>
              <w:ind w:left="43"/>
              <w:rPr>
                <w:rFonts w:hint="eastAsia" w:ascii="宋体" w:hAnsi="宋体" w:eastAsia="宋体" w:cs="宋体"/>
                <w:color w:val="auto"/>
                <w:szCs w:val="24"/>
                <w:highlight w:val="none"/>
              </w:rPr>
            </w:pPr>
          </w:p>
        </w:tc>
      </w:tr>
      <w:tr w14:paraId="0EE588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trPr>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412896B2">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知识产权</w:t>
            </w:r>
          </w:p>
        </w:tc>
        <w:tc>
          <w:tcPr>
            <w:tcW w:w="5833" w:type="dxa"/>
            <w:tcBorders>
              <w:top w:val="single" w:color="auto" w:sz="4" w:space="0"/>
              <w:left w:val="single" w:color="auto" w:sz="4" w:space="0"/>
              <w:bottom w:val="single" w:color="auto" w:sz="4" w:space="0"/>
              <w:right w:val="single" w:color="auto" w:sz="4" w:space="0"/>
            </w:tcBorders>
            <w:shd w:val="clear" w:color="auto" w:fill="auto"/>
            <w:vAlign w:val="center"/>
          </w:tcPr>
          <w:p w14:paraId="728F2A6B">
            <w:pPr>
              <w:spacing w:line="4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采购人在中华人民共和国境内使用供应商提供的产品及服务时免受第三方提出的侵犯其专利权或其它知识产权的起诉。如果第三方提出侵权指控，成交供应商应承担由此而引起的一切法律责任和费用。</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34648C43">
            <w:pPr>
              <w:snapToGrid w:val="0"/>
              <w:spacing w:line="400" w:lineRule="exact"/>
              <w:ind w:left="43"/>
              <w:rPr>
                <w:rFonts w:hint="eastAsia" w:ascii="宋体" w:hAnsi="宋体" w:eastAsia="宋体" w:cs="宋体"/>
                <w:color w:val="auto"/>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1A48BAB3">
            <w:pPr>
              <w:snapToGrid w:val="0"/>
              <w:spacing w:line="400" w:lineRule="exact"/>
              <w:ind w:left="43"/>
              <w:rPr>
                <w:rFonts w:hint="eastAsia" w:ascii="宋体" w:hAnsi="宋体" w:eastAsia="宋体" w:cs="宋体"/>
                <w:color w:val="auto"/>
                <w:szCs w:val="24"/>
                <w:highlight w:val="none"/>
              </w:rPr>
            </w:pPr>
          </w:p>
        </w:tc>
      </w:tr>
      <w:tr w14:paraId="3E012F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trPr>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28675F65">
            <w:pPr>
              <w:spacing w:line="400" w:lineRule="exact"/>
              <w:jc w:val="center"/>
              <w:rPr>
                <w:rFonts w:hint="eastAsia" w:ascii="宋体" w:hAnsi="宋体" w:eastAsia="宋体" w:cs="宋体"/>
                <w:color w:val="auto"/>
                <w:sz w:val="24"/>
                <w:szCs w:val="24"/>
                <w:highlight w:val="none"/>
                <w:shd w:val="pct10" w:color="auto" w:fill="FFFFFF"/>
                <w:lang w:val="en-US" w:eastAsia="zh-CN" w:bidi="ar-SA"/>
              </w:rPr>
            </w:pPr>
            <w:r>
              <w:rPr>
                <w:rFonts w:hint="eastAsia" w:ascii="宋体" w:hAnsi="宋体" w:eastAsia="宋体" w:cs="宋体"/>
                <w:color w:val="auto"/>
                <w:szCs w:val="24"/>
                <w:highlight w:val="none"/>
                <w:lang w:bidi="ar"/>
              </w:rPr>
              <w:t>付款方式、时间及条件</w:t>
            </w:r>
          </w:p>
        </w:tc>
        <w:tc>
          <w:tcPr>
            <w:tcW w:w="5833" w:type="dxa"/>
            <w:tcBorders>
              <w:top w:val="single" w:color="auto" w:sz="4" w:space="0"/>
              <w:left w:val="single" w:color="auto" w:sz="4" w:space="0"/>
              <w:bottom w:val="single" w:color="auto" w:sz="4" w:space="0"/>
              <w:right w:val="single" w:color="auto" w:sz="4" w:space="0"/>
            </w:tcBorders>
            <w:shd w:val="clear" w:color="auto" w:fill="auto"/>
            <w:vAlign w:val="center"/>
          </w:tcPr>
          <w:p w14:paraId="71EE1F47">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1．</w:t>
            </w:r>
            <w:r>
              <w:rPr>
                <w:rFonts w:hint="eastAsia" w:ascii="宋体" w:hAnsi="宋体" w:eastAsia="宋体" w:cs="宋体"/>
                <w:color w:val="auto"/>
                <w:szCs w:val="24"/>
                <w:highlight w:val="none"/>
                <w:lang w:val="en-US" w:eastAsia="zh-CN" w:bidi="ar"/>
              </w:rPr>
              <w:t>成交供应商每期提供服务完毕经采购人验收合格无异议后</w:t>
            </w:r>
            <w:r>
              <w:rPr>
                <w:rFonts w:hint="eastAsia" w:ascii="宋体" w:hAnsi="宋体" w:eastAsia="宋体" w:cs="宋体"/>
                <w:color w:val="auto"/>
                <w:szCs w:val="24"/>
                <w:highlight w:val="none"/>
                <w:lang w:bidi="ar"/>
              </w:rPr>
              <w:t>，采购人签署项目验收书；</w:t>
            </w:r>
          </w:p>
          <w:p w14:paraId="2F3DC1FF">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2．</w:t>
            </w:r>
            <w:r>
              <w:rPr>
                <w:rFonts w:hint="eastAsia" w:ascii="宋体" w:hAnsi="宋体" w:eastAsia="宋体" w:cs="宋体"/>
                <w:color w:val="auto"/>
                <w:szCs w:val="24"/>
                <w:highlight w:val="none"/>
                <w:lang w:val="en-US" w:eastAsia="zh-CN" w:bidi="ar"/>
              </w:rPr>
              <w:t>成交</w:t>
            </w:r>
            <w:r>
              <w:rPr>
                <w:rFonts w:hint="eastAsia" w:ascii="宋体" w:hAnsi="宋体" w:eastAsia="宋体" w:cs="宋体"/>
                <w:color w:val="auto"/>
                <w:szCs w:val="24"/>
                <w:highlight w:val="none"/>
                <w:lang w:bidi="ar"/>
              </w:rPr>
              <w:t>供应商向采购人开具</w:t>
            </w:r>
            <w:r>
              <w:rPr>
                <w:rFonts w:hint="eastAsia" w:ascii="宋体" w:hAnsi="宋体" w:eastAsia="宋体" w:cs="宋体"/>
                <w:color w:val="auto"/>
                <w:szCs w:val="24"/>
                <w:highlight w:val="none"/>
                <w:lang w:val="en-US" w:eastAsia="zh-CN" w:bidi="ar"/>
              </w:rPr>
              <w:t>每期</w:t>
            </w:r>
            <w:r>
              <w:rPr>
                <w:rFonts w:hint="eastAsia" w:ascii="宋体" w:hAnsi="宋体" w:eastAsia="宋体" w:cs="宋体"/>
                <w:color w:val="auto"/>
                <w:szCs w:val="24"/>
                <w:highlight w:val="none"/>
                <w:lang w:bidi="ar"/>
              </w:rPr>
              <w:t>服务费用的合法增值税专用发票和验收书向采购人提出付款申请；</w:t>
            </w:r>
          </w:p>
          <w:p w14:paraId="19D76A51">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3．票据要求：成交供应商必须按照采购人要求提供真实、有效、合法的增值税专用发票。一旦发现成交供应商提供虚假发票，除须向采购人补开合法发票外，须赔偿采购人发票票面金额三倍的违约金，且采购人有权终止合同，成交供应商不得提出异议，因终止合同而产生的一切损失均由成交供应商承担；</w:t>
            </w:r>
          </w:p>
          <w:p w14:paraId="4D01E8E7">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4．付款方式：服务费用按三年分期支付，每年支付一次，每期费用为合同总金额的1/3。签订合同后乙方向甲方开具12个月服务费用的合法增值税专用发票，甲方收到发票后30日进行支付。</w:t>
            </w:r>
          </w:p>
          <w:p w14:paraId="297159FD">
            <w:pPr>
              <w:spacing w:line="400" w:lineRule="exact"/>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Cs w:val="24"/>
                <w:highlight w:val="none"/>
                <w:lang w:bidi="ar"/>
              </w:rPr>
              <w:t>5．本合同使用货币币制如未作特别说明均为人民币。</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F39928E">
            <w:pPr>
              <w:snapToGrid w:val="0"/>
              <w:spacing w:line="400" w:lineRule="exact"/>
              <w:ind w:left="43"/>
              <w:rPr>
                <w:rFonts w:hint="eastAsia" w:ascii="宋体" w:hAnsi="宋体" w:eastAsia="宋体" w:cs="宋体"/>
                <w:color w:val="auto"/>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C5E9B95">
            <w:pPr>
              <w:snapToGrid w:val="0"/>
              <w:spacing w:line="400" w:lineRule="exact"/>
              <w:ind w:left="43"/>
              <w:rPr>
                <w:rFonts w:hint="eastAsia" w:ascii="宋体" w:hAnsi="宋体" w:eastAsia="宋体" w:cs="宋体"/>
                <w:color w:val="auto"/>
                <w:szCs w:val="24"/>
                <w:highlight w:val="none"/>
              </w:rPr>
            </w:pPr>
          </w:p>
        </w:tc>
      </w:tr>
      <w:tr w14:paraId="1D9730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trPr>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549D49CC">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履约保证金</w:t>
            </w:r>
          </w:p>
        </w:tc>
        <w:tc>
          <w:tcPr>
            <w:tcW w:w="5833" w:type="dxa"/>
            <w:tcBorders>
              <w:top w:val="single" w:color="auto" w:sz="4" w:space="0"/>
              <w:left w:val="single" w:color="auto" w:sz="4" w:space="0"/>
              <w:bottom w:val="single" w:color="auto" w:sz="4" w:space="0"/>
              <w:right w:val="single" w:color="auto" w:sz="4" w:space="0"/>
            </w:tcBorders>
            <w:shd w:val="clear" w:color="auto" w:fill="auto"/>
            <w:vAlign w:val="center"/>
          </w:tcPr>
          <w:p w14:paraId="39FCEB8C">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1</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履约保证金金额：</w:t>
            </w:r>
            <w:r>
              <w:rPr>
                <w:rFonts w:hint="eastAsia" w:ascii="宋体" w:hAnsi="宋体" w:eastAsia="宋体" w:cs="宋体"/>
                <w:b w:val="0"/>
                <w:bCs w:val="0"/>
                <w:color w:val="auto"/>
                <w:szCs w:val="24"/>
                <w:highlight w:val="none"/>
                <w:u w:val="single"/>
                <w:lang w:bidi="ar"/>
              </w:rPr>
              <w:t>按成交总金额的 5 %。</w:t>
            </w:r>
            <w:r>
              <w:rPr>
                <w:rFonts w:hint="eastAsia" w:ascii="宋体" w:hAnsi="宋体" w:eastAsia="宋体" w:cs="宋体"/>
                <w:b w:val="0"/>
                <w:bCs w:val="0"/>
                <w:color w:val="auto"/>
                <w:szCs w:val="24"/>
                <w:highlight w:val="none"/>
                <w:lang w:bidi="ar"/>
              </w:rPr>
              <w:t>（对中小企业收取的履约保证金数额为成交总金额的2%）</w:t>
            </w:r>
          </w:p>
          <w:p w14:paraId="08F87A7D">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2</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履约保证金提交方式：以银行转账、支票、汇票、本票或者金融机构、担保机构出具的保函等非现金形式缴纳或提交，以转账方式提交履约保证金的，由成交供应商在签订合同前按规定的金额直接缴入右江民族医学院账户，账户名称: 右江民族医学院；开户行：建设银行百色分行营业部；银行账号：45001676101050702467。否则，不予办理签订合同。履约保证金提交时必须备注项目名称、项目编号（合同编号）。如：XXXXX项目履约保证金，项目编号/合同编号XXXXX-XXXXXX。</w:t>
            </w:r>
          </w:p>
          <w:p w14:paraId="177E350F">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3</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签订合同后，如成交供应商出现不按双方签订的合同规定履约，则其全部履约保证金不予退还，履约保证金不足以赔偿损失的，按实际损失赔偿。</w:t>
            </w:r>
          </w:p>
          <w:p w14:paraId="635EF797">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4</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成交供应商按合同约定履约且无违约行为，在服务期满后，向采购人提交合格的合同验收书，填写履约保证金退付意见等材料并经采购人确认后，采购人在5个工作日内无息退还履约保证金。</w:t>
            </w:r>
          </w:p>
          <w:p w14:paraId="4DEE0B56">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5</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在履约保证金退还日期前，若成交供应商的开户名称、开户银行、账号有变动的，请以书面形式通知采购人，否则由此产生的后果由成交供应商自负。</w:t>
            </w:r>
          </w:p>
          <w:p w14:paraId="13035ADB">
            <w:pPr>
              <w:spacing w:line="400" w:lineRule="exact"/>
              <w:ind w:firstLine="480" w:firstLineChars="200"/>
              <w:rPr>
                <w:rFonts w:hint="eastAsia" w:ascii="宋体" w:hAnsi="宋体" w:eastAsia="宋体" w:cs="宋体"/>
                <w:color w:val="auto"/>
                <w:sz w:val="24"/>
                <w:szCs w:val="24"/>
                <w:highlight w:val="none"/>
                <w:lang w:val="en-US" w:eastAsia="zh-CN" w:bidi="ar"/>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3EE6DC0C">
            <w:pPr>
              <w:snapToGrid w:val="0"/>
              <w:spacing w:line="400" w:lineRule="exact"/>
              <w:ind w:left="43"/>
              <w:rPr>
                <w:rFonts w:hint="eastAsia" w:ascii="宋体" w:hAnsi="宋体" w:eastAsia="宋体" w:cs="宋体"/>
                <w:color w:val="auto"/>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3839A92A">
            <w:pPr>
              <w:snapToGrid w:val="0"/>
              <w:spacing w:line="400" w:lineRule="exact"/>
              <w:ind w:left="43"/>
              <w:rPr>
                <w:rFonts w:hint="eastAsia" w:ascii="宋体" w:hAnsi="宋体" w:eastAsia="宋体" w:cs="宋体"/>
                <w:color w:val="auto"/>
                <w:szCs w:val="24"/>
                <w:highlight w:val="none"/>
              </w:rPr>
            </w:pPr>
          </w:p>
        </w:tc>
      </w:tr>
    </w:tbl>
    <w:p w14:paraId="4938B08C">
      <w:pPr>
        <w:snapToGrid w:val="0"/>
        <w:spacing w:before="50" w:after="50" w:line="360" w:lineRule="exact"/>
        <w:rPr>
          <w:color w:val="auto"/>
          <w:spacing w:val="20"/>
          <w:szCs w:val="21"/>
        </w:rPr>
      </w:pPr>
    </w:p>
    <w:p w14:paraId="24A38EB0">
      <w:pPr>
        <w:snapToGrid w:val="0"/>
        <w:spacing w:before="50" w:after="50" w:line="360" w:lineRule="exact"/>
        <w:ind w:firstLine="240" w:firstLineChars="100"/>
        <w:rPr>
          <w:color w:val="auto"/>
          <w:spacing w:val="20"/>
          <w:szCs w:val="21"/>
          <w:u w:val="single"/>
        </w:rPr>
      </w:pPr>
      <w:r>
        <w:rPr>
          <w:rFonts w:hint="eastAsia"/>
          <w:color w:val="auto"/>
          <w:szCs w:val="21"/>
          <w:lang w:bidi="ar"/>
        </w:rPr>
        <w:t>法定代表人或委托代理人签字</w:t>
      </w:r>
      <w:r>
        <w:rPr>
          <w:rFonts w:hint="eastAsia"/>
          <w:color w:val="auto"/>
          <w:spacing w:val="20"/>
          <w:szCs w:val="21"/>
          <w:lang w:bidi="ar"/>
        </w:rPr>
        <w:t>：</w:t>
      </w:r>
      <w:r>
        <w:rPr>
          <w:rFonts w:hint="eastAsia"/>
          <w:color w:val="auto"/>
          <w:spacing w:val="20"/>
          <w:szCs w:val="21"/>
          <w:u w:val="single"/>
          <w:lang w:bidi="ar"/>
        </w:rPr>
        <w:t xml:space="preserve">  </w:t>
      </w:r>
      <w:r>
        <w:rPr>
          <w:color w:val="auto"/>
          <w:spacing w:val="20"/>
          <w:szCs w:val="21"/>
          <w:u w:val="single"/>
          <w:lang w:bidi="ar"/>
        </w:rPr>
        <w:t xml:space="preserve"> </w:t>
      </w:r>
      <w:r>
        <w:rPr>
          <w:rFonts w:hint="eastAsia"/>
          <w:color w:val="auto"/>
          <w:spacing w:val="20"/>
          <w:szCs w:val="21"/>
          <w:u w:val="single"/>
          <w:lang w:bidi="ar"/>
        </w:rPr>
        <w:t xml:space="preserve">      </w:t>
      </w:r>
    </w:p>
    <w:p w14:paraId="088CF5BE">
      <w:pPr>
        <w:snapToGrid w:val="0"/>
        <w:spacing w:line="360" w:lineRule="exact"/>
        <w:ind w:firstLine="274" w:firstLineChars="98"/>
        <w:rPr>
          <w:color w:val="auto"/>
          <w:spacing w:val="20"/>
          <w:szCs w:val="21"/>
        </w:rPr>
      </w:pPr>
    </w:p>
    <w:p w14:paraId="1B86DD70">
      <w:pPr>
        <w:snapToGrid w:val="0"/>
        <w:spacing w:line="360" w:lineRule="exact"/>
        <w:ind w:firstLine="274" w:firstLineChars="98"/>
        <w:rPr>
          <w:color w:val="auto"/>
          <w:spacing w:val="20"/>
          <w:szCs w:val="21"/>
          <w:lang w:bidi="ar"/>
        </w:rPr>
      </w:pPr>
      <w:r>
        <w:rPr>
          <w:rFonts w:hint="eastAsia"/>
          <w:color w:val="auto"/>
          <w:spacing w:val="20"/>
          <w:szCs w:val="21"/>
          <w:lang w:bidi="ar"/>
        </w:rPr>
        <w:t>投标人盖章：</w:t>
      </w:r>
      <w:r>
        <w:rPr>
          <w:rFonts w:hint="eastAsia"/>
          <w:color w:val="auto"/>
          <w:spacing w:val="20"/>
          <w:szCs w:val="21"/>
          <w:u w:val="single"/>
          <w:lang w:bidi="ar"/>
        </w:rPr>
        <w:t xml:space="preserve">            </w:t>
      </w:r>
      <w:r>
        <w:rPr>
          <w:rFonts w:hint="eastAsia"/>
          <w:color w:val="auto"/>
          <w:spacing w:val="20"/>
          <w:szCs w:val="21"/>
          <w:lang w:bidi="ar"/>
        </w:rPr>
        <w:t xml:space="preserve">              </w:t>
      </w:r>
    </w:p>
    <w:p w14:paraId="191C6782">
      <w:pPr>
        <w:snapToGrid w:val="0"/>
        <w:spacing w:line="360" w:lineRule="exact"/>
        <w:ind w:firstLine="274" w:firstLineChars="98"/>
        <w:rPr>
          <w:color w:val="auto"/>
          <w:spacing w:val="20"/>
          <w:szCs w:val="21"/>
          <w:lang w:bidi="ar"/>
        </w:rPr>
      </w:pPr>
    </w:p>
    <w:p w14:paraId="48587AEA">
      <w:pPr>
        <w:snapToGrid w:val="0"/>
        <w:spacing w:line="360" w:lineRule="exact"/>
        <w:ind w:firstLine="274" w:firstLineChars="98"/>
        <w:rPr>
          <w:b/>
          <w:color w:val="auto"/>
          <w:szCs w:val="21"/>
        </w:rPr>
      </w:pPr>
      <w:r>
        <w:rPr>
          <w:rFonts w:hint="eastAsia"/>
          <w:color w:val="auto"/>
          <w:spacing w:val="20"/>
          <w:szCs w:val="21"/>
          <w:lang w:bidi="ar"/>
        </w:rPr>
        <w:t>日 期：</w:t>
      </w:r>
      <w:r>
        <w:rPr>
          <w:rFonts w:hint="eastAsia"/>
          <w:color w:val="auto"/>
          <w:spacing w:val="20"/>
          <w:szCs w:val="21"/>
          <w:u w:val="single"/>
          <w:lang w:bidi="ar"/>
        </w:rPr>
        <w:t xml:space="preserve">          </w:t>
      </w:r>
    </w:p>
    <w:p w14:paraId="38A8A5AB">
      <w:pPr>
        <w:rPr>
          <w:rFonts w:ascii="华文仿宋" w:hAnsi="华文仿宋" w:eastAsia="华文仿宋" w:cs="华文仿宋"/>
          <w:b/>
          <w:bCs/>
          <w:color w:val="auto"/>
          <w:sz w:val="30"/>
          <w:szCs w:val="30"/>
        </w:rPr>
      </w:pPr>
      <w:r>
        <w:rPr>
          <w:rFonts w:ascii="华文仿宋" w:hAnsi="华文仿宋" w:eastAsia="华文仿宋" w:cs="华文仿宋"/>
          <w:b/>
          <w:bCs/>
          <w:color w:val="auto"/>
          <w:sz w:val="30"/>
          <w:szCs w:val="30"/>
        </w:rPr>
        <w:br w:type="page"/>
      </w:r>
    </w:p>
    <w:p w14:paraId="711F7A2F">
      <w:pPr>
        <w:snapToGrid w:val="0"/>
        <w:spacing w:before="156" w:beforeLines="50" w:after="50" w:line="440" w:lineRule="exact"/>
        <w:jc w:val="center"/>
        <w:rPr>
          <w:b/>
          <w:color w:val="auto"/>
          <w:sz w:val="36"/>
          <w:szCs w:val="21"/>
        </w:rPr>
      </w:pPr>
      <w:r>
        <w:rPr>
          <w:b/>
          <w:color w:val="auto"/>
          <w:sz w:val="36"/>
          <w:szCs w:val="21"/>
        </w:rPr>
        <w:t>授权委托书</w:t>
      </w:r>
    </w:p>
    <w:p w14:paraId="2B57BF3A">
      <w:pPr>
        <w:snapToGrid w:val="0"/>
        <w:spacing w:before="156" w:beforeLines="50" w:after="50" w:line="440" w:lineRule="exact"/>
        <w:jc w:val="center"/>
        <w:rPr>
          <w:b/>
          <w:color w:val="auto"/>
          <w:sz w:val="36"/>
          <w:szCs w:val="21"/>
        </w:rPr>
      </w:pPr>
    </w:p>
    <w:p w14:paraId="7B824ABE">
      <w:pPr>
        <w:snapToGrid w:val="0"/>
        <w:spacing w:before="156" w:beforeLines="50" w:after="50" w:line="440" w:lineRule="exact"/>
        <w:rPr>
          <w:b/>
          <w:bCs/>
          <w:color w:val="auto"/>
          <w:sz w:val="28"/>
          <w:szCs w:val="28"/>
        </w:rPr>
      </w:pPr>
      <w:r>
        <w:rPr>
          <w:rFonts w:hint="eastAsia"/>
          <w:bCs/>
          <w:color w:val="auto"/>
          <w:sz w:val="28"/>
          <w:szCs w:val="28"/>
        </w:rPr>
        <w:t>右江民族医学院</w:t>
      </w:r>
      <w:r>
        <w:rPr>
          <w:color w:val="auto"/>
          <w:sz w:val="28"/>
          <w:szCs w:val="28"/>
        </w:rPr>
        <w:t>：</w:t>
      </w:r>
    </w:p>
    <w:p w14:paraId="1D193BC1">
      <w:pPr>
        <w:snapToGrid w:val="0"/>
        <w:spacing w:before="156" w:beforeLines="50" w:after="50" w:line="440" w:lineRule="exact"/>
        <w:ind w:firstLine="560" w:firstLineChars="200"/>
        <w:rPr>
          <w:color w:val="auto"/>
          <w:sz w:val="28"/>
          <w:szCs w:val="28"/>
        </w:rPr>
      </w:pPr>
      <w:r>
        <w:rPr>
          <w:color w:val="auto"/>
          <w:sz w:val="28"/>
          <w:szCs w:val="28"/>
        </w:rPr>
        <w:t>我</w:t>
      </w:r>
      <w:r>
        <w:rPr>
          <w:rFonts w:hint="eastAsia"/>
          <w:color w:val="auto"/>
          <w:sz w:val="28"/>
          <w:szCs w:val="28"/>
          <w:u w:val="single"/>
          <w:lang w:val="en-US" w:eastAsia="zh-CN"/>
        </w:rPr>
        <w:t xml:space="preserve"> </w:t>
      </w:r>
      <w:r>
        <w:rPr>
          <w:i/>
          <w:iCs/>
          <w:color w:val="auto"/>
          <w:sz w:val="28"/>
          <w:szCs w:val="28"/>
          <w:u w:val="single"/>
        </w:rPr>
        <w:t>（</w:t>
      </w:r>
      <w:r>
        <w:rPr>
          <w:rFonts w:hint="eastAsia"/>
          <w:i/>
          <w:iCs/>
          <w:color w:val="auto"/>
          <w:sz w:val="28"/>
          <w:szCs w:val="28"/>
          <w:u w:val="single"/>
        </w:rPr>
        <w:t>法定代表人/负责人/经营者姓名</w:t>
      </w:r>
      <w:r>
        <w:rPr>
          <w:i/>
          <w:iCs/>
          <w:color w:val="auto"/>
          <w:sz w:val="28"/>
          <w:szCs w:val="28"/>
          <w:u w:val="single"/>
        </w:rPr>
        <w:t>）</w:t>
      </w:r>
      <w:r>
        <w:rPr>
          <w:rFonts w:hint="eastAsia"/>
          <w:i/>
          <w:iCs/>
          <w:color w:val="auto"/>
          <w:sz w:val="28"/>
          <w:szCs w:val="28"/>
          <w:u w:val="single"/>
          <w:lang w:val="en-US" w:eastAsia="zh-CN"/>
        </w:rPr>
        <w:t xml:space="preserve"> </w:t>
      </w:r>
      <w:r>
        <w:rPr>
          <w:color w:val="auto"/>
          <w:sz w:val="28"/>
          <w:szCs w:val="28"/>
        </w:rPr>
        <w:t>系</w:t>
      </w:r>
      <w:r>
        <w:rPr>
          <w:rFonts w:hint="eastAsia"/>
          <w:color w:val="auto"/>
          <w:sz w:val="28"/>
          <w:szCs w:val="28"/>
          <w:u w:val="single"/>
          <w:lang w:val="en-US" w:eastAsia="zh-CN"/>
        </w:rPr>
        <w:t xml:space="preserve"> </w:t>
      </w:r>
      <w:r>
        <w:rPr>
          <w:i/>
          <w:iCs/>
          <w:color w:val="auto"/>
          <w:sz w:val="28"/>
          <w:szCs w:val="28"/>
          <w:u w:val="single"/>
        </w:rPr>
        <w:t>（供应商名称）</w:t>
      </w:r>
      <w:r>
        <w:rPr>
          <w:rFonts w:hint="eastAsia"/>
          <w:i/>
          <w:iCs/>
          <w:color w:val="auto"/>
          <w:sz w:val="28"/>
          <w:szCs w:val="28"/>
          <w:u w:val="single"/>
          <w:lang w:val="en-US" w:eastAsia="zh-CN"/>
        </w:rPr>
        <w:t xml:space="preserve"> </w:t>
      </w:r>
      <w:r>
        <w:rPr>
          <w:color w:val="auto"/>
          <w:sz w:val="28"/>
          <w:szCs w:val="28"/>
        </w:rPr>
        <w:t>的</w:t>
      </w:r>
      <w:r>
        <w:rPr>
          <w:rFonts w:hint="eastAsia"/>
          <w:color w:val="auto"/>
          <w:sz w:val="28"/>
          <w:szCs w:val="28"/>
        </w:rPr>
        <w:t>法定代表人/负责人/经营者</w:t>
      </w:r>
      <w:r>
        <w:rPr>
          <w:color w:val="auto"/>
          <w:sz w:val="28"/>
          <w:szCs w:val="28"/>
        </w:rPr>
        <w:t xml:space="preserve">，现授权委托本单位在职职工 </w:t>
      </w:r>
      <w:r>
        <w:rPr>
          <w:color w:val="auto"/>
          <w:sz w:val="28"/>
          <w:szCs w:val="28"/>
          <w:u w:val="single"/>
        </w:rPr>
        <w:t xml:space="preserve">        </w:t>
      </w:r>
      <w:r>
        <w:rPr>
          <w:color w:val="auto"/>
          <w:sz w:val="28"/>
          <w:szCs w:val="28"/>
        </w:rPr>
        <w:t>（姓名）以我方的名义参加</w:t>
      </w:r>
      <w:r>
        <w:rPr>
          <w:rFonts w:hint="eastAsia"/>
          <w:bCs/>
          <w:i w:val="0"/>
          <w:iCs w:val="0"/>
          <w:color w:val="auto"/>
          <w:sz w:val="28"/>
          <w:szCs w:val="32"/>
          <w:u w:val="single"/>
        </w:rPr>
        <w:t>右江民族医学院互联网络专线租赁服务采购项目</w:t>
      </w:r>
      <w:r>
        <w:rPr>
          <w:rFonts w:hint="eastAsia"/>
          <w:bCs/>
          <w:i w:val="0"/>
          <w:iCs w:val="0"/>
          <w:color w:val="auto"/>
          <w:sz w:val="28"/>
          <w:szCs w:val="32"/>
          <w:u w:val="single"/>
          <w:lang w:eastAsia="zh-CN"/>
        </w:rPr>
        <w:t>（分标一）</w:t>
      </w:r>
      <w:r>
        <w:rPr>
          <w:color w:val="auto"/>
          <w:sz w:val="28"/>
          <w:szCs w:val="28"/>
        </w:rPr>
        <w:t>的</w:t>
      </w:r>
      <w:r>
        <w:rPr>
          <w:rFonts w:hint="eastAsia"/>
          <w:color w:val="auto"/>
          <w:sz w:val="28"/>
          <w:szCs w:val="28"/>
        </w:rPr>
        <w:t>采购</w:t>
      </w:r>
      <w:r>
        <w:rPr>
          <w:color w:val="auto"/>
          <w:sz w:val="28"/>
          <w:szCs w:val="28"/>
        </w:rPr>
        <w:t>活动，并代表我方全权办理针对上述项目的具体事务和签署相关文件。</w:t>
      </w:r>
    </w:p>
    <w:p w14:paraId="308BB77E">
      <w:pPr>
        <w:snapToGrid w:val="0"/>
        <w:spacing w:before="156" w:beforeLines="50" w:after="50" w:line="440" w:lineRule="exact"/>
        <w:rPr>
          <w:color w:val="auto"/>
          <w:sz w:val="28"/>
          <w:szCs w:val="28"/>
        </w:rPr>
      </w:pPr>
      <w:r>
        <w:rPr>
          <w:color w:val="auto"/>
          <w:sz w:val="28"/>
          <w:szCs w:val="28"/>
        </w:rPr>
        <w:t xml:space="preserve">    我方对被授权人的签名事项负全部责任。</w:t>
      </w:r>
    </w:p>
    <w:p w14:paraId="75977D62">
      <w:pPr>
        <w:snapToGrid w:val="0"/>
        <w:spacing w:before="156" w:beforeLines="50" w:after="50" w:line="440" w:lineRule="exact"/>
        <w:ind w:firstLine="560" w:firstLineChars="200"/>
        <w:rPr>
          <w:color w:val="auto"/>
          <w:sz w:val="28"/>
          <w:szCs w:val="28"/>
        </w:rPr>
      </w:pPr>
      <w:r>
        <w:rPr>
          <w:color w:val="auto"/>
          <w:sz w:val="28"/>
          <w:szCs w:val="28"/>
        </w:rPr>
        <w:t>在撤销授权的书面通知以前，本授权书一直有效。被授权人在授权书有效期内签署的所有文件不因授权的撤销而失效。</w:t>
      </w:r>
    </w:p>
    <w:p w14:paraId="36DAFF8E">
      <w:pPr>
        <w:snapToGrid w:val="0"/>
        <w:spacing w:before="156" w:beforeLines="50" w:after="50" w:line="440" w:lineRule="exact"/>
        <w:ind w:firstLine="560" w:firstLineChars="200"/>
        <w:rPr>
          <w:color w:val="auto"/>
          <w:sz w:val="28"/>
          <w:szCs w:val="28"/>
        </w:rPr>
      </w:pPr>
      <w:r>
        <w:rPr>
          <w:color w:val="auto"/>
          <w:sz w:val="28"/>
          <w:szCs w:val="28"/>
        </w:rPr>
        <w:t>被授权人无转委托权，特此委托。</w:t>
      </w:r>
    </w:p>
    <w:p w14:paraId="1453F401">
      <w:pPr>
        <w:snapToGrid w:val="0"/>
        <w:spacing w:before="156" w:beforeLines="50" w:after="50" w:line="440" w:lineRule="exact"/>
        <w:rPr>
          <w:color w:val="auto"/>
          <w:sz w:val="28"/>
          <w:szCs w:val="28"/>
        </w:rPr>
      </w:pPr>
      <w:r>
        <w:rPr>
          <w:color w:val="auto"/>
          <w:sz w:val="28"/>
          <w:szCs w:val="28"/>
        </w:rPr>
        <w:t>被授权人签字或盖章：</w:t>
      </w:r>
      <w:r>
        <w:rPr>
          <w:color w:val="auto"/>
          <w:sz w:val="28"/>
          <w:szCs w:val="28"/>
          <w:u w:val="single"/>
        </w:rPr>
        <w:t xml:space="preserve">          </w:t>
      </w:r>
      <w:r>
        <w:rPr>
          <w:color w:val="auto"/>
          <w:sz w:val="28"/>
          <w:szCs w:val="28"/>
        </w:rPr>
        <w:t xml:space="preserve">                </w:t>
      </w:r>
    </w:p>
    <w:p w14:paraId="40501CF9">
      <w:pPr>
        <w:snapToGrid w:val="0"/>
        <w:spacing w:before="156" w:beforeLines="50" w:after="50" w:line="440" w:lineRule="exact"/>
        <w:rPr>
          <w:color w:val="auto"/>
          <w:sz w:val="28"/>
          <w:szCs w:val="28"/>
          <w:u w:val="single"/>
        </w:rPr>
      </w:pPr>
      <w:r>
        <w:rPr>
          <w:color w:val="auto"/>
          <w:sz w:val="28"/>
          <w:szCs w:val="28"/>
        </w:rPr>
        <w:t>法定代表人</w:t>
      </w:r>
      <w:r>
        <w:rPr>
          <w:rFonts w:hint="eastAsia"/>
          <w:color w:val="auto"/>
          <w:sz w:val="28"/>
          <w:szCs w:val="28"/>
        </w:rPr>
        <w:t>/负责人/经营者</w:t>
      </w:r>
      <w:r>
        <w:rPr>
          <w:color w:val="auto"/>
          <w:sz w:val="28"/>
          <w:szCs w:val="28"/>
        </w:rPr>
        <w:t>签字或盖章：</w:t>
      </w:r>
      <w:r>
        <w:rPr>
          <w:color w:val="auto"/>
          <w:sz w:val="28"/>
          <w:szCs w:val="28"/>
          <w:u w:val="single"/>
        </w:rPr>
        <w:t xml:space="preserve">          </w:t>
      </w:r>
    </w:p>
    <w:p w14:paraId="1F8C654F">
      <w:pPr>
        <w:snapToGrid w:val="0"/>
        <w:spacing w:before="156" w:beforeLines="50" w:after="50" w:line="440" w:lineRule="exact"/>
        <w:rPr>
          <w:color w:val="auto"/>
          <w:sz w:val="28"/>
          <w:szCs w:val="28"/>
        </w:rPr>
      </w:pPr>
      <w:r>
        <w:rPr>
          <w:color w:val="auto"/>
          <w:sz w:val="28"/>
          <w:szCs w:val="28"/>
        </w:rPr>
        <w:t>职务：</w:t>
      </w:r>
      <w:r>
        <w:rPr>
          <w:color w:val="auto"/>
          <w:sz w:val="28"/>
          <w:szCs w:val="28"/>
          <w:u w:val="single"/>
        </w:rPr>
        <w:t xml:space="preserve">           </w:t>
      </w:r>
      <w:r>
        <w:rPr>
          <w:color w:val="auto"/>
          <w:sz w:val="28"/>
          <w:szCs w:val="28"/>
        </w:rPr>
        <w:t xml:space="preserve">                             </w:t>
      </w:r>
    </w:p>
    <w:p w14:paraId="2F776B47">
      <w:pPr>
        <w:snapToGrid w:val="0"/>
        <w:spacing w:before="156" w:beforeLines="50" w:after="50" w:line="440" w:lineRule="exact"/>
        <w:rPr>
          <w:color w:val="auto"/>
          <w:sz w:val="28"/>
          <w:szCs w:val="28"/>
        </w:rPr>
      </w:pPr>
      <w:r>
        <w:rPr>
          <w:rFonts w:hint="eastAsia"/>
          <w:color w:val="auto"/>
          <w:sz w:val="28"/>
          <w:szCs w:val="28"/>
        </w:rPr>
        <w:t>被授权人联系方式：</w:t>
      </w:r>
      <w:r>
        <w:rPr>
          <w:rFonts w:hint="eastAsia"/>
          <w:color w:val="auto"/>
          <w:sz w:val="28"/>
          <w:szCs w:val="28"/>
          <w:u w:val="single"/>
        </w:rPr>
        <w:t xml:space="preserve"> </w:t>
      </w:r>
      <w:r>
        <w:rPr>
          <w:color w:val="auto"/>
          <w:sz w:val="28"/>
          <w:szCs w:val="28"/>
          <w:u w:val="single"/>
        </w:rPr>
        <w:t xml:space="preserve">                       </w:t>
      </w:r>
      <w:r>
        <w:rPr>
          <w:rFonts w:hint="eastAsia"/>
          <w:color w:val="auto"/>
          <w:sz w:val="28"/>
          <w:szCs w:val="28"/>
        </w:rPr>
        <w:t xml:space="preserve"> </w:t>
      </w:r>
      <w:r>
        <w:rPr>
          <w:color w:val="auto"/>
          <w:sz w:val="28"/>
          <w:szCs w:val="28"/>
        </w:rPr>
        <w:t xml:space="preserve">                  </w:t>
      </w:r>
    </w:p>
    <w:p w14:paraId="24E7D5F3">
      <w:pPr>
        <w:snapToGrid w:val="0"/>
        <w:spacing w:before="156" w:beforeLines="50" w:after="50" w:line="440" w:lineRule="exact"/>
        <w:rPr>
          <w:color w:val="auto"/>
          <w:sz w:val="28"/>
          <w:szCs w:val="28"/>
        </w:rPr>
      </w:pPr>
      <w:r>
        <w:rPr>
          <w:color w:val="auto"/>
          <w:sz w:val="28"/>
          <w:szCs w:val="28"/>
        </w:rPr>
        <w:t>供应商公章：</w:t>
      </w:r>
      <w:r>
        <w:rPr>
          <w:color w:val="auto"/>
          <w:sz w:val="28"/>
          <w:szCs w:val="28"/>
          <w:u w:val="single"/>
        </w:rPr>
        <w:t xml:space="preserve">                </w:t>
      </w:r>
    </w:p>
    <w:p w14:paraId="60B5EEF4">
      <w:pPr>
        <w:snapToGrid w:val="0"/>
        <w:spacing w:before="156" w:beforeLines="50" w:after="50" w:line="440" w:lineRule="exact"/>
        <w:jc w:val="center"/>
        <w:rPr>
          <w:color w:val="auto"/>
          <w:sz w:val="28"/>
          <w:szCs w:val="28"/>
        </w:rPr>
      </w:pPr>
      <w:r>
        <w:rPr>
          <w:color w:val="auto"/>
          <w:sz w:val="28"/>
          <w:szCs w:val="28"/>
        </w:rPr>
        <w:t xml:space="preserve">                                        </w:t>
      </w:r>
    </w:p>
    <w:p w14:paraId="57FDB823">
      <w:pPr>
        <w:snapToGrid w:val="0"/>
        <w:spacing w:before="156" w:beforeLines="50" w:after="50" w:line="440" w:lineRule="exact"/>
        <w:jc w:val="right"/>
        <w:rPr>
          <w:color w:val="auto"/>
          <w:sz w:val="28"/>
          <w:szCs w:val="28"/>
        </w:rPr>
      </w:pPr>
      <w:r>
        <w:rPr>
          <w:color w:val="auto"/>
          <w:sz w:val="28"/>
          <w:szCs w:val="28"/>
        </w:rPr>
        <w:t>年    月    日</w:t>
      </w:r>
    </w:p>
    <w:p w14:paraId="2523ACCD">
      <w:pPr>
        <w:spacing w:line="360" w:lineRule="auto"/>
        <w:rPr>
          <w:color w:val="auto"/>
          <w:sz w:val="28"/>
          <w:szCs w:val="28"/>
        </w:rPr>
      </w:pPr>
      <w:r>
        <w:rPr>
          <w:color w:val="auto"/>
          <w:sz w:val="28"/>
          <w:szCs w:val="28"/>
        </w:rPr>
        <w:t>附件：法定代表人</w:t>
      </w:r>
      <w:r>
        <w:rPr>
          <w:rFonts w:hint="eastAsia"/>
          <w:color w:val="auto"/>
          <w:sz w:val="28"/>
          <w:szCs w:val="28"/>
        </w:rPr>
        <w:t>/负责人/经营者</w:t>
      </w:r>
      <w:r>
        <w:rPr>
          <w:color w:val="auto"/>
          <w:sz w:val="28"/>
          <w:szCs w:val="28"/>
        </w:rPr>
        <w:t>身份证复印件及授权代表身份证复印件</w:t>
      </w:r>
    </w:p>
    <w:p w14:paraId="09C0BF64">
      <w:pPr>
        <w:widowControl w:val="0"/>
        <w:jc w:val="both"/>
        <w:rPr>
          <w:color w:val="auto"/>
        </w:rPr>
      </w:pPr>
    </w:p>
    <w:p w14:paraId="398E4013">
      <w:pPr>
        <w:rPr>
          <w:rFonts w:ascii="华文仿宋" w:hAnsi="华文仿宋" w:eastAsia="华文仿宋" w:cs="华文仿宋"/>
          <w:b/>
          <w:bCs/>
          <w:color w:val="auto"/>
          <w:sz w:val="30"/>
          <w:szCs w:val="30"/>
        </w:rPr>
      </w:pPr>
    </w:p>
    <w:sectPr>
      <w:pgSz w:w="12240" w:h="15840"/>
      <w:pgMar w:top="1440" w:right="1800" w:bottom="1440" w:left="1800" w:header="720" w:footer="720"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6694109"/>
      <w:docPartObj>
        <w:docPartGallery w:val="autotext"/>
      </w:docPartObj>
    </w:sdtPr>
    <w:sdtContent>
      <w:p w14:paraId="2612F319">
        <w:pPr>
          <w:pStyle w:val="4"/>
          <w:jc w:val="center"/>
        </w:pPr>
        <w:r>
          <w:fldChar w:fldCharType="begin"/>
        </w:r>
        <w:r>
          <w:instrText xml:space="preserve">PAGE   \* MERGEFORMAT</w:instrText>
        </w:r>
        <w:r>
          <w:fldChar w:fldCharType="separate"/>
        </w:r>
        <w:r>
          <w:rPr>
            <w:lang w:val="zh-CN"/>
          </w:rPr>
          <w:t>21</w:t>
        </w:r>
        <w:r>
          <w:fldChar w:fldCharType="end"/>
        </w:r>
      </w:p>
    </w:sdtContent>
  </w:sdt>
  <w:p w14:paraId="7029CC1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0ZTg0YjRiYTkzNmU3ZmI2NzI1ZmVhNWViYTRkMGYifQ=="/>
    <w:docVar w:name="KY_MEDREF_DOCUID" w:val="{0C6E8706-3FB9-453B-A870-AB902D193A23}"/>
    <w:docVar w:name="KY_MEDREF_VERSION" w:val="3"/>
  </w:docVars>
  <w:rsids>
    <w:rsidRoot w:val="00172A27"/>
    <w:rsid w:val="00031670"/>
    <w:rsid w:val="00057818"/>
    <w:rsid w:val="000658A2"/>
    <w:rsid w:val="000E01DF"/>
    <w:rsid w:val="00146204"/>
    <w:rsid w:val="0015255B"/>
    <w:rsid w:val="00172A27"/>
    <w:rsid w:val="0019004F"/>
    <w:rsid w:val="001934F9"/>
    <w:rsid w:val="0020599F"/>
    <w:rsid w:val="002252A3"/>
    <w:rsid w:val="00250A05"/>
    <w:rsid w:val="002A4ECC"/>
    <w:rsid w:val="00330225"/>
    <w:rsid w:val="0036428F"/>
    <w:rsid w:val="003A6EB2"/>
    <w:rsid w:val="003D40B9"/>
    <w:rsid w:val="003F09E9"/>
    <w:rsid w:val="00433D2D"/>
    <w:rsid w:val="0044174A"/>
    <w:rsid w:val="00461549"/>
    <w:rsid w:val="004D44E3"/>
    <w:rsid w:val="005A1EC3"/>
    <w:rsid w:val="005C1233"/>
    <w:rsid w:val="005C7F99"/>
    <w:rsid w:val="005E2957"/>
    <w:rsid w:val="005E53A1"/>
    <w:rsid w:val="00610B39"/>
    <w:rsid w:val="0064432B"/>
    <w:rsid w:val="00647285"/>
    <w:rsid w:val="0068335D"/>
    <w:rsid w:val="006D454D"/>
    <w:rsid w:val="006D5D49"/>
    <w:rsid w:val="006E3AEF"/>
    <w:rsid w:val="006F6551"/>
    <w:rsid w:val="0079532A"/>
    <w:rsid w:val="007F7FE0"/>
    <w:rsid w:val="0082472D"/>
    <w:rsid w:val="0084050A"/>
    <w:rsid w:val="0084786F"/>
    <w:rsid w:val="00851EB9"/>
    <w:rsid w:val="008559F8"/>
    <w:rsid w:val="0087560E"/>
    <w:rsid w:val="008E0E57"/>
    <w:rsid w:val="008E30C9"/>
    <w:rsid w:val="009A5198"/>
    <w:rsid w:val="00A04436"/>
    <w:rsid w:val="00A10B63"/>
    <w:rsid w:val="00A64284"/>
    <w:rsid w:val="00A67D2D"/>
    <w:rsid w:val="00A81344"/>
    <w:rsid w:val="00A82D03"/>
    <w:rsid w:val="00AE6D11"/>
    <w:rsid w:val="00B05C77"/>
    <w:rsid w:val="00B51D80"/>
    <w:rsid w:val="00B71126"/>
    <w:rsid w:val="00B76409"/>
    <w:rsid w:val="00BD193E"/>
    <w:rsid w:val="00C22906"/>
    <w:rsid w:val="00C419E3"/>
    <w:rsid w:val="00C70B1D"/>
    <w:rsid w:val="00C75ADA"/>
    <w:rsid w:val="00CB17C2"/>
    <w:rsid w:val="00CE1FEC"/>
    <w:rsid w:val="00D2120C"/>
    <w:rsid w:val="00D67AD3"/>
    <w:rsid w:val="00E068FE"/>
    <w:rsid w:val="00E2347F"/>
    <w:rsid w:val="00E62D2B"/>
    <w:rsid w:val="00EA3041"/>
    <w:rsid w:val="00EA7B7A"/>
    <w:rsid w:val="00ED3689"/>
    <w:rsid w:val="00F01006"/>
    <w:rsid w:val="00F30FDD"/>
    <w:rsid w:val="00F41CC9"/>
    <w:rsid w:val="00F50939"/>
    <w:rsid w:val="00F76560"/>
    <w:rsid w:val="00FA1233"/>
    <w:rsid w:val="00FA289A"/>
    <w:rsid w:val="01224F17"/>
    <w:rsid w:val="02BE4815"/>
    <w:rsid w:val="02C95F7F"/>
    <w:rsid w:val="045D1075"/>
    <w:rsid w:val="04682B0C"/>
    <w:rsid w:val="04763EE5"/>
    <w:rsid w:val="06B62CBE"/>
    <w:rsid w:val="078E4F23"/>
    <w:rsid w:val="07C829A7"/>
    <w:rsid w:val="07E16E8F"/>
    <w:rsid w:val="07E51AAD"/>
    <w:rsid w:val="080C703A"/>
    <w:rsid w:val="08490E71"/>
    <w:rsid w:val="08732C15"/>
    <w:rsid w:val="087D62E7"/>
    <w:rsid w:val="08BA6A96"/>
    <w:rsid w:val="09250F35"/>
    <w:rsid w:val="093839C4"/>
    <w:rsid w:val="099460FC"/>
    <w:rsid w:val="09BE2F17"/>
    <w:rsid w:val="09E40882"/>
    <w:rsid w:val="0A200B7B"/>
    <w:rsid w:val="0A2763AD"/>
    <w:rsid w:val="0A9005FD"/>
    <w:rsid w:val="0A92134D"/>
    <w:rsid w:val="0B6131F9"/>
    <w:rsid w:val="0B705A4D"/>
    <w:rsid w:val="0C775E6E"/>
    <w:rsid w:val="0C78603B"/>
    <w:rsid w:val="0CF53FEE"/>
    <w:rsid w:val="0D223979"/>
    <w:rsid w:val="0D4238C6"/>
    <w:rsid w:val="0D6E4C24"/>
    <w:rsid w:val="0D8B0A01"/>
    <w:rsid w:val="0DBF4B4E"/>
    <w:rsid w:val="0E8C2C83"/>
    <w:rsid w:val="0F362BEE"/>
    <w:rsid w:val="10142F30"/>
    <w:rsid w:val="10B95885"/>
    <w:rsid w:val="11567578"/>
    <w:rsid w:val="11A2456B"/>
    <w:rsid w:val="11D16BFE"/>
    <w:rsid w:val="11DE17C5"/>
    <w:rsid w:val="129842F6"/>
    <w:rsid w:val="12C34799"/>
    <w:rsid w:val="12F42BA4"/>
    <w:rsid w:val="131D5575"/>
    <w:rsid w:val="133C3ECD"/>
    <w:rsid w:val="137361BF"/>
    <w:rsid w:val="14342437"/>
    <w:rsid w:val="143937F8"/>
    <w:rsid w:val="1517701E"/>
    <w:rsid w:val="15756982"/>
    <w:rsid w:val="15AC4F41"/>
    <w:rsid w:val="16027CCE"/>
    <w:rsid w:val="162121A7"/>
    <w:rsid w:val="16221F14"/>
    <w:rsid w:val="16CA07EC"/>
    <w:rsid w:val="16ED3722"/>
    <w:rsid w:val="16FA3AC4"/>
    <w:rsid w:val="1766674B"/>
    <w:rsid w:val="197E74EA"/>
    <w:rsid w:val="19AD1CFF"/>
    <w:rsid w:val="19F526F6"/>
    <w:rsid w:val="1A2521DD"/>
    <w:rsid w:val="1A341E1A"/>
    <w:rsid w:val="1CD203FA"/>
    <w:rsid w:val="1DBE53DD"/>
    <w:rsid w:val="1E71003C"/>
    <w:rsid w:val="1F2C3EF8"/>
    <w:rsid w:val="1F463048"/>
    <w:rsid w:val="1F736C40"/>
    <w:rsid w:val="1FD735D7"/>
    <w:rsid w:val="207E78EB"/>
    <w:rsid w:val="209D487B"/>
    <w:rsid w:val="20CC2A8C"/>
    <w:rsid w:val="21154D5A"/>
    <w:rsid w:val="21306B2C"/>
    <w:rsid w:val="213336C0"/>
    <w:rsid w:val="21D73405"/>
    <w:rsid w:val="222C235B"/>
    <w:rsid w:val="2265761B"/>
    <w:rsid w:val="22781C3A"/>
    <w:rsid w:val="22AD0EC4"/>
    <w:rsid w:val="23386ADD"/>
    <w:rsid w:val="2355492B"/>
    <w:rsid w:val="236560B4"/>
    <w:rsid w:val="240101C7"/>
    <w:rsid w:val="257C5E42"/>
    <w:rsid w:val="261D4F62"/>
    <w:rsid w:val="26976211"/>
    <w:rsid w:val="27947AD3"/>
    <w:rsid w:val="286B525F"/>
    <w:rsid w:val="28E55011"/>
    <w:rsid w:val="28EB3E24"/>
    <w:rsid w:val="29AA4C0C"/>
    <w:rsid w:val="29BE3A59"/>
    <w:rsid w:val="29FF2103"/>
    <w:rsid w:val="2A5B633A"/>
    <w:rsid w:val="2AF61758"/>
    <w:rsid w:val="2B033E75"/>
    <w:rsid w:val="2B116592"/>
    <w:rsid w:val="2BC76515"/>
    <w:rsid w:val="2C8A5E7D"/>
    <w:rsid w:val="2CAB47C4"/>
    <w:rsid w:val="2E3D0F10"/>
    <w:rsid w:val="2E56554D"/>
    <w:rsid w:val="2EE8585B"/>
    <w:rsid w:val="2FC107F7"/>
    <w:rsid w:val="309B0E9B"/>
    <w:rsid w:val="30EB1633"/>
    <w:rsid w:val="31803D31"/>
    <w:rsid w:val="31843ACD"/>
    <w:rsid w:val="32894835"/>
    <w:rsid w:val="32994DFC"/>
    <w:rsid w:val="32CC0B42"/>
    <w:rsid w:val="33F22CD8"/>
    <w:rsid w:val="34313801"/>
    <w:rsid w:val="345130BC"/>
    <w:rsid w:val="34FD36E3"/>
    <w:rsid w:val="36E92171"/>
    <w:rsid w:val="36F31241"/>
    <w:rsid w:val="36FA4EBE"/>
    <w:rsid w:val="36FC5408"/>
    <w:rsid w:val="37E42AA8"/>
    <w:rsid w:val="38C00F91"/>
    <w:rsid w:val="38D65544"/>
    <w:rsid w:val="397A17A6"/>
    <w:rsid w:val="39A513E6"/>
    <w:rsid w:val="39A76050"/>
    <w:rsid w:val="39E1611C"/>
    <w:rsid w:val="3A614714"/>
    <w:rsid w:val="3BA24FE4"/>
    <w:rsid w:val="3CE84C78"/>
    <w:rsid w:val="3D420661"/>
    <w:rsid w:val="3D600919"/>
    <w:rsid w:val="3DAB1D87"/>
    <w:rsid w:val="3E725142"/>
    <w:rsid w:val="3E8804C1"/>
    <w:rsid w:val="3F5D36FC"/>
    <w:rsid w:val="41452AE6"/>
    <w:rsid w:val="41686C78"/>
    <w:rsid w:val="421E0D0D"/>
    <w:rsid w:val="42EB3A98"/>
    <w:rsid w:val="43F20B13"/>
    <w:rsid w:val="44074B2F"/>
    <w:rsid w:val="443F00B4"/>
    <w:rsid w:val="444924A1"/>
    <w:rsid w:val="44AE033C"/>
    <w:rsid w:val="44C85802"/>
    <w:rsid w:val="450833F1"/>
    <w:rsid w:val="456E2FCD"/>
    <w:rsid w:val="45B147A1"/>
    <w:rsid w:val="46F968A0"/>
    <w:rsid w:val="47B978D1"/>
    <w:rsid w:val="47E50E66"/>
    <w:rsid w:val="490B4F15"/>
    <w:rsid w:val="4985107A"/>
    <w:rsid w:val="49EB7964"/>
    <w:rsid w:val="4A4E3491"/>
    <w:rsid w:val="4B5B5A0E"/>
    <w:rsid w:val="4B9E1324"/>
    <w:rsid w:val="4BB90F1C"/>
    <w:rsid w:val="4C2E1366"/>
    <w:rsid w:val="4C850BA9"/>
    <w:rsid w:val="4CD668B9"/>
    <w:rsid w:val="4CE76CFB"/>
    <w:rsid w:val="4D5E0C18"/>
    <w:rsid w:val="4D695D18"/>
    <w:rsid w:val="4D7E259D"/>
    <w:rsid w:val="4D9227B4"/>
    <w:rsid w:val="4E916F1E"/>
    <w:rsid w:val="4F884681"/>
    <w:rsid w:val="4FC13833"/>
    <w:rsid w:val="4FD712A8"/>
    <w:rsid w:val="503A29A1"/>
    <w:rsid w:val="509E1DC6"/>
    <w:rsid w:val="514A1085"/>
    <w:rsid w:val="51A96DC6"/>
    <w:rsid w:val="52480EDC"/>
    <w:rsid w:val="52846D9A"/>
    <w:rsid w:val="529945F3"/>
    <w:rsid w:val="52BA5B12"/>
    <w:rsid w:val="5334167F"/>
    <w:rsid w:val="5373753A"/>
    <w:rsid w:val="53BE2C85"/>
    <w:rsid w:val="53C51418"/>
    <w:rsid w:val="54752E3E"/>
    <w:rsid w:val="54A76CD6"/>
    <w:rsid w:val="54E63D4B"/>
    <w:rsid w:val="552D6D78"/>
    <w:rsid w:val="55A04E92"/>
    <w:rsid w:val="567D422C"/>
    <w:rsid w:val="569C1A6D"/>
    <w:rsid w:val="570575B2"/>
    <w:rsid w:val="57D9465D"/>
    <w:rsid w:val="57FA3D2B"/>
    <w:rsid w:val="58450358"/>
    <w:rsid w:val="59B83EF9"/>
    <w:rsid w:val="5ADB679D"/>
    <w:rsid w:val="5C0276AD"/>
    <w:rsid w:val="5C6B34A4"/>
    <w:rsid w:val="5CB52971"/>
    <w:rsid w:val="5D830187"/>
    <w:rsid w:val="5E65736D"/>
    <w:rsid w:val="5EDA34A5"/>
    <w:rsid w:val="5EE65AE5"/>
    <w:rsid w:val="5F73441E"/>
    <w:rsid w:val="5F7E4FF2"/>
    <w:rsid w:val="5FC80D73"/>
    <w:rsid w:val="5FEA7E9A"/>
    <w:rsid w:val="60591F63"/>
    <w:rsid w:val="611D55C8"/>
    <w:rsid w:val="618B1EF3"/>
    <w:rsid w:val="61F86EDD"/>
    <w:rsid w:val="62A3118E"/>
    <w:rsid w:val="62AC0373"/>
    <w:rsid w:val="638504FB"/>
    <w:rsid w:val="639A2956"/>
    <w:rsid w:val="63F15CD8"/>
    <w:rsid w:val="6476379D"/>
    <w:rsid w:val="653D1229"/>
    <w:rsid w:val="655953AC"/>
    <w:rsid w:val="65AB4101"/>
    <w:rsid w:val="65D33E68"/>
    <w:rsid w:val="65ED5196"/>
    <w:rsid w:val="66077757"/>
    <w:rsid w:val="663743F7"/>
    <w:rsid w:val="681A25D9"/>
    <w:rsid w:val="683C3F47"/>
    <w:rsid w:val="68755BBC"/>
    <w:rsid w:val="69075A20"/>
    <w:rsid w:val="691B1A32"/>
    <w:rsid w:val="695A1195"/>
    <w:rsid w:val="697B2927"/>
    <w:rsid w:val="69D837FB"/>
    <w:rsid w:val="69ED5FFF"/>
    <w:rsid w:val="6A1A6FB4"/>
    <w:rsid w:val="6A696B49"/>
    <w:rsid w:val="6B286A04"/>
    <w:rsid w:val="6B517D09"/>
    <w:rsid w:val="6B777044"/>
    <w:rsid w:val="6B7A54DD"/>
    <w:rsid w:val="6C4D6722"/>
    <w:rsid w:val="6C7E573D"/>
    <w:rsid w:val="6CED3A62"/>
    <w:rsid w:val="6D68758C"/>
    <w:rsid w:val="6D911005"/>
    <w:rsid w:val="6DDF3FAC"/>
    <w:rsid w:val="6E594D8A"/>
    <w:rsid w:val="6EA72431"/>
    <w:rsid w:val="6EC73686"/>
    <w:rsid w:val="6EEA46FD"/>
    <w:rsid w:val="6F3C482C"/>
    <w:rsid w:val="6F751AEC"/>
    <w:rsid w:val="6FB72105"/>
    <w:rsid w:val="6FD809F9"/>
    <w:rsid w:val="70387D12"/>
    <w:rsid w:val="704C6CF1"/>
    <w:rsid w:val="704E2A69"/>
    <w:rsid w:val="70826BD9"/>
    <w:rsid w:val="709B1F29"/>
    <w:rsid w:val="713813FC"/>
    <w:rsid w:val="713A2F60"/>
    <w:rsid w:val="71BE5325"/>
    <w:rsid w:val="72FD6E68"/>
    <w:rsid w:val="73440153"/>
    <w:rsid w:val="736914F9"/>
    <w:rsid w:val="747849CB"/>
    <w:rsid w:val="74DE764A"/>
    <w:rsid w:val="75617D8B"/>
    <w:rsid w:val="75AE657E"/>
    <w:rsid w:val="76466581"/>
    <w:rsid w:val="768B7998"/>
    <w:rsid w:val="76EC4D41"/>
    <w:rsid w:val="778B45A3"/>
    <w:rsid w:val="7840713B"/>
    <w:rsid w:val="785D7ACB"/>
    <w:rsid w:val="78C37A74"/>
    <w:rsid w:val="79370B5F"/>
    <w:rsid w:val="79980191"/>
    <w:rsid w:val="7AF76077"/>
    <w:rsid w:val="7BBF481B"/>
    <w:rsid w:val="7BD656E5"/>
    <w:rsid w:val="7C9061B7"/>
    <w:rsid w:val="7CA73F09"/>
    <w:rsid w:val="7D932B97"/>
    <w:rsid w:val="7D9341A0"/>
    <w:rsid w:val="7DB578F5"/>
    <w:rsid w:val="7DBB00AE"/>
    <w:rsid w:val="7E2B6198"/>
    <w:rsid w:val="7E733F48"/>
    <w:rsid w:val="7E9B3EB9"/>
    <w:rsid w:val="7E9E4763"/>
    <w:rsid w:val="7F144349"/>
    <w:rsid w:val="7F913D8E"/>
    <w:rsid w:val="7FE24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spacing w:beforeAutospacing="1" w:afterAutospacing="1"/>
      <w:outlineLvl w:val="0"/>
    </w:pPr>
    <w:rPr>
      <w:rFonts w:hint="eastAsia"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next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Message Header"/>
    <w:basedOn w:val="1"/>
    <w:link w:val="17"/>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character" w:styleId="9">
    <w:name w:val="annotation reference"/>
    <w:basedOn w:val="8"/>
    <w:semiHidden/>
    <w:unhideWhenUsed/>
    <w:qFormat/>
    <w:uiPriority w:val="99"/>
    <w:rPr>
      <w:sz w:val="21"/>
      <w:szCs w:val="21"/>
    </w:rPr>
  </w:style>
  <w:style w:type="character" w:customStyle="1" w:styleId="10">
    <w:name w:val="批注框文本 字符"/>
    <w:basedOn w:val="8"/>
    <w:link w:val="3"/>
    <w:semiHidden/>
    <w:qFormat/>
    <w:uiPriority w:val="99"/>
    <w:rPr>
      <w:rFonts w:ascii="宋体" w:hAnsi="宋体" w:eastAsia="宋体" w:cs="宋体"/>
      <w:sz w:val="18"/>
      <w:szCs w:val="18"/>
    </w:rPr>
  </w:style>
  <w:style w:type="character" w:customStyle="1" w:styleId="11">
    <w:name w:val="页眉 字符"/>
    <w:basedOn w:val="8"/>
    <w:link w:val="5"/>
    <w:qFormat/>
    <w:uiPriority w:val="99"/>
    <w:rPr>
      <w:rFonts w:ascii="宋体" w:hAnsi="宋体" w:eastAsia="宋体" w:cs="宋体"/>
      <w:sz w:val="18"/>
      <w:szCs w:val="18"/>
    </w:rPr>
  </w:style>
  <w:style w:type="character" w:customStyle="1" w:styleId="12">
    <w:name w:val="页脚 字符"/>
    <w:basedOn w:val="8"/>
    <w:link w:val="4"/>
    <w:qFormat/>
    <w:uiPriority w:val="99"/>
    <w:rPr>
      <w:rFonts w:ascii="宋体" w:hAnsi="宋体" w:eastAsia="宋体" w:cs="宋体"/>
      <w:sz w:val="18"/>
      <w:szCs w:val="18"/>
    </w:rPr>
  </w:style>
  <w:style w:type="paragraph" w:styleId="13">
    <w:name w:val="List Paragraph"/>
    <w:basedOn w:val="1"/>
    <w:qFormat/>
    <w:uiPriority w:val="99"/>
    <w:pPr>
      <w:ind w:firstLine="420" w:firstLineChars="200"/>
    </w:pPr>
  </w:style>
  <w:style w:type="paragraph" w:customStyle="1" w:styleId="14">
    <w:name w:val="msolistparagraph"/>
    <w:basedOn w:val="1"/>
    <w:qFormat/>
    <w:uiPriority w:val="0"/>
    <w:pPr>
      <w:widowControl w:val="0"/>
      <w:ind w:firstLine="420" w:firstLineChars="200"/>
      <w:jc w:val="both"/>
    </w:pPr>
    <w:rPr>
      <w:rFonts w:ascii="Times New Roman" w:hAnsi="Times New Roman" w:cs="Times New Roman"/>
      <w:kern w:val="2"/>
      <w:sz w:val="21"/>
    </w:rPr>
  </w:style>
  <w:style w:type="paragraph" w:customStyle="1" w:styleId="15">
    <w:name w:val="Default"/>
    <w:basedOn w:val="1"/>
    <w:qFormat/>
    <w:uiPriority w:val="0"/>
    <w:pPr>
      <w:widowControl w:val="0"/>
      <w:autoSpaceDE w:val="0"/>
      <w:autoSpaceDN w:val="0"/>
      <w:adjustRightInd w:val="0"/>
    </w:pPr>
    <w:rPr>
      <w:rFonts w:ascii="Times New Roman" w:hAnsi="Times New Roman" w:cs="Times New Roman"/>
      <w:color w:val="000000"/>
    </w:rPr>
  </w:style>
  <w:style w:type="character" w:customStyle="1" w:styleId="16">
    <w:name w:val="列出段落 字符"/>
    <w:basedOn w:val="8"/>
    <w:qFormat/>
    <w:uiPriority w:val="0"/>
    <w:rPr>
      <w:kern w:val="2"/>
      <w:sz w:val="21"/>
      <w:szCs w:val="24"/>
    </w:rPr>
  </w:style>
  <w:style w:type="character" w:customStyle="1" w:styleId="17">
    <w:name w:val="信息标题 字符"/>
    <w:basedOn w:val="8"/>
    <w:link w:val="6"/>
    <w:qFormat/>
    <w:uiPriority w:val="0"/>
    <w:rPr>
      <w:rFonts w:ascii="Calibri Light" w:hAnsi="Calibri Light" w:eastAsia="宋体" w:cs="Times New Roman"/>
      <w:kern w:val="2"/>
      <w:sz w:val="24"/>
      <w:szCs w:val="24"/>
      <w:shd w:val="pct20"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11612</Words>
  <Characters>12518</Characters>
  <Lines>100</Lines>
  <Paragraphs>28</Paragraphs>
  <TotalTime>7</TotalTime>
  <ScaleCrop>false</ScaleCrop>
  <LinksUpToDate>false</LinksUpToDate>
  <CharactersWithSpaces>12914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2021-01-10T13:09:00Z</dcterms:created>
  <dc:creator>lenovo</dc:creator>
  <cp:lastModifiedBy>Fairy Tail</cp:lastModifiedBy>
  <dcterms:modified xsi:type="dcterms:W3CDTF">2026-06-04T04:26:51Z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879C8CD7F5F54377BC3503F9EE17CF83</vt:lpwstr>
  </property>
  <property fmtid="{D5CDD505-2E9C-101B-9397-08002B2CF9AE}" pid="4" name="KSOTemplateDocerSaveRecord">
    <vt:lpwstr>eyJoZGlkIjoiOTc1OWVmNzhlNTA1ZDRiNjI4Y2RhOGNlNTdiN2UxODIiLCJ1c2VySWQiOiIxMjE0NDc4OTY0In0=</vt:lpwstr>
  </property>
</Properties>
</file>