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E886C">
      <w:pPr>
        <w:jc w:val="center"/>
        <w:outlineLvl w:val="0"/>
        <w:rPr>
          <w:rFonts w:hint="default" w:ascii="Times New Roman" w:hAnsi="Times New Roman" w:cs="Times New Roman"/>
          <w:b/>
          <w:color w:val="auto"/>
          <w:sz w:val="44"/>
          <w:szCs w:val="44"/>
          <w:u w:val="none"/>
        </w:rPr>
      </w:pPr>
      <w:bookmarkStart w:id="0" w:name="_Toc19405"/>
      <w:bookmarkStart w:id="1" w:name="_Toc24971"/>
      <w:bookmarkStart w:id="2" w:name="_Toc20637"/>
      <w:r>
        <w:rPr>
          <w:rFonts w:hint="default" w:ascii="Times New Roman" w:hAnsi="Times New Roman" w:cs="Times New Roman"/>
          <w:b/>
          <w:bCs w:val="0"/>
          <w:color w:val="auto"/>
          <w:sz w:val="32"/>
          <w:szCs w:val="32"/>
          <w:u w:val="none"/>
        </w:rPr>
        <w:t>临时办公设备和电脑组件及打印机耗材</w:t>
      </w:r>
      <w:r>
        <w:rPr>
          <w:rFonts w:hint="default" w:ascii="Times New Roman" w:hAnsi="Times New Roman" w:cs="Times New Roman"/>
          <w:b/>
          <w:color w:val="auto"/>
          <w:sz w:val="32"/>
          <w:szCs w:val="32"/>
          <w:u w:val="none"/>
        </w:rPr>
        <w:t>技术参数</w:t>
      </w:r>
      <w:r>
        <w:rPr>
          <w:rFonts w:hint="default" w:ascii="Times New Roman" w:hAnsi="Times New Roman" w:cs="Times New Roman"/>
          <w:b/>
          <w:color w:val="auto"/>
          <w:sz w:val="32"/>
          <w:szCs w:val="32"/>
          <w:u w:val="none"/>
          <w:lang w:val="en-US" w:eastAsia="zh-CN"/>
        </w:rPr>
        <w:t>及商务</w:t>
      </w:r>
      <w:r>
        <w:rPr>
          <w:rFonts w:hint="default" w:ascii="Times New Roman" w:hAnsi="Times New Roman" w:cs="Times New Roman"/>
          <w:b/>
          <w:color w:val="auto"/>
          <w:sz w:val="32"/>
          <w:szCs w:val="32"/>
          <w:u w:val="none"/>
        </w:rPr>
        <w:t>需求表</w:t>
      </w:r>
      <w:bookmarkEnd w:id="0"/>
      <w:bookmarkEnd w:id="1"/>
      <w:bookmarkEnd w:id="2"/>
    </w:p>
    <w:p w14:paraId="29754F38">
      <w:pPr>
        <w:spacing w:line="500" w:lineRule="exact"/>
        <w:ind w:left="-567" w:leftChars="-270"/>
        <w:rPr>
          <w:rFonts w:hint="default" w:ascii="Times New Roman" w:hAnsi="Times New Roman" w:cs="Times New Roman" w:eastAsiaTheme="minorEastAsia"/>
          <w:color w:val="auto"/>
          <w:sz w:val="28"/>
          <w:szCs w:val="28"/>
          <w:u w:val="none"/>
          <w:lang w:val="en-US" w:eastAsia="zh-CN"/>
        </w:rPr>
      </w:pPr>
      <w:r>
        <w:rPr>
          <w:rFonts w:ascii="Times New Roman" w:hAnsi="Times New Roman" w:eastAsia="宋体"/>
          <w:b w:val="0"/>
          <w:sz w:val="28"/>
        </w:rPr>
        <w:t>提交时间：2026年</w:t>
      </w:r>
      <w:r>
        <w:rPr>
          <w:rFonts w:hint="eastAsia" w:ascii="Times New Roman" w:hAnsi="Times New Roman" w:eastAsia="宋体"/>
          <w:b w:val="0"/>
          <w:sz w:val="28"/>
          <w:lang w:val="en-US" w:eastAsia="zh-CN"/>
        </w:rPr>
        <w:t>5</w:t>
      </w:r>
      <w:r>
        <w:rPr>
          <w:rFonts w:ascii="Times New Roman" w:hAnsi="Times New Roman" w:eastAsia="宋体"/>
          <w:b w:val="0"/>
          <w:sz w:val="28"/>
        </w:rPr>
        <w:t>月</w:t>
      </w:r>
      <w:r>
        <w:rPr>
          <w:rFonts w:hint="eastAsia" w:ascii="Times New Roman" w:hAnsi="Times New Roman" w:eastAsia="宋体"/>
          <w:b w:val="0"/>
          <w:sz w:val="28"/>
          <w:lang w:val="en-US" w:eastAsia="zh-CN"/>
        </w:rPr>
        <w:t>18</w:t>
      </w:r>
      <w:r>
        <w:rPr>
          <w:rFonts w:ascii="Times New Roman" w:hAnsi="Times New Roman" w:eastAsia="宋体"/>
          <w:b w:val="0"/>
          <w:sz w:val="28"/>
        </w:rPr>
        <w:t>日</w:t>
      </w:r>
    </w:p>
    <w:tbl>
      <w:tblPr>
        <w:tblStyle w:val="12"/>
        <w:tblW w:w="928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693"/>
        <w:gridCol w:w="1101"/>
        <w:gridCol w:w="945"/>
        <w:gridCol w:w="1545"/>
        <w:gridCol w:w="1650"/>
        <w:gridCol w:w="1848"/>
      </w:tblGrid>
      <w:tr w14:paraId="05DF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14:paraId="3AD2FD54">
            <w:pPr>
              <w:spacing w:line="500" w:lineRule="exact"/>
              <w:jc w:val="center"/>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申请科室</w:t>
            </w:r>
          </w:p>
        </w:tc>
        <w:tc>
          <w:tcPr>
            <w:tcW w:w="2739" w:type="dxa"/>
            <w:gridSpan w:val="3"/>
            <w:vAlign w:val="center"/>
          </w:tcPr>
          <w:p w14:paraId="49647C85">
            <w:pPr>
              <w:spacing w:line="500" w:lineRule="exact"/>
              <w:jc w:val="center"/>
              <w:rPr>
                <w:rFonts w:hint="default" w:ascii="Times New Roman" w:hAnsi="Times New Roman" w:cs="Times New Roman" w:eastAsiaTheme="minorEastAsia"/>
                <w:color w:val="auto"/>
                <w:sz w:val="28"/>
                <w:szCs w:val="28"/>
                <w:u w:val="none"/>
                <w:lang w:val="en-US" w:eastAsia="zh-CN"/>
              </w:rPr>
            </w:pPr>
            <w:r>
              <w:rPr>
                <w:rFonts w:hint="eastAsia" w:ascii="Times New Roman" w:hAnsi="Times New Roman" w:cs="Times New Roman"/>
                <w:color w:val="auto"/>
                <w:sz w:val="28"/>
                <w:szCs w:val="28"/>
                <w:u w:val="none"/>
                <w:lang w:val="en-US" w:eastAsia="zh-CN"/>
              </w:rPr>
              <w:t>对外交流合作部</w:t>
            </w:r>
          </w:p>
        </w:tc>
        <w:tc>
          <w:tcPr>
            <w:tcW w:w="1545" w:type="dxa"/>
            <w:vAlign w:val="center"/>
          </w:tcPr>
          <w:p w14:paraId="034A80E8">
            <w:pPr>
              <w:spacing w:line="500" w:lineRule="exact"/>
              <w:jc w:val="center"/>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设备名称</w:t>
            </w:r>
          </w:p>
        </w:tc>
        <w:tc>
          <w:tcPr>
            <w:tcW w:w="3498" w:type="dxa"/>
            <w:gridSpan w:val="2"/>
            <w:vAlign w:val="center"/>
          </w:tcPr>
          <w:p w14:paraId="2B5E28B3">
            <w:pPr>
              <w:spacing w:after="0" w:line="264" w:lineRule="auto"/>
              <w:jc w:val="center"/>
            </w:pPr>
            <w:r>
              <w:rPr>
                <w:rFonts w:ascii="Times New Roman" w:hAnsi="Times New Roman" w:eastAsia="宋体"/>
                <w:b w:val="0"/>
                <w:sz w:val="28"/>
              </w:rPr>
              <w:t>显示器</w:t>
            </w:r>
          </w:p>
        </w:tc>
      </w:tr>
      <w:tr w14:paraId="08B1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14:paraId="6116BF9A">
            <w:pPr>
              <w:spacing w:line="500" w:lineRule="exact"/>
              <w:jc w:val="center"/>
              <w:rPr>
                <w:rFonts w:hint="eastAsia" w:ascii="Times New Roman" w:hAnsi="Times New Roman" w:cs="Times New Roman" w:eastAsiaTheme="minorEastAsia"/>
                <w:color w:val="auto"/>
                <w:sz w:val="28"/>
                <w:szCs w:val="28"/>
                <w:u w:val="none"/>
                <w:lang w:eastAsia="zh-CN"/>
              </w:rPr>
            </w:pPr>
            <w:r>
              <w:rPr>
                <w:rFonts w:hint="default" w:ascii="Times New Roman" w:hAnsi="Times New Roman" w:cs="Times New Roman"/>
                <w:color w:val="auto"/>
                <w:sz w:val="28"/>
                <w:szCs w:val="28"/>
                <w:u w:val="none"/>
              </w:rPr>
              <w:t>预算单价</w:t>
            </w:r>
            <w:r>
              <w:rPr>
                <w:rFonts w:hint="eastAsia" w:ascii="Times New Roman" w:hAnsi="Times New Roman" w:cs="Times New Roman"/>
                <w:color w:val="auto"/>
                <w:sz w:val="28"/>
                <w:szCs w:val="28"/>
                <w:u w:val="none"/>
                <w:lang w:eastAsia="zh-CN"/>
              </w:rPr>
              <w:t>（</w:t>
            </w:r>
            <w:r>
              <w:rPr>
                <w:rFonts w:hint="eastAsia" w:ascii="Times New Roman" w:hAnsi="Times New Roman" w:cs="Times New Roman"/>
                <w:color w:val="auto"/>
                <w:sz w:val="28"/>
                <w:szCs w:val="28"/>
                <w:u w:val="none"/>
                <w:lang w:val="en-US" w:eastAsia="zh-CN"/>
              </w:rPr>
              <w:t>万元</w:t>
            </w:r>
            <w:r>
              <w:rPr>
                <w:rFonts w:hint="eastAsia" w:ascii="Times New Roman" w:hAnsi="Times New Roman" w:cs="Times New Roman"/>
                <w:color w:val="auto"/>
                <w:sz w:val="28"/>
                <w:szCs w:val="28"/>
                <w:u w:val="none"/>
                <w:lang w:eastAsia="zh-CN"/>
              </w:rPr>
              <w:t>）</w:t>
            </w:r>
          </w:p>
        </w:tc>
        <w:tc>
          <w:tcPr>
            <w:tcW w:w="1794" w:type="dxa"/>
            <w:gridSpan w:val="2"/>
            <w:vAlign w:val="center"/>
          </w:tcPr>
          <w:p w14:paraId="66E2FFEB">
            <w:pPr>
              <w:spacing w:after="0" w:line="264" w:lineRule="auto"/>
              <w:jc w:val="center"/>
            </w:pPr>
            <w:r>
              <w:rPr>
                <w:rFonts w:ascii="Times New Roman" w:hAnsi="Times New Roman" w:eastAsia="宋体"/>
                <w:b w:val="0"/>
                <w:sz w:val="28"/>
              </w:rPr>
              <w:t>0.055</w:t>
            </w:r>
          </w:p>
        </w:tc>
        <w:tc>
          <w:tcPr>
            <w:tcW w:w="945" w:type="dxa"/>
            <w:vAlign w:val="center"/>
          </w:tcPr>
          <w:p w14:paraId="22BC79FF">
            <w:pPr>
              <w:spacing w:line="500" w:lineRule="exact"/>
              <w:jc w:val="center"/>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数量</w:t>
            </w:r>
          </w:p>
        </w:tc>
        <w:tc>
          <w:tcPr>
            <w:tcW w:w="1545" w:type="dxa"/>
            <w:vAlign w:val="center"/>
          </w:tcPr>
          <w:p w14:paraId="039A84BC">
            <w:pPr>
              <w:spacing w:after="0" w:line="264" w:lineRule="auto"/>
              <w:jc w:val="center"/>
            </w:pPr>
            <w:r>
              <w:rPr>
                <w:rFonts w:ascii="Times New Roman" w:hAnsi="Times New Roman" w:eastAsia="宋体"/>
                <w:b w:val="0"/>
                <w:sz w:val="28"/>
              </w:rPr>
              <w:t>1</w:t>
            </w:r>
          </w:p>
        </w:tc>
        <w:tc>
          <w:tcPr>
            <w:tcW w:w="1650" w:type="dxa"/>
            <w:vAlign w:val="center"/>
          </w:tcPr>
          <w:p w14:paraId="66442B10">
            <w:pPr>
              <w:spacing w:line="500" w:lineRule="exact"/>
              <w:jc w:val="center"/>
              <w:rPr>
                <w:rFonts w:hint="default" w:ascii="Times New Roman" w:hAnsi="Times New Roman" w:cs="Times New Roman" w:eastAsiaTheme="minorEastAsia"/>
                <w:color w:val="auto"/>
                <w:sz w:val="28"/>
                <w:szCs w:val="28"/>
                <w:u w:val="none"/>
                <w:lang w:val="en-US" w:eastAsia="zh-CN"/>
              </w:rPr>
            </w:pPr>
            <w:r>
              <w:rPr>
                <w:rFonts w:hint="eastAsia" w:ascii="Times New Roman" w:hAnsi="Times New Roman" w:cs="Times New Roman"/>
                <w:color w:val="auto"/>
                <w:sz w:val="28"/>
                <w:szCs w:val="28"/>
                <w:u w:val="none"/>
                <w:lang w:val="en-US" w:eastAsia="zh-CN"/>
              </w:rPr>
              <w:t>预算金额（万元）</w:t>
            </w:r>
          </w:p>
        </w:tc>
        <w:tc>
          <w:tcPr>
            <w:tcW w:w="1848" w:type="dxa"/>
            <w:vAlign w:val="center"/>
          </w:tcPr>
          <w:p w14:paraId="5D61501F">
            <w:pPr>
              <w:spacing w:after="0" w:line="264" w:lineRule="auto"/>
              <w:jc w:val="center"/>
            </w:pPr>
            <w:r>
              <w:rPr>
                <w:rFonts w:ascii="Times New Roman" w:hAnsi="Times New Roman" w:eastAsia="宋体"/>
                <w:b w:val="0"/>
                <w:sz w:val="28"/>
              </w:rPr>
              <w:t>0.055</w:t>
            </w:r>
          </w:p>
        </w:tc>
      </w:tr>
      <w:tr w14:paraId="6864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7"/>
            <w:vAlign w:val="top"/>
          </w:tcPr>
          <w:p w14:paraId="7B8DB84F">
            <w:pPr>
              <w:spacing w:line="500" w:lineRule="exact"/>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科室采购论证小组签字：</w:t>
            </w:r>
          </w:p>
          <w:p w14:paraId="4DDD2DC8">
            <w:pPr>
              <w:spacing w:line="500" w:lineRule="exact"/>
              <w:rPr>
                <w:rFonts w:hint="default" w:ascii="Times New Roman" w:hAnsi="Times New Roman" w:cs="Times New Roman"/>
                <w:color w:val="auto"/>
                <w:sz w:val="28"/>
                <w:szCs w:val="28"/>
                <w:u w:val="none"/>
              </w:rPr>
            </w:pPr>
          </w:p>
          <w:p w14:paraId="15D81F8D">
            <w:pPr>
              <w:spacing w:line="500" w:lineRule="exact"/>
              <w:rPr>
                <w:rFonts w:hint="default" w:ascii="Times New Roman" w:hAnsi="Times New Roman" w:cs="Times New Roman"/>
                <w:color w:val="auto"/>
                <w:sz w:val="28"/>
                <w:szCs w:val="28"/>
                <w:u w:val="none"/>
              </w:rPr>
            </w:pPr>
          </w:p>
        </w:tc>
      </w:tr>
      <w:tr w14:paraId="27FD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7"/>
            <w:vAlign w:val="top"/>
          </w:tcPr>
          <w:p w14:paraId="2FBA5AF1">
            <w:pPr>
              <w:pStyle w:val="15"/>
              <w:spacing w:line="500" w:lineRule="exact"/>
              <w:ind w:left="29" w:firstLine="519" w:firstLineChars="236"/>
              <w:rPr>
                <w:rFonts w:hint="default" w:ascii="Times New Roman" w:hAnsi="Times New Roman" w:cs="Times New Roman"/>
                <w:color w:val="auto"/>
                <w:sz w:val="28"/>
                <w:szCs w:val="28"/>
                <w:u w:val="none"/>
              </w:rPr>
            </w:pPr>
            <w:r>
              <w:rPr>
                <w:rFonts w:hint="default" w:ascii="Times New Roman" w:hAnsi="Times New Roman" w:cs="Times New Roman"/>
                <w:color w:val="auto"/>
                <w:sz w:val="22"/>
                <w:u w:val="none"/>
              </w:rPr>
              <w:t>参数编制要求：1.不得设置排他性参数内容、不得指定产品品牌型号、不得出现与科室实际需求不相关内容。2.参数需求电子版发至</w:t>
            </w:r>
            <w:r>
              <w:rPr>
                <w:rFonts w:hint="eastAsia" w:ascii="Times New Roman" w:hAnsi="Times New Roman" w:cs="Times New Roman"/>
                <w:color w:val="auto"/>
                <w:sz w:val="22"/>
                <w:u w:val="none"/>
                <w:lang w:val="en-US" w:eastAsia="zh-CN"/>
              </w:rPr>
              <w:t>网络信息中心</w:t>
            </w:r>
            <w:r>
              <w:rPr>
                <w:rFonts w:hint="default" w:ascii="Times New Roman" w:hAnsi="Times New Roman" w:cs="Times New Roman"/>
                <w:color w:val="auto"/>
                <w:sz w:val="22"/>
                <w:u w:val="none"/>
              </w:rPr>
              <w:t>OA；</w:t>
            </w:r>
          </w:p>
        </w:tc>
      </w:tr>
      <w:tr w14:paraId="021D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gridSpan w:val="2"/>
            <w:vAlign w:val="top"/>
          </w:tcPr>
          <w:p w14:paraId="35CE0E06">
            <w:pPr>
              <w:pStyle w:val="3"/>
              <w:rPr>
                <w:rFonts w:hint="default" w:ascii="Times New Roman" w:hAnsi="Times New Roman" w:eastAsia="仿宋_GB2312" w:cs="Times New Roman"/>
                <w:color w:val="auto"/>
                <w:sz w:val="22"/>
                <w:u w:val="none"/>
                <w:lang w:eastAsia="zh-CN"/>
              </w:rPr>
            </w:pPr>
            <w:r>
              <w:rPr>
                <w:rFonts w:hint="default" w:ascii="Times New Roman" w:hAnsi="Times New Roman" w:eastAsia="仿宋_GB2312" w:cs="Times New Roman"/>
                <w:color w:val="auto"/>
                <w:sz w:val="22"/>
                <w:u w:val="none"/>
              </w:rPr>
              <w:t>详细技术及配置要求，实质性要求，必须满足的条款标注▲</w:t>
            </w:r>
            <w:r>
              <w:rPr>
                <w:rFonts w:hint="default" w:ascii="Times New Roman" w:hAnsi="Times New Roman" w:eastAsia="仿宋_GB2312" w:cs="Times New Roman"/>
                <w:color w:val="auto"/>
                <w:sz w:val="22"/>
                <w:u w:val="none"/>
                <w:lang w:eastAsia="zh-CN"/>
              </w:rPr>
              <w:t>（</w:t>
            </w:r>
            <w:r>
              <w:rPr>
                <w:rFonts w:hint="default" w:ascii="Times New Roman" w:hAnsi="Times New Roman" w:eastAsia="仿宋_GB2312" w:cs="Times New Roman"/>
                <w:color w:val="FF0000"/>
                <w:sz w:val="22"/>
                <w:u w:val="none"/>
                <w:lang w:val="en-US" w:eastAsia="zh-CN"/>
              </w:rPr>
              <w:t>必填</w:t>
            </w:r>
            <w:r>
              <w:rPr>
                <w:rFonts w:hint="default" w:ascii="Times New Roman" w:hAnsi="Times New Roman" w:eastAsia="仿宋_GB2312" w:cs="Times New Roman"/>
                <w:color w:val="auto"/>
                <w:sz w:val="22"/>
                <w:u w:val="none"/>
                <w:lang w:eastAsia="zh-CN"/>
              </w:rPr>
              <w:t>）</w:t>
            </w:r>
          </w:p>
        </w:tc>
        <w:tc>
          <w:tcPr>
            <w:tcW w:w="7089" w:type="dxa"/>
            <w:gridSpan w:val="5"/>
            <w:vAlign w:val="top"/>
          </w:tcPr>
          <w:p w14:paraId="1B1260B4">
            <w:pPr>
              <w:spacing w:after="20" w:line="281" w:lineRule="auto"/>
              <w:jc w:val="left"/>
            </w:pPr>
            <w:r>
              <w:rPr>
                <w:rFonts w:ascii="Times New Roman" w:hAnsi="Times New Roman" w:eastAsia="宋体"/>
                <w:b w:val="0"/>
                <w:sz w:val="21"/>
              </w:rPr>
              <w:t>▲1.屏幕尺寸：显示器屏幕尺寸≥23.8英寸，适用于日常办公、文档处理、表格查看、业务系统操作及多窗口显示使用需求。</w:t>
            </w:r>
          </w:p>
          <w:p w14:paraId="518C5B11">
            <w:pPr>
              <w:spacing w:after="20" w:line="281" w:lineRule="auto"/>
              <w:jc w:val="left"/>
            </w:pPr>
            <w:r>
              <w:rPr>
                <w:rFonts w:ascii="Times New Roman" w:hAnsi="Times New Roman" w:eastAsia="宋体"/>
                <w:b w:val="0"/>
                <w:sz w:val="21"/>
              </w:rPr>
              <w:t>▲2.面板类型：采用Fast IPS或同等级广视角显示面板，可视角度≥178°，画面显示清晰稳定，满足长时间办公使用需求。</w:t>
            </w:r>
          </w:p>
          <w:p w14:paraId="33A5A0CD">
            <w:pPr>
              <w:spacing w:after="20" w:line="281" w:lineRule="auto"/>
              <w:jc w:val="left"/>
            </w:pPr>
            <w:r>
              <w:rPr>
                <w:rFonts w:ascii="Times New Roman" w:hAnsi="Times New Roman" w:eastAsia="宋体"/>
                <w:b w:val="0"/>
                <w:sz w:val="21"/>
              </w:rPr>
              <w:t>▲3.分辨率：物理分辨率≥1920×1080，支持全高清显示，文字、表格、图片及业务系统界面显示清晰。</w:t>
            </w:r>
          </w:p>
          <w:p w14:paraId="7AE068E8">
            <w:pPr>
              <w:spacing w:after="20" w:line="281" w:lineRule="auto"/>
              <w:jc w:val="left"/>
            </w:pPr>
            <w:r>
              <w:rPr>
                <w:rFonts w:ascii="Times New Roman" w:hAnsi="Times New Roman" w:eastAsia="宋体"/>
                <w:b w:val="0"/>
                <w:sz w:val="21"/>
              </w:rPr>
              <w:t>▲4.刷新率及响应时间：屏幕刷新率≥240Hz，响应时间≤1ms，画面切换流畅，能够改善页面滚动、窗口切换及长时间浏览时的视觉舒适度。</w:t>
            </w:r>
          </w:p>
          <w:p w14:paraId="0434EAB6">
            <w:pPr>
              <w:spacing w:after="20" w:line="281" w:lineRule="auto"/>
              <w:jc w:val="left"/>
            </w:pPr>
            <w:r>
              <w:rPr>
                <w:rFonts w:ascii="Times New Roman" w:hAnsi="Times New Roman" w:eastAsia="宋体"/>
                <w:b w:val="0"/>
                <w:sz w:val="21"/>
              </w:rPr>
              <w:t>▲5.亮度及对比度：屏幕典型亮度≥400nit，峰值亮度或最高亮度≥470nit；静态对比度≥1000:1，满足办公室自然光较强环境下的清晰显示需求。</w:t>
            </w:r>
          </w:p>
          <w:p w14:paraId="6411ADBC">
            <w:pPr>
              <w:spacing w:after="20" w:line="281" w:lineRule="auto"/>
              <w:jc w:val="left"/>
            </w:pPr>
            <w:r>
              <w:rPr>
                <w:rFonts w:ascii="Times New Roman" w:hAnsi="Times New Roman" w:eastAsia="宋体"/>
                <w:b w:val="0"/>
                <w:sz w:val="21"/>
              </w:rPr>
              <w:t>▲6.护眼功能：须支持硬件低蓝光功能，支持无频闪显示技术或直流调光技术，能够减少长时间使用电脑造成的眼部疲劳。</w:t>
            </w:r>
          </w:p>
          <w:p w14:paraId="0019445F">
            <w:pPr>
              <w:spacing w:after="20" w:line="281" w:lineRule="auto"/>
              <w:jc w:val="left"/>
            </w:pPr>
            <w:r>
              <w:rPr>
                <w:rFonts w:ascii="Times New Roman" w:hAnsi="Times New Roman" w:eastAsia="宋体"/>
                <w:b w:val="0"/>
                <w:sz w:val="21"/>
              </w:rPr>
              <w:t>▲7.防眩光要求：屏幕表面须采用雾面防眩光处理，具备低反射、防眩光能力，能够改善窗口强光环境下屏幕反光、画面发灰等问题。</w:t>
            </w:r>
          </w:p>
          <w:p w14:paraId="245AE37E">
            <w:pPr>
              <w:spacing w:after="20" w:line="281" w:lineRule="auto"/>
              <w:jc w:val="left"/>
            </w:pPr>
            <w:r>
              <w:rPr>
                <w:rFonts w:ascii="Times New Roman" w:hAnsi="Times New Roman" w:eastAsia="宋体"/>
                <w:b w:val="0"/>
                <w:sz w:val="21"/>
              </w:rPr>
              <w:t>▲8.智能亮度调节：支持环境光感应或自动亮度调节功能，可根据环境光变化自动调整屏幕亮度，提升不同光照条件下的使用舒适性。</w:t>
            </w:r>
          </w:p>
          <w:p w14:paraId="2E861301">
            <w:pPr>
              <w:spacing w:after="20" w:line="281" w:lineRule="auto"/>
              <w:jc w:val="left"/>
            </w:pPr>
            <w:r>
              <w:rPr>
                <w:rFonts w:ascii="Times New Roman" w:hAnsi="Times New Roman" w:eastAsia="宋体"/>
                <w:b w:val="0"/>
                <w:sz w:val="21"/>
              </w:rPr>
              <w:t>▲9.显示效果：支持HDR400或同等级高动态范围显示技术，色域覆盖≥99%sRGB或同等级色域标准，满足日常办公、图片查看及多媒体显示需求。</w:t>
            </w:r>
          </w:p>
          <w:p w14:paraId="182F6979">
            <w:pPr>
              <w:spacing w:after="20" w:line="281" w:lineRule="auto"/>
              <w:jc w:val="left"/>
            </w:pPr>
            <w:r>
              <w:rPr>
                <w:rFonts w:ascii="Times New Roman" w:hAnsi="Times New Roman" w:eastAsia="宋体"/>
                <w:b w:val="0"/>
                <w:sz w:val="21"/>
              </w:rPr>
              <w:t>▲10.接口要求：配置HDMI接口≥1个，DP接口≥1个，音频输出接口≥1个；须随显示器配套提供视频连接线，确保到货后可直接连接现有办公电脑使用。</w:t>
            </w:r>
          </w:p>
          <w:p w14:paraId="2901E192">
            <w:pPr>
              <w:spacing w:after="20" w:line="281" w:lineRule="auto"/>
              <w:jc w:val="left"/>
              <w:rPr>
                <w:rFonts w:ascii="Times New Roman" w:hAnsi="Times New Roman" w:eastAsia="宋体"/>
                <w:b w:val="0"/>
                <w:sz w:val="21"/>
              </w:rPr>
            </w:pPr>
            <w:r>
              <w:rPr>
                <w:rFonts w:ascii="Times New Roman" w:hAnsi="Times New Roman" w:eastAsia="宋体"/>
                <w:b w:val="0"/>
                <w:sz w:val="21"/>
              </w:rPr>
              <w:t>▲11.支架及调节：显示器须支持俯仰角调节；底座应稳定可靠，满足办公桌面长期摆放使用需求。如支持VESA壁挂安装，需提供规格说明。</w:t>
            </w:r>
          </w:p>
          <w:p w14:paraId="2F787A2D">
            <w:pPr>
              <w:spacing w:after="20" w:line="281" w:lineRule="auto"/>
              <w:jc w:val="left"/>
              <w:rPr>
                <w:rFonts w:hint="default" w:ascii="Times New Roman" w:hAnsi="Times New Roman" w:eastAsia="宋体"/>
                <w:b w:val="0"/>
                <w:sz w:val="21"/>
                <w:lang w:val="en-US" w:eastAsia="zh-CN"/>
              </w:rPr>
            </w:pPr>
            <w:r>
              <w:rPr>
                <w:rFonts w:ascii="Times New Roman" w:hAnsi="Times New Roman" w:eastAsia="宋体"/>
                <w:b w:val="0"/>
                <w:sz w:val="21"/>
              </w:rPr>
              <w:t>▲1</w:t>
            </w:r>
            <w:r>
              <w:rPr>
                <w:rFonts w:hint="eastAsia" w:ascii="Times New Roman" w:hAnsi="Times New Roman" w:eastAsia="宋体"/>
                <w:b w:val="0"/>
                <w:sz w:val="21"/>
                <w:lang w:val="en-US" w:eastAsia="zh-CN"/>
              </w:rPr>
              <w:t>2.型号：Skyworth</w:t>
            </w:r>
            <w:r>
              <w:rPr>
                <w:rFonts w:hint="eastAsia" w:ascii="微软雅黑" w:hAnsi="微软雅黑" w:eastAsia="微软雅黑" w:cs="微软雅黑"/>
                <w:b/>
                <w:bCs/>
                <w:i w:val="0"/>
                <w:iCs w:val="0"/>
                <w:caps w:val="0"/>
                <w:color w:val="1A1A1A"/>
                <w:spacing w:val="0"/>
                <w:sz w:val="30"/>
                <w:szCs w:val="30"/>
                <w:shd w:val="clear" w:fill="FFFFFF"/>
                <w:lang w:val="en-US" w:eastAsia="zh-CN"/>
              </w:rPr>
              <w:t xml:space="preserve"> </w:t>
            </w:r>
            <w:r>
              <w:rPr>
                <w:rFonts w:hint="eastAsia" w:ascii="Times New Roman" w:hAnsi="Times New Roman" w:eastAsia="宋体"/>
                <w:b w:val="0"/>
                <w:sz w:val="21"/>
                <w:lang w:val="en-US" w:eastAsia="zh-CN"/>
              </w:rPr>
              <w:t>F24G30F GT 2代</w:t>
            </w:r>
          </w:p>
        </w:tc>
      </w:tr>
      <w:tr w14:paraId="02A3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98" w:type="dxa"/>
            <w:gridSpan w:val="2"/>
            <w:vAlign w:val="top"/>
          </w:tcPr>
          <w:p w14:paraId="54386320">
            <w:pPr>
              <w:pStyle w:val="15"/>
              <w:spacing w:line="400" w:lineRule="exact"/>
              <w:ind w:firstLine="0" w:firstLineChars="0"/>
              <w:jc w:val="center"/>
              <w:rPr>
                <w:rFonts w:hint="default" w:ascii="Times New Roman" w:hAnsi="Times New Roman" w:cs="Times New Roman" w:eastAsiaTheme="minorEastAsia"/>
                <w:color w:val="auto"/>
                <w:sz w:val="22"/>
                <w:u w:val="none"/>
                <w:lang w:val="en-US" w:eastAsia="zh-CN"/>
              </w:rPr>
            </w:pPr>
            <w:r>
              <w:rPr>
                <w:rFonts w:hint="default" w:ascii="Times New Roman" w:hAnsi="Times New Roman" w:cs="Times New Roman"/>
                <w:color w:val="auto"/>
                <w:sz w:val="22"/>
                <w:u w:val="none"/>
                <w:lang w:val="en-US" w:eastAsia="zh-CN"/>
              </w:rPr>
              <w:t>商务要求</w:t>
            </w:r>
            <w:r>
              <w:rPr>
                <w:rFonts w:hint="default" w:ascii="Times New Roman" w:hAnsi="Times New Roman" w:eastAsia="宋体" w:cs="Times New Roman"/>
                <w:b/>
                <w:bCs/>
                <w:color w:val="auto"/>
                <w:kern w:val="0"/>
                <w:szCs w:val="21"/>
                <w:highlight w:val="none"/>
                <w:u w:val="none"/>
                <w:lang w:eastAsia="zh-CN"/>
              </w:rPr>
              <w:t>▲</w:t>
            </w:r>
          </w:p>
        </w:tc>
        <w:tc>
          <w:tcPr>
            <w:tcW w:w="7089" w:type="dxa"/>
            <w:gridSpan w:val="5"/>
            <w:vAlign w:val="top"/>
          </w:tcPr>
          <w:p w14:paraId="12B2C037">
            <w:pPr>
              <w:spacing w:after="20" w:line="288" w:lineRule="auto"/>
              <w:jc w:val="left"/>
            </w:pPr>
            <w:r>
              <w:rPr>
                <w:rFonts w:ascii="Times New Roman" w:hAnsi="Times New Roman" w:eastAsia="宋体"/>
                <w:b w:val="0"/>
                <w:sz w:val="21"/>
              </w:rPr>
              <w:t>（一）合同签订期：自成交通知书发出之日起25日内。</w:t>
            </w:r>
          </w:p>
          <w:p w14:paraId="74C898A5">
            <w:pPr>
              <w:spacing w:after="20" w:line="288" w:lineRule="auto"/>
              <w:jc w:val="left"/>
            </w:pPr>
            <w:r>
              <w:rPr>
                <w:rFonts w:ascii="Times New Roman" w:hAnsi="Times New Roman" w:eastAsia="宋体"/>
                <w:b w:val="0"/>
                <w:sz w:val="21"/>
              </w:rPr>
              <w:t>（二）交货期：自合同签订之日起30日内安装调试完毕并验收合格交付使用。</w:t>
            </w:r>
          </w:p>
          <w:p w14:paraId="5BCDD6FB">
            <w:pPr>
              <w:spacing w:after="20" w:line="288" w:lineRule="auto"/>
              <w:jc w:val="left"/>
            </w:pPr>
            <w:r>
              <w:rPr>
                <w:rFonts w:ascii="Times New Roman" w:hAnsi="Times New Roman" w:eastAsia="宋体"/>
                <w:b w:val="0"/>
                <w:sz w:val="21"/>
              </w:rPr>
              <w:t>（三）交货地点：采购人</w:t>
            </w:r>
            <w:bookmarkStart w:id="3" w:name="_GoBack"/>
            <w:bookmarkEnd w:id="3"/>
            <w:r>
              <w:rPr>
                <w:rFonts w:ascii="Times New Roman" w:hAnsi="Times New Roman" w:eastAsia="宋体"/>
                <w:b w:val="0"/>
                <w:sz w:val="21"/>
              </w:rPr>
              <w:t>指定地点。</w:t>
            </w:r>
          </w:p>
          <w:p w14:paraId="5B955244">
            <w:pPr>
              <w:spacing w:after="20" w:line="288" w:lineRule="auto"/>
              <w:jc w:val="left"/>
            </w:pPr>
            <w:r>
              <w:rPr>
                <w:rFonts w:ascii="Times New Roman" w:hAnsi="Times New Roman" w:eastAsia="宋体"/>
                <w:b w:val="0"/>
                <w:sz w:val="21"/>
              </w:rPr>
              <w:t>（四）交货方式：现场交货。</w:t>
            </w:r>
          </w:p>
          <w:p w14:paraId="251225E8">
            <w:pPr>
              <w:spacing w:after="20" w:line="288" w:lineRule="auto"/>
              <w:jc w:val="left"/>
            </w:pPr>
            <w:r>
              <w:rPr>
                <w:rFonts w:ascii="Times New Roman" w:hAnsi="Times New Roman" w:eastAsia="宋体"/>
                <w:b w:val="0"/>
                <w:sz w:val="21"/>
              </w:rPr>
              <w:t>（五）售后服务要求：</w:t>
            </w:r>
          </w:p>
          <w:p w14:paraId="53B53BAE">
            <w:pPr>
              <w:spacing w:after="20" w:line="288" w:lineRule="auto"/>
              <w:jc w:val="left"/>
            </w:pPr>
            <w:r>
              <w:rPr>
                <w:rFonts w:ascii="Times New Roman" w:hAnsi="Times New Roman" w:eastAsia="宋体"/>
                <w:b w:val="0"/>
                <w:sz w:val="21"/>
              </w:rPr>
              <w:t>1.质保期：按国家有关产品“三包”规定执行“三包”，整机质保期不少于3年。质保期内出现非人为质量问题，供应商须提供上门服务、维修、更换配件或更换设备，不得另行收取上门费、检测费、维修费或配件费。质保期自双方验收合格之日起计算。</w:t>
            </w:r>
          </w:p>
          <w:p w14:paraId="5C7C9D1B">
            <w:pPr>
              <w:spacing w:after="20" w:line="288" w:lineRule="auto"/>
              <w:jc w:val="left"/>
            </w:pPr>
            <w:r>
              <w:rPr>
                <w:rFonts w:ascii="Times New Roman" w:hAnsi="Times New Roman" w:eastAsia="宋体"/>
                <w:b w:val="0"/>
                <w:sz w:val="21"/>
              </w:rPr>
              <w:t>2.成交供应商须免费送货到采购人指定地点，免费完成安装、调试、连接测试及基础使用指导，安装应符合国家、行业相关标准、规范及规定。</w:t>
            </w:r>
          </w:p>
          <w:p w14:paraId="034B697B">
            <w:pPr>
              <w:spacing w:after="20" w:line="288" w:lineRule="auto"/>
              <w:jc w:val="left"/>
            </w:pPr>
            <w:r>
              <w:rPr>
                <w:rFonts w:ascii="Times New Roman" w:hAnsi="Times New Roman" w:eastAsia="宋体"/>
                <w:b w:val="0"/>
                <w:sz w:val="21"/>
              </w:rPr>
              <w:t>3.成交供应商须保证所供产品可正常连接采购人现有办公电脑及常用办公环境，支持常见办公软件、业务系统界面显示及日常文档、表格、网页浏览等使用需求。</w:t>
            </w:r>
          </w:p>
          <w:p w14:paraId="57922365">
            <w:pPr>
              <w:spacing w:after="20" w:line="288" w:lineRule="auto"/>
              <w:jc w:val="left"/>
            </w:pPr>
            <w:r>
              <w:rPr>
                <w:rFonts w:ascii="Times New Roman" w:hAnsi="Times New Roman" w:eastAsia="宋体"/>
                <w:b w:val="0"/>
                <w:sz w:val="21"/>
              </w:rPr>
              <w:t>4.交货安装时，成交供应商应安排人员负责搬运、安装、连接、调试及现场清理工作。</w:t>
            </w:r>
          </w:p>
          <w:p w14:paraId="0A06F163">
            <w:pPr>
              <w:spacing w:after="20" w:line="288" w:lineRule="auto"/>
              <w:jc w:val="left"/>
            </w:pPr>
            <w:r>
              <w:rPr>
                <w:rFonts w:ascii="Times New Roman" w:hAnsi="Times New Roman" w:eastAsia="宋体"/>
                <w:b w:val="0"/>
                <w:sz w:val="21"/>
              </w:rPr>
              <w:t>5.故障响应时间：设备在使用过程中发生质量问题，供应商在接到采购人通知后12小时内响应，24小时内到达现场或提出有效解决方案。</w:t>
            </w:r>
          </w:p>
          <w:p w14:paraId="443C3832">
            <w:pPr>
              <w:spacing w:after="20" w:line="288" w:lineRule="auto"/>
              <w:jc w:val="left"/>
            </w:pPr>
            <w:r>
              <w:rPr>
                <w:rFonts w:ascii="Times New Roman" w:hAnsi="Times New Roman" w:eastAsia="宋体"/>
                <w:b w:val="0"/>
                <w:sz w:val="21"/>
              </w:rPr>
              <w:t>6.质保期内供应商应根据采购人需要提供必要的使用指导及售后支持服务。</w:t>
            </w:r>
          </w:p>
          <w:p w14:paraId="260ED819">
            <w:pPr>
              <w:spacing w:after="20" w:line="288" w:lineRule="auto"/>
              <w:jc w:val="left"/>
            </w:pPr>
            <w:r>
              <w:rPr>
                <w:rFonts w:ascii="Times New Roman" w:hAnsi="Times New Roman" w:eastAsia="宋体"/>
                <w:b w:val="0"/>
                <w:sz w:val="21"/>
              </w:rPr>
              <w:t>7.供应商应保证提供的是正规品牌正式销售型号、全新未经使用的合格产品，不接受二手、拆机、翻新、维修返修、库存异常、非正规渠道或无明确品牌型号产品。</w:t>
            </w:r>
          </w:p>
          <w:p w14:paraId="73198299">
            <w:pPr>
              <w:spacing w:after="20" w:line="288" w:lineRule="auto"/>
              <w:jc w:val="left"/>
            </w:pPr>
            <w:r>
              <w:rPr>
                <w:rFonts w:ascii="Times New Roman" w:hAnsi="Times New Roman" w:eastAsia="宋体"/>
                <w:b w:val="0"/>
                <w:sz w:val="21"/>
              </w:rPr>
              <w:t>（六）其他要求：</w:t>
            </w:r>
          </w:p>
          <w:p w14:paraId="21DA6704">
            <w:pPr>
              <w:spacing w:after="20" w:line="288" w:lineRule="auto"/>
              <w:jc w:val="left"/>
            </w:pPr>
            <w:r>
              <w:rPr>
                <w:rFonts w:ascii="Times New Roman" w:hAnsi="Times New Roman" w:eastAsia="宋体"/>
                <w:b w:val="0"/>
                <w:sz w:val="21"/>
              </w:rPr>
              <w:t>1.报价为现场交货价，包括：</w:t>
            </w:r>
          </w:p>
          <w:p w14:paraId="240A7D1F">
            <w:pPr>
              <w:spacing w:after="20" w:line="288" w:lineRule="auto"/>
              <w:jc w:val="left"/>
            </w:pPr>
            <w:r>
              <w:rPr>
                <w:rFonts w:ascii="Times New Roman" w:hAnsi="Times New Roman" w:eastAsia="宋体"/>
                <w:b w:val="0"/>
                <w:sz w:val="21"/>
              </w:rPr>
              <w:t>（1）货物价格；</w:t>
            </w:r>
          </w:p>
          <w:p w14:paraId="1FF51A04">
            <w:pPr>
              <w:spacing w:after="20" w:line="288" w:lineRule="auto"/>
              <w:jc w:val="left"/>
            </w:pPr>
            <w:r>
              <w:rPr>
                <w:rFonts w:ascii="Times New Roman" w:hAnsi="Times New Roman" w:eastAsia="宋体"/>
                <w:b w:val="0"/>
                <w:sz w:val="21"/>
              </w:rPr>
              <w:t>（2）货物标准附件、连接线、配套支架等费用；</w:t>
            </w:r>
          </w:p>
          <w:p w14:paraId="442400B1">
            <w:pPr>
              <w:spacing w:after="20" w:line="288" w:lineRule="auto"/>
              <w:jc w:val="left"/>
            </w:pPr>
            <w:r>
              <w:rPr>
                <w:rFonts w:ascii="Times New Roman" w:hAnsi="Times New Roman" w:eastAsia="宋体"/>
                <w:b w:val="0"/>
                <w:sz w:val="21"/>
              </w:rPr>
              <w:t>（3）运输、安装、调试、使用指导、技术支持、售后服务等费用；</w:t>
            </w:r>
          </w:p>
          <w:p w14:paraId="321FBB8B">
            <w:pPr>
              <w:spacing w:after="20" w:line="288" w:lineRule="auto"/>
              <w:jc w:val="left"/>
            </w:pPr>
            <w:r>
              <w:rPr>
                <w:rFonts w:ascii="Times New Roman" w:hAnsi="Times New Roman" w:eastAsia="宋体"/>
                <w:b w:val="0"/>
                <w:sz w:val="21"/>
              </w:rPr>
              <w:t>（4）必要的保险费用和各项税费。</w:t>
            </w:r>
          </w:p>
          <w:p w14:paraId="7C2B5D31">
            <w:pPr>
              <w:spacing w:after="20" w:line="288" w:lineRule="auto"/>
              <w:jc w:val="left"/>
            </w:pPr>
            <w:r>
              <w:rPr>
                <w:rFonts w:ascii="Times New Roman" w:hAnsi="Times New Roman" w:eastAsia="宋体"/>
                <w:b w:val="0"/>
                <w:sz w:val="21"/>
              </w:rPr>
              <w:t>2.所投产品须符合国家相关质量、安全及节能要求，具备CCC认证。属于节能产品政府采购品目清单范围的，须提供有效期内的节能产品认证证书复印件并加盖供应商公章。</w:t>
            </w:r>
          </w:p>
          <w:p w14:paraId="69B78AD1">
            <w:pPr>
              <w:spacing w:after="20" w:line="288" w:lineRule="auto"/>
              <w:jc w:val="left"/>
            </w:pPr>
            <w:r>
              <w:rPr>
                <w:rFonts w:ascii="Times New Roman" w:hAnsi="Times New Roman" w:eastAsia="宋体"/>
                <w:b w:val="0"/>
                <w:sz w:val="21"/>
              </w:rPr>
              <w:t>3.响应文件或报价材料须提供显示器具体品牌型号、产品彩页、官网截图或制造商盖章的技术参数证明材料。成交供应商交付产品的品牌型号、技术参数、质保服务须与响应文件或报价材料一致。未经采购人书面同意，不得擅自更换产品型号。确需更换的，替代产品配置、性能、品质及售后服务不得低于原响应产品，并须经采购人书面确认。</w:t>
            </w:r>
          </w:p>
          <w:p w14:paraId="17747AE3">
            <w:pPr>
              <w:spacing w:after="20" w:line="288" w:lineRule="auto"/>
              <w:jc w:val="left"/>
            </w:pPr>
            <w:r>
              <w:rPr>
                <w:rFonts w:ascii="Times New Roman" w:hAnsi="Times New Roman" w:eastAsia="宋体"/>
                <w:b w:val="0"/>
                <w:sz w:val="21"/>
              </w:rPr>
              <w:t>4.交货时须提供产品合格证、质保证明、装箱清单、序列号清单、认证证明等材料。交货验收时，采购人有权核验显示器品牌型号、序列号、屏幕尺寸、分辨率、刷新率、接口、亮度、护眼功能、防眩光功能、认证证书及质保状态。发现与响应文件不一致，或存在二手、拆机、翻新、降配、虚假质保、无法提供有效证明材料等情形的，采购人有权拒收，并要求成交供应商限期整改或更换，由此产生的费用和责任由成交供应商承担。</w:t>
            </w:r>
          </w:p>
        </w:tc>
      </w:tr>
      <w:tr w14:paraId="7E2C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gridSpan w:val="2"/>
            <w:vAlign w:val="top"/>
          </w:tcPr>
          <w:p w14:paraId="5B58155A">
            <w:pPr>
              <w:pStyle w:val="15"/>
              <w:spacing w:line="500" w:lineRule="exact"/>
              <w:ind w:firstLine="0" w:firstLineChars="0"/>
              <w:jc w:val="center"/>
              <w:rPr>
                <w:rFonts w:hint="default" w:ascii="Times New Roman" w:hAnsi="Times New Roman" w:cs="Times New Roman"/>
                <w:color w:val="auto"/>
                <w:sz w:val="22"/>
                <w:u w:val="none"/>
              </w:rPr>
            </w:pPr>
            <w:r>
              <w:rPr>
                <w:rFonts w:hint="default" w:ascii="Times New Roman" w:hAnsi="Times New Roman" w:eastAsia="仿宋_GB2312" w:cs="Times New Roman"/>
                <w:color w:val="auto"/>
                <w:sz w:val="22"/>
                <w:u w:val="none"/>
              </w:rPr>
              <w:t>项目是否属于单一来源采购，如为单一来源请注明理由</w:t>
            </w:r>
          </w:p>
        </w:tc>
        <w:tc>
          <w:tcPr>
            <w:tcW w:w="7089" w:type="dxa"/>
            <w:gridSpan w:val="5"/>
            <w:vAlign w:val="top"/>
          </w:tcPr>
          <w:p w14:paraId="33511340">
            <w:pPr>
              <w:spacing w:after="0" w:line="288" w:lineRule="auto"/>
              <w:jc w:val="left"/>
            </w:pPr>
            <w:r>
              <w:rPr>
                <w:rFonts w:ascii="Times New Roman" w:hAnsi="Times New Roman" w:eastAsia="宋体"/>
                <w:b w:val="0"/>
                <w:sz w:val="22"/>
              </w:rPr>
              <w:t>否。</w:t>
            </w:r>
          </w:p>
        </w:tc>
      </w:tr>
    </w:tbl>
    <w:p w14:paraId="42AFFFE1">
      <w:pPr>
        <w:pStyle w:val="15"/>
        <w:spacing w:line="560" w:lineRule="exact"/>
        <w:ind w:firstLine="0" w:firstLineChars="0"/>
        <w:rPr>
          <w:rFonts w:hint="default" w:ascii="Times New Roman" w:hAnsi="Times New Roman" w:eastAsia="仿宋_GB2312" w:cs="Times New Roman"/>
          <w:color w:val="auto"/>
          <w:sz w:val="32"/>
          <w:szCs w:val="28"/>
          <w:u w:val="none"/>
          <w:lang w:val="en-US" w:eastAsia="zh-CN"/>
        </w:rPr>
      </w:pPr>
    </w:p>
    <w:sectPr>
      <w:footerReference r:id="rId3" w:type="default"/>
      <w:footerReference r:id="rId4" w:type="even"/>
      <w:pgSz w:w="11906" w:h="16838"/>
      <w:pgMar w:top="1134" w:right="1134" w:bottom="1134"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37042">
    <w:pPr>
      <w:pStyle w:val="6"/>
      <w:jc w:val="center"/>
      <w:rPr>
        <w:rFonts w:ascii="Times New Roman" w:hAnsi="Times New Roman" w:cs="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3C940">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- 5 -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203C940">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- 5 -</w:t>
                    </w:r>
                    <w:r>
                      <w:rPr>
                        <w:rFonts w:ascii="Times New Roman" w:hAnsi="Times New Roman" w:cs="Times New Roman"/>
                        <w:sz w:val="28"/>
                        <w:szCs w:val="28"/>
                      </w:rPr>
                      <w:fldChar w:fldCharType="end"/>
                    </w:r>
                  </w:p>
                </w:txbxContent>
              </v:textbox>
            </v:shape>
          </w:pict>
        </mc:Fallback>
      </mc:AlternateContent>
    </w:r>
  </w:p>
  <w:p w14:paraId="36ED0A32">
    <w:pPr>
      <w:pStyle w:val="6"/>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77B11">
    <w:pPr>
      <w:pStyle w:val="6"/>
      <w:rPr>
        <w:rFonts w:ascii="Times New Roman" w:hAnsi="Times New Roman" w:cs="Times New Roman"/>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3E475">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1F3E475">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v:textbox>
            </v:shape>
          </w:pict>
        </mc:Fallback>
      </mc:AlternateContent>
    </w:r>
  </w:p>
  <w:p w14:paraId="5F86C833">
    <w:pPr>
      <w:pStyle w:val="6"/>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OWZmOWZjNTQ0ZDljMGJiYzg2NWYwMDg4NTI4ZDQifQ=="/>
  </w:docVars>
  <w:rsids>
    <w:rsidRoot w:val="00172A27"/>
    <w:rsid w:val="00043E2F"/>
    <w:rsid w:val="000970F4"/>
    <w:rsid w:val="000A3900"/>
    <w:rsid w:val="000E03B3"/>
    <w:rsid w:val="000E7A72"/>
    <w:rsid w:val="00100798"/>
    <w:rsid w:val="001301BF"/>
    <w:rsid w:val="00172A27"/>
    <w:rsid w:val="00177FB1"/>
    <w:rsid w:val="00183DF4"/>
    <w:rsid w:val="00202BEE"/>
    <w:rsid w:val="00292E51"/>
    <w:rsid w:val="002E2997"/>
    <w:rsid w:val="00305F29"/>
    <w:rsid w:val="00351262"/>
    <w:rsid w:val="003945ED"/>
    <w:rsid w:val="003A0263"/>
    <w:rsid w:val="003E1EA4"/>
    <w:rsid w:val="004274BE"/>
    <w:rsid w:val="004B19F9"/>
    <w:rsid w:val="005422F1"/>
    <w:rsid w:val="0056521A"/>
    <w:rsid w:val="005C502A"/>
    <w:rsid w:val="00646E0C"/>
    <w:rsid w:val="00663F43"/>
    <w:rsid w:val="006749DE"/>
    <w:rsid w:val="00687E97"/>
    <w:rsid w:val="006C188E"/>
    <w:rsid w:val="006D044A"/>
    <w:rsid w:val="006F2E48"/>
    <w:rsid w:val="007C1EE6"/>
    <w:rsid w:val="007C3A7B"/>
    <w:rsid w:val="00822DC3"/>
    <w:rsid w:val="00860C68"/>
    <w:rsid w:val="008904B2"/>
    <w:rsid w:val="008B324F"/>
    <w:rsid w:val="008B680E"/>
    <w:rsid w:val="00917BA2"/>
    <w:rsid w:val="0095020F"/>
    <w:rsid w:val="009B5A68"/>
    <w:rsid w:val="00A05121"/>
    <w:rsid w:val="00A51BE7"/>
    <w:rsid w:val="00A85607"/>
    <w:rsid w:val="00A87494"/>
    <w:rsid w:val="00AF1EAB"/>
    <w:rsid w:val="00B52F78"/>
    <w:rsid w:val="00C130E8"/>
    <w:rsid w:val="00C77DC8"/>
    <w:rsid w:val="00C973A5"/>
    <w:rsid w:val="00DE469B"/>
    <w:rsid w:val="00E50215"/>
    <w:rsid w:val="00ED4275"/>
    <w:rsid w:val="00F0480C"/>
    <w:rsid w:val="00F268F5"/>
    <w:rsid w:val="00F335F6"/>
    <w:rsid w:val="00F65DB3"/>
    <w:rsid w:val="01DE6B47"/>
    <w:rsid w:val="02071305"/>
    <w:rsid w:val="020C2CB1"/>
    <w:rsid w:val="02532050"/>
    <w:rsid w:val="02837479"/>
    <w:rsid w:val="02E81186"/>
    <w:rsid w:val="02F26A4A"/>
    <w:rsid w:val="0319057E"/>
    <w:rsid w:val="033B735B"/>
    <w:rsid w:val="03A8748E"/>
    <w:rsid w:val="03B23214"/>
    <w:rsid w:val="03BC3BED"/>
    <w:rsid w:val="03D318D1"/>
    <w:rsid w:val="04263D7B"/>
    <w:rsid w:val="04B213C1"/>
    <w:rsid w:val="04B30C95"/>
    <w:rsid w:val="05273992"/>
    <w:rsid w:val="052E3343"/>
    <w:rsid w:val="063D34CE"/>
    <w:rsid w:val="063E7155"/>
    <w:rsid w:val="06D2730B"/>
    <w:rsid w:val="07211884"/>
    <w:rsid w:val="075967B6"/>
    <w:rsid w:val="078C3A3E"/>
    <w:rsid w:val="07FC6046"/>
    <w:rsid w:val="0831346D"/>
    <w:rsid w:val="08316533"/>
    <w:rsid w:val="087234E3"/>
    <w:rsid w:val="08CB2F53"/>
    <w:rsid w:val="093B1507"/>
    <w:rsid w:val="0A0F261A"/>
    <w:rsid w:val="0A6477D8"/>
    <w:rsid w:val="0B337FE2"/>
    <w:rsid w:val="0B9F1C80"/>
    <w:rsid w:val="0BED4DD8"/>
    <w:rsid w:val="0C3E178C"/>
    <w:rsid w:val="0C7424B7"/>
    <w:rsid w:val="0C770045"/>
    <w:rsid w:val="0D216F9E"/>
    <w:rsid w:val="0D224C0A"/>
    <w:rsid w:val="0D644F89"/>
    <w:rsid w:val="0DCA1B76"/>
    <w:rsid w:val="0DCE5335"/>
    <w:rsid w:val="0E985EC2"/>
    <w:rsid w:val="0EA73A3A"/>
    <w:rsid w:val="0F445301"/>
    <w:rsid w:val="100018D9"/>
    <w:rsid w:val="10770FE6"/>
    <w:rsid w:val="10D35C0D"/>
    <w:rsid w:val="10D86858"/>
    <w:rsid w:val="10DC1098"/>
    <w:rsid w:val="119F32E8"/>
    <w:rsid w:val="11F422F8"/>
    <w:rsid w:val="1283439D"/>
    <w:rsid w:val="12EE4FC6"/>
    <w:rsid w:val="1342298B"/>
    <w:rsid w:val="136F757E"/>
    <w:rsid w:val="13994EF7"/>
    <w:rsid w:val="14061262"/>
    <w:rsid w:val="140A4C8C"/>
    <w:rsid w:val="14170FB9"/>
    <w:rsid w:val="143B64CE"/>
    <w:rsid w:val="144C6C7C"/>
    <w:rsid w:val="14706867"/>
    <w:rsid w:val="14C10500"/>
    <w:rsid w:val="153D36AB"/>
    <w:rsid w:val="158F4E92"/>
    <w:rsid w:val="15D13493"/>
    <w:rsid w:val="1614744F"/>
    <w:rsid w:val="163E6656"/>
    <w:rsid w:val="164215F7"/>
    <w:rsid w:val="16425E8E"/>
    <w:rsid w:val="1659610E"/>
    <w:rsid w:val="169B223C"/>
    <w:rsid w:val="16A57CAD"/>
    <w:rsid w:val="16B20DAC"/>
    <w:rsid w:val="16CB7C2C"/>
    <w:rsid w:val="18567ED3"/>
    <w:rsid w:val="190053F5"/>
    <w:rsid w:val="1961098A"/>
    <w:rsid w:val="198F026A"/>
    <w:rsid w:val="19F07181"/>
    <w:rsid w:val="1A364052"/>
    <w:rsid w:val="1A3F7CBB"/>
    <w:rsid w:val="1A97167C"/>
    <w:rsid w:val="1AAD0A82"/>
    <w:rsid w:val="1B082C8B"/>
    <w:rsid w:val="1B2D348F"/>
    <w:rsid w:val="1B594274"/>
    <w:rsid w:val="1BCF7172"/>
    <w:rsid w:val="1BFB4846"/>
    <w:rsid w:val="1CD43BE8"/>
    <w:rsid w:val="1D2C3A0D"/>
    <w:rsid w:val="1D830894"/>
    <w:rsid w:val="1E0526F8"/>
    <w:rsid w:val="1E1234B0"/>
    <w:rsid w:val="1E5D39B0"/>
    <w:rsid w:val="1E720268"/>
    <w:rsid w:val="1E785E03"/>
    <w:rsid w:val="1F532BE0"/>
    <w:rsid w:val="1FC74AF4"/>
    <w:rsid w:val="1FDF73AF"/>
    <w:rsid w:val="200E739B"/>
    <w:rsid w:val="205456A1"/>
    <w:rsid w:val="206027A5"/>
    <w:rsid w:val="20A14D09"/>
    <w:rsid w:val="20E35BE9"/>
    <w:rsid w:val="21BB5C36"/>
    <w:rsid w:val="21BD2A16"/>
    <w:rsid w:val="21E62658"/>
    <w:rsid w:val="21F32619"/>
    <w:rsid w:val="21F42AFD"/>
    <w:rsid w:val="22235254"/>
    <w:rsid w:val="22717D6E"/>
    <w:rsid w:val="23111551"/>
    <w:rsid w:val="23302210"/>
    <w:rsid w:val="2374727E"/>
    <w:rsid w:val="23B80E28"/>
    <w:rsid w:val="24770293"/>
    <w:rsid w:val="249A03CD"/>
    <w:rsid w:val="249C2B34"/>
    <w:rsid w:val="24CC7EA0"/>
    <w:rsid w:val="25010D91"/>
    <w:rsid w:val="250177D1"/>
    <w:rsid w:val="252208BA"/>
    <w:rsid w:val="25586330"/>
    <w:rsid w:val="26174B91"/>
    <w:rsid w:val="26233A75"/>
    <w:rsid w:val="26710466"/>
    <w:rsid w:val="26A25EAE"/>
    <w:rsid w:val="26A92154"/>
    <w:rsid w:val="26DF78AE"/>
    <w:rsid w:val="27CD291E"/>
    <w:rsid w:val="27E62DC5"/>
    <w:rsid w:val="285F0282"/>
    <w:rsid w:val="28AB1D3C"/>
    <w:rsid w:val="29470893"/>
    <w:rsid w:val="29AD188B"/>
    <w:rsid w:val="2A736DA2"/>
    <w:rsid w:val="2A7B2F14"/>
    <w:rsid w:val="2AE70E9B"/>
    <w:rsid w:val="2AEB2E60"/>
    <w:rsid w:val="2B7C1B78"/>
    <w:rsid w:val="2B8F40D1"/>
    <w:rsid w:val="2BB009E9"/>
    <w:rsid w:val="2BF527E3"/>
    <w:rsid w:val="2C9A5976"/>
    <w:rsid w:val="2D363202"/>
    <w:rsid w:val="2D3E7A6D"/>
    <w:rsid w:val="2D6D2868"/>
    <w:rsid w:val="2D737478"/>
    <w:rsid w:val="2E4C5B33"/>
    <w:rsid w:val="2E500724"/>
    <w:rsid w:val="2E99231B"/>
    <w:rsid w:val="2EBF1EB4"/>
    <w:rsid w:val="2ED27DB5"/>
    <w:rsid w:val="2EE33A9B"/>
    <w:rsid w:val="2EF66279"/>
    <w:rsid w:val="2F2F75F7"/>
    <w:rsid w:val="2F470908"/>
    <w:rsid w:val="2F500046"/>
    <w:rsid w:val="2F7521F8"/>
    <w:rsid w:val="2F754428"/>
    <w:rsid w:val="2FE62A73"/>
    <w:rsid w:val="30831283"/>
    <w:rsid w:val="30AE618F"/>
    <w:rsid w:val="31460941"/>
    <w:rsid w:val="326A795C"/>
    <w:rsid w:val="32E247FC"/>
    <w:rsid w:val="331B43F2"/>
    <w:rsid w:val="33E40400"/>
    <w:rsid w:val="342E0155"/>
    <w:rsid w:val="345E642F"/>
    <w:rsid w:val="358A7182"/>
    <w:rsid w:val="35E72204"/>
    <w:rsid w:val="35E80B4B"/>
    <w:rsid w:val="36282750"/>
    <w:rsid w:val="36976823"/>
    <w:rsid w:val="3702285D"/>
    <w:rsid w:val="372651AF"/>
    <w:rsid w:val="372C1FC1"/>
    <w:rsid w:val="37B26168"/>
    <w:rsid w:val="37C04AAA"/>
    <w:rsid w:val="383166CC"/>
    <w:rsid w:val="396944E0"/>
    <w:rsid w:val="39761DE8"/>
    <w:rsid w:val="3A270945"/>
    <w:rsid w:val="3A8F2070"/>
    <w:rsid w:val="3BEE46E7"/>
    <w:rsid w:val="3C2E78EB"/>
    <w:rsid w:val="3CEF3BC5"/>
    <w:rsid w:val="3D305FF5"/>
    <w:rsid w:val="3D5A26BC"/>
    <w:rsid w:val="3D696343"/>
    <w:rsid w:val="3DA74B34"/>
    <w:rsid w:val="3DCC58B7"/>
    <w:rsid w:val="3DD25FD0"/>
    <w:rsid w:val="3E0614F5"/>
    <w:rsid w:val="3E2E53B0"/>
    <w:rsid w:val="3E4A3D71"/>
    <w:rsid w:val="3EC623BE"/>
    <w:rsid w:val="3ED25B0A"/>
    <w:rsid w:val="3F0B6A30"/>
    <w:rsid w:val="3F5136CD"/>
    <w:rsid w:val="40571637"/>
    <w:rsid w:val="405B232F"/>
    <w:rsid w:val="415D167C"/>
    <w:rsid w:val="41B7527E"/>
    <w:rsid w:val="422B627A"/>
    <w:rsid w:val="425113B5"/>
    <w:rsid w:val="4292360D"/>
    <w:rsid w:val="42944ABD"/>
    <w:rsid w:val="42D3437F"/>
    <w:rsid w:val="434E308A"/>
    <w:rsid w:val="43AC1BEF"/>
    <w:rsid w:val="443020B6"/>
    <w:rsid w:val="44824722"/>
    <w:rsid w:val="448C4EE6"/>
    <w:rsid w:val="449C4373"/>
    <w:rsid w:val="44AD0EBA"/>
    <w:rsid w:val="44C4718E"/>
    <w:rsid w:val="451833C0"/>
    <w:rsid w:val="453F2AC6"/>
    <w:rsid w:val="45675F0E"/>
    <w:rsid w:val="45F00570"/>
    <w:rsid w:val="46025F9D"/>
    <w:rsid w:val="464A7E2E"/>
    <w:rsid w:val="46A25CD3"/>
    <w:rsid w:val="472C5233"/>
    <w:rsid w:val="476F11AE"/>
    <w:rsid w:val="47E61716"/>
    <w:rsid w:val="47EA7C1E"/>
    <w:rsid w:val="4852396A"/>
    <w:rsid w:val="48BE5598"/>
    <w:rsid w:val="48EB7A43"/>
    <w:rsid w:val="49D844B1"/>
    <w:rsid w:val="4A2B2920"/>
    <w:rsid w:val="4A3D2AA8"/>
    <w:rsid w:val="4A5620B0"/>
    <w:rsid w:val="4B1F55B2"/>
    <w:rsid w:val="4C48763C"/>
    <w:rsid w:val="4C5C1ADE"/>
    <w:rsid w:val="4C716E09"/>
    <w:rsid w:val="4C756915"/>
    <w:rsid w:val="4C99056D"/>
    <w:rsid w:val="4D383EEB"/>
    <w:rsid w:val="4DBD0CF8"/>
    <w:rsid w:val="4DC14E43"/>
    <w:rsid w:val="4E18105F"/>
    <w:rsid w:val="4F1B30AD"/>
    <w:rsid w:val="4F3706BD"/>
    <w:rsid w:val="4F527945"/>
    <w:rsid w:val="4F992C2B"/>
    <w:rsid w:val="4FA83514"/>
    <w:rsid w:val="4FBE4814"/>
    <w:rsid w:val="502F5CF4"/>
    <w:rsid w:val="50885C21"/>
    <w:rsid w:val="50913106"/>
    <w:rsid w:val="50A83381"/>
    <w:rsid w:val="51107805"/>
    <w:rsid w:val="51661EE9"/>
    <w:rsid w:val="519F142B"/>
    <w:rsid w:val="51A84C0B"/>
    <w:rsid w:val="51C17766"/>
    <w:rsid w:val="522B0225"/>
    <w:rsid w:val="522D0F80"/>
    <w:rsid w:val="527A5CA9"/>
    <w:rsid w:val="52903990"/>
    <w:rsid w:val="52B977C2"/>
    <w:rsid w:val="531E6562"/>
    <w:rsid w:val="535C4734"/>
    <w:rsid w:val="53B962AC"/>
    <w:rsid w:val="53FE09C3"/>
    <w:rsid w:val="546514AA"/>
    <w:rsid w:val="548D02EA"/>
    <w:rsid w:val="54905BFF"/>
    <w:rsid w:val="5516495A"/>
    <w:rsid w:val="556B63F0"/>
    <w:rsid w:val="55924E6D"/>
    <w:rsid w:val="55BE5025"/>
    <w:rsid w:val="55D6782B"/>
    <w:rsid w:val="563353BF"/>
    <w:rsid w:val="56CF4B16"/>
    <w:rsid w:val="56DF1954"/>
    <w:rsid w:val="56EA562C"/>
    <w:rsid w:val="5734107C"/>
    <w:rsid w:val="57CA7F6E"/>
    <w:rsid w:val="57CB58F8"/>
    <w:rsid w:val="58D02D39"/>
    <w:rsid w:val="591177FF"/>
    <w:rsid w:val="59275709"/>
    <w:rsid w:val="5928125B"/>
    <w:rsid w:val="59610EB0"/>
    <w:rsid w:val="59664DED"/>
    <w:rsid w:val="599B4DE5"/>
    <w:rsid w:val="5A866446"/>
    <w:rsid w:val="5A9845C8"/>
    <w:rsid w:val="5A9918A6"/>
    <w:rsid w:val="5ACD5F14"/>
    <w:rsid w:val="5ADD5EE0"/>
    <w:rsid w:val="5AE3586B"/>
    <w:rsid w:val="5B09474C"/>
    <w:rsid w:val="5C6330E6"/>
    <w:rsid w:val="5D11779D"/>
    <w:rsid w:val="5D2B07CE"/>
    <w:rsid w:val="5D5A5582"/>
    <w:rsid w:val="5D5A5A7E"/>
    <w:rsid w:val="5D6578A6"/>
    <w:rsid w:val="5E3C7B24"/>
    <w:rsid w:val="5E423642"/>
    <w:rsid w:val="5E423857"/>
    <w:rsid w:val="5E4866AF"/>
    <w:rsid w:val="5EC0155B"/>
    <w:rsid w:val="5ED75041"/>
    <w:rsid w:val="5EEA6ADE"/>
    <w:rsid w:val="5FA74EA8"/>
    <w:rsid w:val="600C6FB6"/>
    <w:rsid w:val="60300E7B"/>
    <w:rsid w:val="60A6432A"/>
    <w:rsid w:val="61040D61"/>
    <w:rsid w:val="6198304C"/>
    <w:rsid w:val="61F01553"/>
    <w:rsid w:val="62310786"/>
    <w:rsid w:val="62BD4672"/>
    <w:rsid w:val="63190066"/>
    <w:rsid w:val="632C6A24"/>
    <w:rsid w:val="63395724"/>
    <w:rsid w:val="63505B10"/>
    <w:rsid w:val="63F96AA9"/>
    <w:rsid w:val="64233158"/>
    <w:rsid w:val="65097400"/>
    <w:rsid w:val="65814E6B"/>
    <w:rsid w:val="66091BD6"/>
    <w:rsid w:val="66252419"/>
    <w:rsid w:val="66484664"/>
    <w:rsid w:val="665767AC"/>
    <w:rsid w:val="67353F75"/>
    <w:rsid w:val="67FE04EF"/>
    <w:rsid w:val="6817544E"/>
    <w:rsid w:val="681D2FC5"/>
    <w:rsid w:val="683E38C2"/>
    <w:rsid w:val="684C1B99"/>
    <w:rsid w:val="686F3C52"/>
    <w:rsid w:val="68D36AC2"/>
    <w:rsid w:val="69CF3698"/>
    <w:rsid w:val="6A962846"/>
    <w:rsid w:val="6AA611D8"/>
    <w:rsid w:val="6AAB7FC9"/>
    <w:rsid w:val="6ADB4B61"/>
    <w:rsid w:val="6AE13551"/>
    <w:rsid w:val="6B4B0161"/>
    <w:rsid w:val="6BC6774A"/>
    <w:rsid w:val="6BFA49F6"/>
    <w:rsid w:val="6C3D0277"/>
    <w:rsid w:val="6C92560E"/>
    <w:rsid w:val="6CE737C9"/>
    <w:rsid w:val="6D046B78"/>
    <w:rsid w:val="6D3C7C72"/>
    <w:rsid w:val="6DB47886"/>
    <w:rsid w:val="6DE5529C"/>
    <w:rsid w:val="6DFF4394"/>
    <w:rsid w:val="6E08188B"/>
    <w:rsid w:val="6E13100D"/>
    <w:rsid w:val="6EB655DC"/>
    <w:rsid w:val="6EB97B9E"/>
    <w:rsid w:val="6F1C79B6"/>
    <w:rsid w:val="6FCD1968"/>
    <w:rsid w:val="7000450F"/>
    <w:rsid w:val="701F24F9"/>
    <w:rsid w:val="702A07D6"/>
    <w:rsid w:val="703A77B3"/>
    <w:rsid w:val="703C22B0"/>
    <w:rsid w:val="70B25DAF"/>
    <w:rsid w:val="70BB1930"/>
    <w:rsid w:val="71092E34"/>
    <w:rsid w:val="711B6478"/>
    <w:rsid w:val="712E3402"/>
    <w:rsid w:val="71582AAF"/>
    <w:rsid w:val="71591930"/>
    <w:rsid w:val="71A566C7"/>
    <w:rsid w:val="72323BFF"/>
    <w:rsid w:val="726A4B3A"/>
    <w:rsid w:val="73314ED6"/>
    <w:rsid w:val="73911114"/>
    <w:rsid w:val="74841096"/>
    <w:rsid w:val="74C873C6"/>
    <w:rsid w:val="74FA787B"/>
    <w:rsid w:val="752010CC"/>
    <w:rsid w:val="75497EDF"/>
    <w:rsid w:val="756A6B0D"/>
    <w:rsid w:val="7634093C"/>
    <w:rsid w:val="76BC01B9"/>
    <w:rsid w:val="76FF55B7"/>
    <w:rsid w:val="772A38D8"/>
    <w:rsid w:val="788155D5"/>
    <w:rsid w:val="79E817C9"/>
    <w:rsid w:val="7A16589A"/>
    <w:rsid w:val="7A726D51"/>
    <w:rsid w:val="7AAF0D45"/>
    <w:rsid w:val="7B3070E4"/>
    <w:rsid w:val="7B624671"/>
    <w:rsid w:val="7B713AB0"/>
    <w:rsid w:val="7C041228"/>
    <w:rsid w:val="7C8C37A3"/>
    <w:rsid w:val="7CAA0CEE"/>
    <w:rsid w:val="7CFE199F"/>
    <w:rsid w:val="7D4A58B4"/>
    <w:rsid w:val="7D7545E3"/>
    <w:rsid w:val="7D9477F2"/>
    <w:rsid w:val="7D9F3C2F"/>
    <w:rsid w:val="7E016783"/>
    <w:rsid w:val="7E257FB3"/>
    <w:rsid w:val="7E262746"/>
    <w:rsid w:val="7E2D5A9B"/>
    <w:rsid w:val="7E8052AE"/>
    <w:rsid w:val="7E84591E"/>
    <w:rsid w:val="7E8E4A25"/>
    <w:rsid w:val="7EF2441D"/>
    <w:rsid w:val="7F2C3804"/>
    <w:rsid w:val="7F30258B"/>
    <w:rsid w:val="7F3C59F5"/>
    <w:rsid w:val="7F9A6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ody Text"/>
    <w:basedOn w:val="1"/>
    <w:next w:val="1"/>
    <w:qFormat/>
    <w:uiPriority w:val="0"/>
    <w:pPr>
      <w:spacing w:after="120"/>
    </w:pPr>
  </w:style>
  <w:style w:type="paragraph" w:styleId="5">
    <w:name w:val="Balloon Text"/>
    <w:basedOn w:val="1"/>
    <w:link w:val="20"/>
    <w:autoRedefine/>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0"/>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annotation subject"/>
    <w:basedOn w:val="3"/>
    <w:next w:val="3"/>
    <w:link w:val="19"/>
    <w:qFormat/>
    <w:uiPriority w:val="0"/>
    <w:rPr>
      <w:b/>
      <w:bCs/>
    </w:r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autoRedefine/>
    <w:qFormat/>
    <w:uiPriority w:val="0"/>
    <w:rPr>
      <w:sz w:val="21"/>
      <w:szCs w:val="21"/>
    </w:rPr>
  </w:style>
  <w:style w:type="paragraph" w:styleId="15">
    <w:name w:val="List Paragraph"/>
    <w:basedOn w:val="1"/>
    <w:autoRedefine/>
    <w:qFormat/>
    <w:uiPriority w:val="34"/>
    <w:pPr>
      <w:ind w:firstLine="420" w:firstLineChars="200"/>
    </w:pPr>
  </w:style>
  <w:style w:type="character" w:customStyle="1" w:styleId="16">
    <w:name w:val="页眉 字符"/>
    <w:basedOn w:val="13"/>
    <w:link w:val="7"/>
    <w:autoRedefine/>
    <w:qFormat/>
    <w:uiPriority w:val="0"/>
    <w:rPr>
      <w:kern w:val="2"/>
      <w:sz w:val="18"/>
      <w:szCs w:val="18"/>
    </w:rPr>
  </w:style>
  <w:style w:type="character" w:customStyle="1" w:styleId="17">
    <w:name w:val="页脚 字符"/>
    <w:basedOn w:val="13"/>
    <w:link w:val="6"/>
    <w:autoRedefine/>
    <w:qFormat/>
    <w:uiPriority w:val="99"/>
    <w:rPr>
      <w:kern w:val="2"/>
      <w:sz w:val="18"/>
      <w:szCs w:val="18"/>
    </w:rPr>
  </w:style>
  <w:style w:type="character" w:customStyle="1" w:styleId="18">
    <w:name w:val="批注文字 字符"/>
    <w:basedOn w:val="13"/>
    <w:link w:val="3"/>
    <w:autoRedefine/>
    <w:qFormat/>
    <w:uiPriority w:val="0"/>
    <w:rPr>
      <w:rFonts w:asciiTheme="minorHAnsi" w:hAnsiTheme="minorHAnsi" w:eastAsiaTheme="minorEastAsia" w:cstheme="minorBidi"/>
      <w:kern w:val="2"/>
      <w:sz w:val="21"/>
      <w:szCs w:val="22"/>
    </w:rPr>
  </w:style>
  <w:style w:type="character" w:customStyle="1" w:styleId="19">
    <w:name w:val="批注主题 字符"/>
    <w:basedOn w:val="18"/>
    <w:link w:val="10"/>
    <w:autoRedefine/>
    <w:qFormat/>
    <w:uiPriority w:val="0"/>
    <w:rPr>
      <w:rFonts w:asciiTheme="minorHAnsi" w:hAnsiTheme="minorHAnsi" w:eastAsiaTheme="minorEastAsia" w:cstheme="minorBidi"/>
      <w:b/>
      <w:bCs/>
      <w:kern w:val="2"/>
      <w:sz w:val="21"/>
      <w:szCs w:val="22"/>
    </w:rPr>
  </w:style>
  <w:style w:type="character" w:customStyle="1" w:styleId="20">
    <w:name w:val="批注框文本 字符"/>
    <w:basedOn w:val="13"/>
    <w:link w:val="5"/>
    <w:autoRedefine/>
    <w:qFormat/>
    <w:uiPriority w:val="0"/>
    <w:rPr>
      <w:rFonts w:asciiTheme="minorHAnsi" w:hAnsiTheme="minorHAnsi" w:eastAsiaTheme="minorEastAsia" w:cstheme="minorBidi"/>
      <w:kern w:val="2"/>
      <w:sz w:val="18"/>
      <w:szCs w:val="18"/>
    </w:rPr>
  </w:style>
  <w:style w:type="paragraph" w:customStyle="1" w:styleId="21">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1869</Words>
  <Characters>1995</Characters>
  <Lines>15</Lines>
  <Paragraphs>4</Paragraphs>
  <TotalTime>1</TotalTime>
  <ScaleCrop>false</ScaleCrop>
  <LinksUpToDate>false</LinksUpToDate>
  <CharactersWithSpaces>1996</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温柔远见卓越小胖子</cp:lastModifiedBy>
  <cp:lastPrinted>2023-06-05T04:41:00Z</cp:lastPrinted>
  <dcterms:modified xsi:type="dcterms:W3CDTF">2026-05-21T08:53:28Z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941F3EB09A554D8798CC2A560571214D_13</vt:lpwstr>
  </property>
  <property fmtid="{D5CDD505-2E9C-101B-9397-08002B2CF9AE}" pid="4" name="KSOTemplateDocerSaveRecord">
    <vt:lpwstr>eyJoZGlkIjoiMGJkYzY5Mzc1ODgxOWIxYzQ3ODc0YTA1N2IyMDA0NDciLCJ1c2VySWQiOiIxNTU0NzAyMjgwIn0=</vt:lpwstr>
  </property>
</Properties>
</file>