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207F5">
      <w:pPr>
        <w:spacing w:line="360" w:lineRule="auto"/>
        <w:jc w:val="center"/>
        <w:rPr>
          <w:rFonts w:ascii="方正公文小标宋" w:hAnsi="方正公文小标宋" w:eastAsia="方正公文小标宋" w:cs="方正公文小标宋"/>
          <w:b/>
          <w:bCs/>
          <w:sz w:val="36"/>
          <w:szCs w:val="36"/>
        </w:rPr>
      </w:pPr>
    </w:p>
    <w:p w14:paraId="6C383132">
      <w:pPr>
        <w:spacing w:line="360" w:lineRule="auto"/>
        <w:jc w:val="center"/>
        <w:rPr>
          <w:rFonts w:ascii="方正公文小标宋" w:hAnsi="方正公文小标宋" w:eastAsia="方正公文小标宋" w:cs="方正公文小标宋"/>
          <w:b/>
          <w:bCs/>
          <w:sz w:val="36"/>
          <w:szCs w:val="36"/>
        </w:rPr>
      </w:pPr>
    </w:p>
    <w:p w14:paraId="42C43A48">
      <w:pPr>
        <w:spacing w:line="360" w:lineRule="auto"/>
        <w:jc w:val="center"/>
        <w:rPr>
          <w:rFonts w:ascii="方正公文小标宋" w:hAnsi="方正公文小标宋" w:eastAsia="方正公文小标宋" w:cs="方正公文小标宋"/>
          <w:b/>
          <w:bCs/>
          <w:sz w:val="36"/>
          <w:szCs w:val="36"/>
        </w:rPr>
      </w:pPr>
    </w:p>
    <w:p w14:paraId="7CFCC461">
      <w:pPr>
        <w:spacing w:line="360" w:lineRule="auto"/>
        <w:jc w:val="center"/>
        <w:rPr>
          <w:rFonts w:ascii="方正公文小标宋" w:hAnsi="方正公文小标宋" w:eastAsia="方正公文小标宋" w:cs="方正公文小标宋"/>
          <w:b/>
          <w:bCs/>
          <w:sz w:val="36"/>
          <w:szCs w:val="36"/>
        </w:rPr>
      </w:pPr>
    </w:p>
    <w:p w14:paraId="0806B07B">
      <w:pPr>
        <w:pStyle w:val="18"/>
        <w:ind w:firstLine="210"/>
      </w:pPr>
    </w:p>
    <w:p w14:paraId="03AD2040">
      <w:pPr>
        <w:spacing w:line="360" w:lineRule="auto"/>
        <w:jc w:val="center"/>
        <w:rPr>
          <w:rFonts w:ascii="方正公文小标宋" w:hAnsi="方正公文小标宋" w:eastAsia="方正公文小标宋" w:cs="方正公文小标宋"/>
          <w:b/>
          <w:bCs/>
          <w:sz w:val="36"/>
          <w:szCs w:val="36"/>
        </w:rPr>
      </w:pPr>
    </w:p>
    <w:p w14:paraId="248F3392">
      <w:pPr>
        <w:spacing w:line="580" w:lineRule="exact"/>
        <w:jc w:val="center"/>
        <w:rPr>
          <w:rFonts w:hint="eastAsia" w:ascii="黑体" w:hAnsi="黑体" w:eastAsia="黑体" w:cs="方正公文小标宋"/>
          <w:b/>
          <w:bCs/>
          <w:sz w:val="36"/>
          <w:szCs w:val="36"/>
          <w:lang w:eastAsia="zh-CN"/>
        </w:rPr>
      </w:pPr>
      <w:r>
        <w:rPr>
          <w:rFonts w:hint="eastAsia" w:ascii="黑体" w:hAnsi="黑体" w:eastAsia="黑体" w:cs="方正公文小标宋"/>
          <w:b/>
          <w:bCs/>
          <w:sz w:val="36"/>
          <w:szCs w:val="36"/>
          <w:lang w:eastAsia="zh-CN"/>
        </w:rPr>
        <w:t>广西 AI人才培养基地暨广西未来人工智能工业设计创新中心</w:t>
      </w:r>
    </w:p>
    <w:p w14:paraId="23BAE841">
      <w:pPr>
        <w:spacing w:line="580" w:lineRule="exact"/>
        <w:jc w:val="center"/>
        <w:rPr>
          <w:rFonts w:hint="eastAsia" w:ascii="黑体" w:hAnsi="黑体" w:eastAsia="黑体" w:cs="方正公文小标宋"/>
          <w:b/>
          <w:bCs/>
          <w:sz w:val="36"/>
          <w:szCs w:val="36"/>
          <w:lang w:eastAsia="zh-CN"/>
        </w:rPr>
      </w:pPr>
      <w:r>
        <w:rPr>
          <w:rFonts w:hint="eastAsia" w:ascii="黑体" w:hAnsi="黑体" w:eastAsia="黑体" w:cs="方正公文小标宋"/>
          <w:b/>
          <w:bCs/>
          <w:sz w:val="36"/>
          <w:szCs w:val="36"/>
          <w:lang w:eastAsia="zh-CN"/>
        </w:rPr>
        <w:t>LED屏及配套设备采购项目</w:t>
      </w:r>
    </w:p>
    <w:p w14:paraId="546CD782">
      <w:pPr>
        <w:spacing w:line="580" w:lineRule="exact"/>
        <w:jc w:val="center"/>
      </w:pPr>
      <w:r>
        <w:rPr>
          <w:rFonts w:hint="eastAsia" w:ascii="黑体" w:hAnsi="黑体" w:eastAsia="黑体" w:cs="方正公文小标宋"/>
          <w:b/>
          <w:bCs/>
          <w:sz w:val="36"/>
          <w:szCs w:val="36"/>
        </w:rPr>
        <w:t>采购文件</w:t>
      </w:r>
    </w:p>
    <w:p w14:paraId="6E948485">
      <w:pPr>
        <w:spacing w:line="580" w:lineRule="exact"/>
        <w:jc w:val="center"/>
      </w:pPr>
    </w:p>
    <w:p w14:paraId="52ACCA8A">
      <w:pPr>
        <w:pStyle w:val="5"/>
      </w:pPr>
    </w:p>
    <w:p w14:paraId="49E30372"/>
    <w:p w14:paraId="25081B29">
      <w:pPr>
        <w:pStyle w:val="19"/>
        <w:ind w:firstLine="640"/>
      </w:pPr>
    </w:p>
    <w:p w14:paraId="4306B934">
      <w:pPr>
        <w:pStyle w:val="19"/>
        <w:ind w:firstLine="640"/>
      </w:pPr>
    </w:p>
    <w:p w14:paraId="73FBDA67">
      <w:pPr>
        <w:spacing w:line="580" w:lineRule="exact"/>
        <w:jc w:val="center"/>
      </w:pPr>
    </w:p>
    <w:p w14:paraId="1FF68B72">
      <w:pPr>
        <w:spacing w:line="480" w:lineRule="auto"/>
        <w:ind w:left="3076" w:leftChars="798" w:hanging="1400" w:hangingChars="500"/>
        <w:jc w:val="left"/>
        <w:rPr>
          <w:rFonts w:hint="eastAsia" w:eastAsia="宋体"/>
          <w:sz w:val="28"/>
          <w:szCs w:val="32"/>
          <w:lang w:eastAsia="zh-CN"/>
        </w:rPr>
      </w:pPr>
      <w:r>
        <w:rPr>
          <w:rFonts w:hint="eastAsia"/>
          <w:sz w:val="28"/>
          <w:szCs w:val="32"/>
        </w:rPr>
        <w:t>项目名称：</w:t>
      </w:r>
      <w:bookmarkStart w:id="0" w:name="_Toc11603"/>
      <w:r>
        <w:rPr>
          <w:rFonts w:hint="eastAsia"/>
          <w:sz w:val="28"/>
          <w:szCs w:val="32"/>
          <w:lang w:eastAsia="zh-CN"/>
        </w:rPr>
        <w:t>广西 AI人才培养基地暨广西未来人工智能工业设计创新中心</w:t>
      </w:r>
      <w:bookmarkStart w:id="8" w:name="_GoBack"/>
      <w:bookmarkEnd w:id="8"/>
      <w:r>
        <w:rPr>
          <w:rFonts w:hint="eastAsia"/>
          <w:sz w:val="28"/>
          <w:szCs w:val="32"/>
          <w:lang w:eastAsia="zh-CN"/>
        </w:rPr>
        <w:t>LED屏及配套设备采购项目</w:t>
      </w:r>
    </w:p>
    <w:p w14:paraId="505048CA">
      <w:pPr>
        <w:spacing w:line="480" w:lineRule="auto"/>
        <w:ind w:firstLine="1680" w:firstLineChars="600"/>
        <w:jc w:val="left"/>
        <w:rPr>
          <w:sz w:val="28"/>
          <w:szCs w:val="32"/>
        </w:rPr>
      </w:pPr>
      <w:r>
        <w:rPr>
          <w:rFonts w:hint="eastAsia"/>
          <w:sz w:val="28"/>
          <w:szCs w:val="32"/>
        </w:rPr>
        <w:t>采购人（采购人）名称：</w:t>
      </w:r>
      <w:bookmarkEnd w:id="0"/>
      <w:r>
        <w:rPr>
          <w:rFonts w:hint="eastAsia"/>
          <w:sz w:val="28"/>
          <w:szCs w:val="32"/>
        </w:rPr>
        <w:t>广西工业职业技术学院</w:t>
      </w:r>
    </w:p>
    <w:p w14:paraId="330545F3">
      <w:pPr>
        <w:rPr>
          <w:rFonts w:ascii="仿宋" w:hAnsi="仿宋" w:eastAsia="仿宋" w:cs="仿宋"/>
          <w:b/>
          <w:bCs/>
          <w:sz w:val="24"/>
          <w:szCs w:val="24"/>
        </w:rPr>
      </w:pPr>
    </w:p>
    <w:p w14:paraId="6C594993">
      <w:pPr>
        <w:jc w:val="center"/>
        <w:rPr>
          <w:rFonts w:ascii="仿宋" w:hAnsi="仿宋" w:eastAsia="仿宋" w:cs="仿宋"/>
          <w:b/>
          <w:bCs/>
          <w:sz w:val="24"/>
          <w:szCs w:val="24"/>
        </w:rPr>
        <w:sectPr>
          <w:pgSz w:w="11906" w:h="16838"/>
          <w:pgMar w:top="720" w:right="720" w:bottom="720" w:left="720" w:header="851" w:footer="992" w:gutter="0"/>
          <w:cols w:space="720" w:num="1"/>
          <w:docGrid w:type="lines" w:linePitch="312" w:charSpace="0"/>
        </w:sectPr>
      </w:pPr>
    </w:p>
    <w:p w14:paraId="3868857D">
      <w:pPr>
        <w:pStyle w:val="9"/>
        <w:spacing w:line="600" w:lineRule="auto"/>
        <w:rPr>
          <w:sz w:val="28"/>
          <w:szCs w:val="32"/>
        </w:rPr>
      </w:pPr>
    </w:p>
    <w:sdt>
      <w:sdtPr>
        <w:rPr>
          <w:rFonts w:hint="eastAsia" w:ascii="宋体" w:hAnsi="宋体" w:cs="宋体"/>
          <w:sz w:val="28"/>
          <w:szCs w:val="32"/>
        </w:rPr>
        <w:id w:val="147466375"/>
        <w:docPartObj>
          <w:docPartGallery w:val="Table of Contents"/>
          <w:docPartUnique/>
        </w:docPartObj>
      </w:sdtPr>
      <w:sdtEndPr>
        <w:rPr>
          <w:rFonts w:hint="eastAsia" w:ascii="微软雅黑" w:hAnsi="微软雅黑" w:eastAsia="微软雅黑" w:cs="Arial"/>
          <w:bCs/>
          <w:color w:val="000000"/>
          <w:sz w:val="28"/>
          <w:szCs w:val="40"/>
        </w:rPr>
      </w:sdtEndPr>
      <w:sdtContent>
        <w:p w14:paraId="1CD5D445">
          <w:pPr>
            <w:spacing w:line="600" w:lineRule="auto"/>
            <w:jc w:val="center"/>
            <w:rPr>
              <w:rFonts w:ascii="宋体" w:hAnsi="宋体" w:cs="宋体"/>
              <w:b/>
              <w:bCs/>
              <w:sz w:val="36"/>
              <w:szCs w:val="40"/>
            </w:rPr>
          </w:pPr>
          <w:r>
            <w:rPr>
              <w:rFonts w:hint="eastAsia" w:ascii="宋体" w:hAnsi="宋体" w:cs="宋体"/>
              <w:b/>
              <w:bCs/>
              <w:sz w:val="36"/>
              <w:szCs w:val="40"/>
            </w:rPr>
            <w:t>目   录</w:t>
          </w:r>
        </w:p>
        <w:p w14:paraId="523D15F6">
          <w:pPr>
            <w:pStyle w:val="13"/>
            <w:tabs>
              <w:tab w:val="right" w:leader="dot" w:pos="10466"/>
            </w:tabs>
            <w:spacing w:line="600" w:lineRule="auto"/>
            <w:rPr>
              <w:rFonts w:ascii="宋体" w:hAnsi="宋体" w:cs="宋体"/>
              <w:sz w:val="28"/>
              <w:szCs w:val="32"/>
            </w:rPr>
          </w:pPr>
          <w:r>
            <w:rPr>
              <w:rFonts w:hint="eastAsia" w:ascii="宋体" w:hAnsi="宋体" w:cs="宋体"/>
              <w:b/>
              <w:bCs/>
              <w:color w:val="000000"/>
              <w:sz w:val="40"/>
              <w:szCs w:val="40"/>
            </w:rPr>
            <w:fldChar w:fldCharType="begin"/>
          </w:r>
          <w:r>
            <w:rPr>
              <w:rFonts w:hint="eastAsia" w:ascii="宋体" w:hAnsi="宋体" w:cs="宋体"/>
              <w:b/>
              <w:bCs/>
              <w:color w:val="000000"/>
              <w:sz w:val="40"/>
              <w:szCs w:val="40"/>
            </w:rPr>
            <w:instrText xml:space="preserve">TOC \o "1-3" \h \u </w:instrText>
          </w:r>
          <w:r>
            <w:rPr>
              <w:rFonts w:hint="eastAsia" w:ascii="宋体" w:hAnsi="宋体" w:cs="宋体"/>
              <w:b/>
              <w:bCs/>
              <w:color w:val="000000"/>
              <w:sz w:val="40"/>
              <w:szCs w:val="40"/>
            </w:rPr>
            <w:fldChar w:fldCharType="separate"/>
          </w:r>
          <w:r>
            <w:fldChar w:fldCharType="begin"/>
          </w:r>
          <w:r>
            <w:instrText xml:space="preserve"> HYPERLINK \l "_Toc5839" </w:instrText>
          </w:r>
          <w:r>
            <w:fldChar w:fldCharType="separate"/>
          </w:r>
          <w:r>
            <w:rPr>
              <w:rFonts w:hint="eastAsia" w:ascii="宋体" w:hAnsi="宋体" w:cs="宋体"/>
              <w:sz w:val="28"/>
              <w:szCs w:val="32"/>
            </w:rPr>
            <w:t>第一章 采购需求</w:t>
          </w:r>
          <w:r>
            <w:rPr>
              <w:rFonts w:hint="eastAsia" w:ascii="宋体" w:hAnsi="宋体" w:cs="宋体"/>
              <w:sz w:val="28"/>
              <w:szCs w:val="32"/>
            </w:rPr>
            <w:tab/>
          </w:r>
          <w:r>
            <w:rPr>
              <w:rFonts w:hint="eastAsia" w:ascii="宋体" w:hAnsi="宋体" w:cs="宋体"/>
              <w:sz w:val="28"/>
              <w:szCs w:val="32"/>
            </w:rPr>
            <w:fldChar w:fldCharType="begin"/>
          </w:r>
          <w:r>
            <w:rPr>
              <w:rFonts w:hint="eastAsia" w:ascii="宋体" w:hAnsi="宋体" w:cs="宋体"/>
              <w:sz w:val="28"/>
              <w:szCs w:val="32"/>
            </w:rPr>
            <w:instrText xml:space="preserve"> PAGEREF _Toc5839 \h </w:instrText>
          </w:r>
          <w:r>
            <w:rPr>
              <w:rFonts w:hint="eastAsia" w:ascii="宋体" w:hAnsi="宋体" w:cs="宋体"/>
              <w:sz w:val="28"/>
              <w:szCs w:val="32"/>
            </w:rPr>
            <w:fldChar w:fldCharType="separate"/>
          </w:r>
          <w:r>
            <w:rPr>
              <w:rFonts w:ascii="宋体" w:hAnsi="宋体" w:cs="宋体"/>
              <w:sz w:val="28"/>
              <w:szCs w:val="32"/>
            </w:rPr>
            <w:t>3</w:t>
          </w:r>
          <w:r>
            <w:rPr>
              <w:rFonts w:hint="eastAsia" w:ascii="宋体" w:hAnsi="宋体" w:cs="宋体"/>
              <w:sz w:val="28"/>
              <w:szCs w:val="32"/>
            </w:rPr>
            <w:fldChar w:fldCharType="end"/>
          </w:r>
          <w:r>
            <w:rPr>
              <w:rFonts w:hint="eastAsia" w:ascii="宋体" w:hAnsi="宋体" w:cs="宋体"/>
              <w:sz w:val="28"/>
              <w:szCs w:val="32"/>
            </w:rPr>
            <w:fldChar w:fldCharType="end"/>
          </w:r>
        </w:p>
        <w:p w14:paraId="0C804F5E">
          <w:pPr>
            <w:pStyle w:val="15"/>
            <w:tabs>
              <w:tab w:val="right" w:leader="dot" w:pos="10466"/>
            </w:tabs>
            <w:spacing w:line="600" w:lineRule="auto"/>
            <w:rPr>
              <w:rFonts w:ascii="宋体" w:hAnsi="宋体" w:cs="宋体"/>
              <w:sz w:val="28"/>
              <w:szCs w:val="32"/>
            </w:rPr>
          </w:pPr>
          <w:r>
            <w:fldChar w:fldCharType="begin"/>
          </w:r>
          <w:r>
            <w:instrText xml:space="preserve"> HYPERLINK \l "_Toc18075" </w:instrText>
          </w:r>
          <w:r>
            <w:fldChar w:fldCharType="separate"/>
          </w:r>
          <w:r>
            <w:rPr>
              <w:rFonts w:hint="eastAsia" w:ascii="宋体" w:hAnsi="宋体" w:cs="宋体"/>
              <w:sz w:val="28"/>
              <w:szCs w:val="32"/>
            </w:rPr>
            <w:t>附件一：</w:t>
          </w:r>
          <w:r>
            <w:rPr>
              <w:rFonts w:hint="eastAsia" w:ascii="宋体" w:hAnsi="宋体" w:cs="宋体"/>
              <w:sz w:val="28"/>
              <w:szCs w:val="32"/>
              <w:lang w:eastAsia="zh-CN"/>
            </w:rPr>
            <w:t>LED屏及配套设备</w:t>
          </w:r>
          <w:r>
            <w:rPr>
              <w:rFonts w:hint="eastAsia" w:ascii="宋体" w:hAnsi="宋体" w:cs="宋体"/>
              <w:sz w:val="28"/>
              <w:szCs w:val="32"/>
            </w:rPr>
            <w:t>的主要技术性能</w:t>
          </w:r>
          <w:r>
            <w:rPr>
              <w:rFonts w:hint="eastAsia" w:ascii="宋体" w:hAnsi="宋体" w:cs="宋体"/>
              <w:sz w:val="28"/>
              <w:szCs w:val="32"/>
            </w:rPr>
            <w:tab/>
          </w:r>
          <w:r>
            <w:rPr>
              <w:rFonts w:hint="eastAsia" w:ascii="宋体" w:hAnsi="宋体" w:cs="宋体"/>
              <w:sz w:val="28"/>
              <w:szCs w:val="32"/>
            </w:rPr>
            <w:fldChar w:fldCharType="begin"/>
          </w:r>
          <w:r>
            <w:rPr>
              <w:rFonts w:hint="eastAsia" w:ascii="宋体" w:hAnsi="宋体" w:cs="宋体"/>
              <w:sz w:val="28"/>
              <w:szCs w:val="32"/>
            </w:rPr>
            <w:instrText xml:space="preserve"> PAGEREF _Toc18075 \h </w:instrText>
          </w:r>
          <w:r>
            <w:rPr>
              <w:rFonts w:hint="eastAsia" w:ascii="宋体" w:hAnsi="宋体" w:cs="宋体"/>
              <w:sz w:val="28"/>
              <w:szCs w:val="32"/>
            </w:rPr>
            <w:fldChar w:fldCharType="separate"/>
          </w:r>
          <w:r>
            <w:rPr>
              <w:rFonts w:ascii="宋体" w:hAnsi="宋体" w:cs="宋体"/>
              <w:sz w:val="28"/>
              <w:szCs w:val="32"/>
            </w:rPr>
            <w:t>6</w:t>
          </w:r>
          <w:r>
            <w:rPr>
              <w:rFonts w:hint="eastAsia" w:ascii="宋体" w:hAnsi="宋体" w:cs="宋体"/>
              <w:sz w:val="28"/>
              <w:szCs w:val="32"/>
            </w:rPr>
            <w:fldChar w:fldCharType="end"/>
          </w:r>
          <w:r>
            <w:rPr>
              <w:rFonts w:hint="eastAsia" w:ascii="宋体" w:hAnsi="宋体" w:cs="宋体"/>
              <w:sz w:val="28"/>
              <w:szCs w:val="32"/>
            </w:rPr>
            <w:fldChar w:fldCharType="end"/>
          </w:r>
        </w:p>
        <w:p w14:paraId="31718A30">
          <w:pPr>
            <w:pStyle w:val="15"/>
            <w:tabs>
              <w:tab w:val="right" w:leader="dot" w:pos="10466"/>
            </w:tabs>
            <w:spacing w:line="600" w:lineRule="auto"/>
            <w:rPr>
              <w:rFonts w:ascii="宋体" w:hAnsi="宋体" w:cs="宋体"/>
              <w:sz w:val="28"/>
              <w:szCs w:val="32"/>
            </w:rPr>
          </w:pPr>
          <w:r>
            <w:fldChar w:fldCharType="begin"/>
          </w:r>
          <w:r>
            <w:instrText xml:space="preserve"> HYPERLINK \l "_Toc21066" </w:instrText>
          </w:r>
          <w:r>
            <w:fldChar w:fldCharType="separate"/>
          </w:r>
          <w:r>
            <w:rPr>
              <w:rFonts w:hint="eastAsia" w:ascii="宋体" w:hAnsi="宋体" w:cs="宋体"/>
              <w:sz w:val="28"/>
              <w:szCs w:val="32"/>
            </w:rPr>
            <w:t>附件二：商家须知在线询价、反向竞价违约处理规则</w:t>
          </w:r>
          <w:r>
            <w:rPr>
              <w:rFonts w:hint="eastAsia" w:ascii="宋体" w:hAnsi="宋体" w:cs="宋体"/>
              <w:sz w:val="28"/>
              <w:szCs w:val="32"/>
            </w:rPr>
            <w:tab/>
          </w:r>
          <w:r>
            <w:rPr>
              <w:rFonts w:hint="eastAsia" w:ascii="宋体" w:hAnsi="宋体" w:cs="宋体"/>
              <w:sz w:val="28"/>
              <w:szCs w:val="32"/>
            </w:rPr>
            <w:fldChar w:fldCharType="begin"/>
          </w:r>
          <w:r>
            <w:rPr>
              <w:rFonts w:hint="eastAsia" w:ascii="宋体" w:hAnsi="宋体" w:cs="宋体"/>
              <w:sz w:val="28"/>
              <w:szCs w:val="32"/>
            </w:rPr>
            <w:instrText xml:space="preserve"> PAGEREF _Toc21066 \h </w:instrText>
          </w:r>
          <w:r>
            <w:rPr>
              <w:rFonts w:hint="eastAsia" w:ascii="宋体" w:hAnsi="宋体" w:cs="宋体"/>
              <w:sz w:val="28"/>
              <w:szCs w:val="32"/>
            </w:rPr>
            <w:fldChar w:fldCharType="separate"/>
          </w:r>
          <w:r>
            <w:rPr>
              <w:rFonts w:ascii="宋体" w:hAnsi="宋体" w:cs="宋体"/>
              <w:sz w:val="28"/>
              <w:szCs w:val="32"/>
            </w:rPr>
            <w:t>6</w:t>
          </w:r>
          <w:r>
            <w:rPr>
              <w:rFonts w:hint="eastAsia" w:ascii="宋体" w:hAnsi="宋体" w:cs="宋体"/>
              <w:sz w:val="28"/>
              <w:szCs w:val="32"/>
            </w:rPr>
            <w:fldChar w:fldCharType="end"/>
          </w:r>
          <w:r>
            <w:rPr>
              <w:rFonts w:hint="eastAsia" w:ascii="宋体" w:hAnsi="宋体" w:cs="宋体"/>
              <w:sz w:val="28"/>
              <w:szCs w:val="32"/>
            </w:rPr>
            <w:fldChar w:fldCharType="end"/>
          </w:r>
        </w:p>
        <w:p w14:paraId="6BCF2063">
          <w:pPr>
            <w:pStyle w:val="15"/>
            <w:tabs>
              <w:tab w:val="right" w:leader="dot" w:pos="10466"/>
            </w:tabs>
            <w:spacing w:line="600" w:lineRule="auto"/>
            <w:rPr>
              <w:rFonts w:ascii="宋体" w:hAnsi="宋体" w:cs="宋体"/>
              <w:sz w:val="28"/>
              <w:szCs w:val="32"/>
            </w:rPr>
          </w:pPr>
          <w:r>
            <w:fldChar w:fldCharType="begin"/>
          </w:r>
          <w:r>
            <w:instrText xml:space="preserve"> HYPERLINK \l "_Toc26680" </w:instrText>
          </w:r>
          <w:r>
            <w:fldChar w:fldCharType="separate"/>
          </w:r>
          <w:r>
            <w:rPr>
              <w:rFonts w:hint="eastAsia" w:ascii="宋体" w:hAnsi="宋体" w:cs="宋体"/>
              <w:sz w:val="28"/>
              <w:szCs w:val="32"/>
            </w:rPr>
            <w:t>附件三：广西壮族自治区电子卖场平台管理协议</w:t>
          </w:r>
          <w:r>
            <w:rPr>
              <w:rFonts w:hint="eastAsia" w:ascii="宋体" w:hAnsi="宋体" w:cs="宋体"/>
              <w:sz w:val="28"/>
              <w:szCs w:val="32"/>
            </w:rPr>
            <w:tab/>
          </w:r>
          <w:r>
            <w:rPr>
              <w:rFonts w:hint="eastAsia" w:ascii="宋体" w:hAnsi="宋体" w:cs="宋体"/>
              <w:sz w:val="28"/>
              <w:szCs w:val="32"/>
            </w:rPr>
            <w:fldChar w:fldCharType="begin"/>
          </w:r>
          <w:r>
            <w:rPr>
              <w:rFonts w:hint="eastAsia" w:ascii="宋体" w:hAnsi="宋体" w:cs="宋体"/>
              <w:sz w:val="28"/>
              <w:szCs w:val="32"/>
            </w:rPr>
            <w:instrText xml:space="preserve"> PAGEREF _Toc26680 \h </w:instrText>
          </w:r>
          <w:r>
            <w:rPr>
              <w:rFonts w:hint="eastAsia" w:ascii="宋体" w:hAnsi="宋体" w:cs="宋体"/>
              <w:sz w:val="28"/>
              <w:szCs w:val="32"/>
            </w:rPr>
            <w:fldChar w:fldCharType="separate"/>
          </w:r>
          <w:r>
            <w:rPr>
              <w:rFonts w:ascii="宋体" w:hAnsi="宋体" w:cs="宋体"/>
              <w:sz w:val="28"/>
              <w:szCs w:val="32"/>
            </w:rPr>
            <w:t>10</w:t>
          </w:r>
          <w:r>
            <w:rPr>
              <w:rFonts w:hint="eastAsia" w:ascii="宋体" w:hAnsi="宋体" w:cs="宋体"/>
              <w:sz w:val="28"/>
              <w:szCs w:val="32"/>
            </w:rPr>
            <w:fldChar w:fldCharType="end"/>
          </w:r>
          <w:r>
            <w:rPr>
              <w:rFonts w:hint="eastAsia" w:ascii="宋体" w:hAnsi="宋体" w:cs="宋体"/>
              <w:sz w:val="28"/>
              <w:szCs w:val="32"/>
            </w:rPr>
            <w:fldChar w:fldCharType="end"/>
          </w:r>
        </w:p>
        <w:p w14:paraId="041A64B6">
          <w:pPr>
            <w:pStyle w:val="13"/>
            <w:tabs>
              <w:tab w:val="right" w:leader="dot" w:pos="10466"/>
            </w:tabs>
            <w:spacing w:line="600" w:lineRule="auto"/>
            <w:rPr>
              <w:rFonts w:ascii="宋体" w:hAnsi="宋体" w:cs="宋体"/>
              <w:sz w:val="28"/>
              <w:szCs w:val="32"/>
            </w:rPr>
          </w:pPr>
          <w:r>
            <w:fldChar w:fldCharType="begin"/>
          </w:r>
          <w:r>
            <w:instrText xml:space="preserve"> HYPERLINK \l "_Toc10444" </w:instrText>
          </w:r>
          <w:r>
            <w:fldChar w:fldCharType="separate"/>
          </w:r>
          <w:r>
            <w:rPr>
              <w:rFonts w:hint="eastAsia" w:ascii="宋体" w:hAnsi="宋体" w:cs="宋体"/>
              <w:sz w:val="28"/>
              <w:szCs w:val="32"/>
            </w:rPr>
            <w:t>第二章 竞价响应文件（格式）</w:t>
          </w:r>
          <w:r>
            <w:rPr>
              <w:rFonts w:hint="eastAsia" w:ascii="宋体" w:hAnsi="宋体" w:cs="宋体"/>
              <w:sz w:val="28"/>
              <w:szCs w:val="32"/>
            </w:rPr>
            <w:tab/>
          </w:r>
          <w:r>
            <w:rPr>
              <w:rFonts w:hint="eastAsia" w:ascii="宋体" w:hAnsi="宋体" w:cs="宋体"/>
              <w:sz w:val="28"/>
              <w:szCs w:val="32"/>
            </w:rPr>
            <w:fldChar w:fldCharType="begin"/>
          </w:r>
          <w:r>
            <w:rPr>
              <w:rFonts w:hint="eastAsia" w:ascii="宋体" w:hAnsi="宋体" w:cs="宋体"/>
              <w:sz w:val="28"/>
              <w:szCs w:val="32"/>
            </w:rPr>
            <w:instrText xml:space="preserve"> PAGEREF _Toc10444 \h </w:instrText>
          </w:r>
          <w:r>
            <w:rPr>
              <w:rFonts w:hint="eastAsia" w:ascii="宋体" w:hAnsi="宋体" w:cs="宋体"/>
              <w:sz w:val="28"/>
              <w:szCs w:val="32"/>
            </w:rPr>
            <w:fldChar w:fldCharType="separate"/>
          </w:r>
          <w:r>
            <w:rPr>
              <w:rFonts w:ascii="宋体" w:hAnsi="宋体" w:cs="宋体"/>
              <w:sz w:val="28"/>
              <w:szCs w:val="32"/>
            </w:rPr>
            <w:t>12</w:t>
          </w:r>
          <w:r>
            <w:rPr>
              <w:rFonts w:hint="eastAsia" w:ascii="宋体" w:hAnsi="宋体" w:cs="宋体"/>
              <w:sz w:val="28"/>
              <w:szCs w:val="32"/>
            </w:rPr>
            <w:fldChar w:fldCharType="end"/>
          </w:r>
          <w:r>
            <w:rPr>
              <w:rFonts w:hint="eastAsia" w:ascii="宋体" w:hAnsi="宋体" w:cs="宋体"/>
              <w:sz w:val="28"/>
              <w:szCs w:val="32"/>
            </w:rPr>
            <w:fldChar w:fldCharType="end"/>
          </w:r>
        </w:p>
        <w:p w14:paraId="03965F94">
          <w:pPr>
            <w:pStyle w:val="18"/>
            <w:spacing w:line="600" w:lineRule="auto"/>
            <w:ind w:firstLine="0" w:firstLineChars="0"/>
            <w:rPr>
              <w:rFonts w:ascii="微软雅黑" w:hAnsi="微软雅黑" w:eastAsia="微软雅黑" w:cs="Arial"/>
              <w:b/>
              <w:bCs/>
              <w:color w:val="000000"/>
              <w:sz w:val="40"/>
              <w:szCs w:val="40"/>
            </w:rPr>
          </w:pPr>
          <w:r>
            <w:rPr>
              <w:rFonts w:hint="eastAsia" w:ascii="宋体" w:hAnsi="宋体" w:cs="宋体"/>
              <w:bCs/>
              <w:color w:val="000000"/>
              <w:sz w:val="28"/>
              <w:szCs w:val="40"/>
            </w:rPr>
            <w:fldChar w:fldCharType="end"/>
          </w:r>
        </w:p>
      </w:sdtContent>
    </w:sdt>
    <w:p w14:paraId="3ADD72DA">
      <w:pPr>
        <w:spacing w:line="600" w:lineRule="auto"/>
        <w:rPr>
          <w:rFonts w:ascii="微软雅黑" w:hAnsi="微软雅黑" w:eastAsia="微软雅黑" w:cs="Arial"/>
          <w:b/>
          <w:bCs/>
          <w:color w:val="000000"/>
          <w:sz w:val="40"/>
          <w:szCs w:val="40"/>
        </w:rPr>
      </w:pPr>
      <w:r>
        <w:rPr>
          <w:rFonts w:hint="eastAsia" w:ascii="微软雅黑" w:hAnsi="微软雅黑" w:eastAsia="微软雅黑" w:cs="Arial"/>
          <w:b/>
          <w:bCs/>
          <w:color w:val="000000"/>
          <w:sz w:val="40"/>
          <w:szCs w:val="40"/>
        </w:rPr>
        <w:br w:type="page"/>
      </w:r>
    </w:p>
    <w:p w14:paraId="5C8BF6FA">
      <w:pPr>
        <w:pStyle w:val="2"/>
        <w:numPr>
          <w:ilvl w:val="0"/>
          <w:numId w:val="1"/>
        </w:numPr>
      </w:pPr>
      <w:bookmarkStart w:id="1" w:name="_Toc5839"/>
      <w:r>
        <w:rPr>
          <w:rFonts w:hint="eastAsia"/>
        </w:rPr>
        <w:t>采购需求</w:t>
      </w:r>
      <w:bookmarkEnd w:id="1"/>
    </w:p>
    <w:p w14:paraId="008EB03D"/>
    <w:tbl>
      <w:tblPr>
        <w:tblStyle w:val="20"/>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1256"/>
        <w:gridCol w:w="1090"/>
        <w:gridCol w:w="1705"/>
        <w:gridCol w:w="707"/>
        <w:gridCol w:w="993"/>
        <w:gridCol w:w="4476"/>
      </w:tblGrid>
      <w:tr w14:paraId="45AC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7"/>
          </w:tcPr>
          <w:p w14:paraId="7D0BB859">
            <w:pPr>
              <w:jc w:val="center"/>
              <w:rPr>
                <w:rFonts w:hint="eastAsia" w:ascii="宋体" w:hAnsi="宋体" w:eastAsia="宋体" w:cs="宋体"/>
                <w:b/>
                <w:bCs/>
                <w:sz w:val="24"/>
                <w:szCs w:val="24"/>
              </w:rPr>
            </w:pPr>
            <w:r>
              <w:rPr>
                <w:rFonts w:hint="eastAsia" w:ascii="宋体" w:hAnsi="宋体" w:eastAsia="宋体" w:cs="宋体"/>
                <w:b/>
                <w:bCs/>
                <w:sz w:val="24"/>
                <w:szCs w:val="24"/>
              </w:rPr>
              <w:t>采购需求表</w:t>
            </w:r>
          </w:p>
        </w:tc>
      </w:tr>
      <w:tr w14:paraId="54A2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1054F3D0">
            <w:pPr>
              <w:numPr>
                <w:ilvl w:val="-1"/>
                <w:numId w:val="0"/>
              </w:numPr>
              <w:ind w:left="0" w:firstLine="0"/>
              <w:rPr>
                <w:rFonts w:hint="eastAsia" w:ascii="宋体" w:hAnsi="宋体" w:eastAsia="宋体" w:cs="宋体"/>
                <w:b/>
                <w:bCs/>
                <w:sz w:val="24"/>
                <w:szCs w:val="24"/>
              </w:rPr>
            </w:pPr>
            <w:r>
              <w:rPr>
                <w:rFonts w:hint="eastAsia" w:ascii="宋体" w:hAnsi="宋体" w:eastAsia="宋体" w:cs="宋体"/>
                <w:b/>
                <w:bCs/>
                <w:sz w:val="24"/>
                <w:szCs w:val="24"/>
              </w:rPr>
              <w:t>注：</w:t>
            </w:r>
          </w:p>
          <w:p w14:paraId="0BA33C82">
            <w:pPr>
              <w:numPr>
                <w:ilvl w:val="0"/>
                <w:numId w:val="2"/>
              </w:numPr>
              <w:rPr>
                <w:rFonts w:hint="eastAsia" w:ascii="宋体" w:hAnsi="宋体" w:eastAsia="宋体" w:cs="宋体"/>
                <w:b/>
                <w:bCs/>
                <w:sz w:val="24"/>
                <w:szCs w:val="24"/>
              </w:rPr>
            </w:pPr>
            <w:r>
              <w:rPr>
                <w:rFonts w:hint="eastAsia" w:ascii="宋体" w:hAnsi="宋体" w:eastAsia="宋体" w:cs="宋体"/>
                <w:b/>
                <w:bCs/>
                <w:sz w:val="24"/>
                <w:szCs w:val="24"/>
              </w:rPr>
              <w:t>本表所有要求均为实质性要求，供应商的任何负偏离响应均视为无效竞标。</w:t>
            </w:r>
          </w:p>
          <w:p w14:paraId="227AB2C9">
            <w:pPr>
              <w:numPr>
                <w:ilvl w:val="0"/>
                <w:numId w:val="2"/>
              </w:numPr>
              <w:rPr>
                <w:rFonts w:hint="eastAsia" w:ascii="宋体" w:hAnsi="宋体" w:eastAsia="宋体" w:cs="宋体"/>
                <w:sz w:val="24"/>
                <w:szCs w:val="24"/>
              </w:rPr>
            </w:pPr>
            <w:r>
              <w:rPr>
                <w:rFonts w:hint="eastAsia" w:ascii="宋体" w:hAnsi="宋体" w:eastAsia="宋体" w:cs="宋体"/>
                <w:b/>
                <w:bCs/>
                <w:sz w:val="24"/>
                <w:szCs w:val="24"/>
              </w:rPr>
              <w:t>本表价格单位为人民币元。</w:t>
            </w:r>
          </w:p>
        </w:tc>
      </w:tr>
      <w:tr w14:paraId="5546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6EA1EE75">
            <w:pPr>
              <w:rPr>
                <w:rFonts w:hint="eastAsia" w:ascii="宋体" w:hAnsi="宋体" w:eastAsia="宋体" w:cs="宋体"/>
                <w:sz w:val="24"/>
                <w:szCs w:val="24"/>
              </w:rPr>
            </w:pPr>
            <w:r>
              <w:rPr>
                <w:rFonts w:hint="eastAsia" w:ascii="宋体" w:hAnsi="宋体" w:eastAsia="宋体" w:cs="宋体"/>
                <w:sz w:val="24"/>
                <w:szCs w:val="24"/>
              </w:rPr>
              <w:t>一、项目要求及技术需求</w:t>
            </w:r>
          </w:p>
        </w:tc>
      </w:tr>
      <w:tr w14:paraId="4045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 w:type="pct"/>
            <w:vAlign w:val="center"/>
          </w:tcPr>
          <w:p w14:paraId="79BC3253">
            <w:pPr>
              <w:rPr>
                <w:rFonts w:hint="eastAsia" w:ascii="宋体" w:hAnsi="宋体" w:eastAsia="宋体" w:cs="宋体"/>
                <w:sz w:val="24"/>
                <w:szCs w:val="24"/>
              </w:rPr>
            </w:pPr>
            <w:r>
              <w:rPr>
                <w:rFonts w:hint="eastAsia" w:ascii="宋体" w:hAnsi="宋体" w:eastAsia="宋体" w:cs="宋体"/>
                <w:sz w:val="24"/>
                <w:szCs w:val="24"/>
              </w:rPr>
              <w:t>项号</w:t>
            </w:r>
          </w:p>
        </w:tc>
        <w:tc>
          <w:tcPr>
            <w:tcW w:w="588" w:type="pct"/>
            <w:vAlign w:val="center"/>
          </w:tcPr>
          <w:p w14:paraId="43E3957C">
            <w:pPr>
              <w:jc w:val="center"/>
              <w:rPr>
                <w:rFonts w:hint="eastAsia" w:ascii="宋体" w:hAnsi="宋体" w:eastAsia="宋体" w:cs="宋体"/>
                <w:sz w:val="24"/>
                <w:szCs w:val="24"/>
              </w:rPr>
            </w:pPr>
            <w:r>
              <w:rPr>
                <w:rFonts w:hint="eastAsia" w:ascii="宋体" w:hAnsi="宋体" w:eastAsia="宋体" w:cs="宋体"/>
                <w:sz w:val="24"/>
                <w:szCs w:val="24"/>
              </w:rPr>
              <w:t>货物名称</w:t>
            </w:r>
          </w:p>
        </w:tc>
        <w:tc>
          <w:tcPr>
            <w:tcW w:w="510" w:type="pct"/>
            <w:vAlign w:val="center"/>
          </w:tcPr>
          <w:p w14:paraId="0CEA8F4A">
            <w:pPr>
              <w:jc w:val="center"/>
              <w:rPr>
                <w:rFonts w:hint="eastAsia" w:ascii="宋体" w:hAnsi="宋体" w:eastAsia="宋体" w:cs="宋体"/>
                <w:sz w:val="24"/>
                <w:szCs w:val="24"/>
              </w:rPr>
            </w:pPr>
            <w:r>
              <w:rPr>
                <w:rFonts w:hint="eastAsia" w:ascii="宋体" w:hAnsi="宋体" w:eastAsia="宋体" w:cs="宋体"/>
                <w:sz w:val="24"/>
                <w:szCs w:val="24"/>
              </w:rPr>
              <w:t>品牌</w:t>
            </w:r>
          </w:p>
        </w:tc>
        <w:tc>
          <w:tcPr>
            <w:tcW w:w="798" w:type="pct"/>
            <w:vAlign w:val="center"/>
          </w:tcPr>
          <w:p w14:paraId="1D87CA2C">
            <w:pPr>
              <w:jc w:val="center"/>
              <w:rPr>
                <w:rFonts w:hint="eastAsia" w:ascii="宋体" w:hAnsi="宋体" w:eastAsia="宋体" w:cs="宋体"/>
                <w:sz w:val="24"/>
                <w:szCs w:val="24"/>
              </w:rPr>
            </w:pPr>
            <w:r>
              <w:rPr>
                <w:rFonts w:hint="eastAsia" w:ascii="宋体" w:hAnsi="宋体" w:eastAsia="宋体" w:cs="宋体"/>
                <w:sz w:val="24"/>
                <w:szCs w:val="24"/>
              </w:rPr>
              <w:t>型号</w:t>
            </w:r>
          </w:p>
        </w:tc>
        <w:tc>
          <w:tcPr>
            <w:tcW w:w="331" w:type="pct"/>
            <w:vAlign w:val="center"/>
          </w:tcPr>
          <w:p w14:paraId="7D63CDFA">
            <w:pPr>
              <w:jc w:val="center"/>
              <w:rPr>
                <w:rFonts w:hint="eastAsia" w:ascii="宋体" w:hAnsi="宋体" w:eastAsia="宋体" w:cs="宋体"/>
                <w:sz w:val="24"/>
                <w:szCs w:val="24"/>
              </w:rPr>
            </w:pPr>
            <w:r>
              <w:rPr>
                <w:rFonts w:hint="eastAsia" w:ascii="宋体" w:hAnsi="宋体" w:eastAsia="宋体" w:cs="宋体"/>
                <w:sz w:val="24"/>
                <w:szCs w:val="24"/>
              </w:rPr>
              <w:t>单位</w:t>
            </w:r>
          </w:p>
        </w:tc>
        <w:tc>
          <w:tcPr>
            <w:tcW w:w="465" w:type="pct"/>
            <w:vAlign w:val="center"/>
          </w:tcPr>
          <w:p w14:paraId="78E1E169">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2095" w:type="pct"/>
            <w:vAlign w:val="center"/>
          </w:tcPr>
          <w:p w14:paraId="0C916113">
            <w:pPr>
              <w:jc w:val="center"/>
              <w:rPr>
                <w:rFonts w:hint="eastAsia" w:ascii="宋体" w:hAnsi="宋体" w:eastAsia="宋体" w:cs="宋体"/>
                <w:sz w:val="24"/>
                <w:szCs w:val="24"/>
              </w:rPr>
            </w:pPr>
            <w:r>
              <w:rPr>
                <w:rFonts w:hint="eastAsia" w:ascii="宋体" w:hAnsi="宋体" w:eastAsia="宋体" w:cs="宋体"/>
                <w:sz w:val="24"/>
                <w:szCs w:val="24"/>
              </w:rPr>
              <w:t>技术参数及性能（配置）要求</w:t>
            </w:r>
          </w:p>
        </w:tc>
      </w:tr>
      <w:tr w14:paraId="71F4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 w:type="pct"/>
            <w:vAlign w:val="center"/>
          </w:tcPr>
          <w:p w14:paraId="4FEF640C">
            <w:pPr>
              <w:jc w:val="center"/>
              <w:rPr>
                <w:rFonts w:hint="eastAsia" w:ascii="宋体" w:hAnsi="宋体" w:eastAsia="宋体" w:cs="宋体"/>
                <w:sz w:val="24"/>
                <w:szCs w:val="24"/>
              </w:rPr>
            </w:pPr>
            <w:r>
              <w:rPr>
                <w:rFonts w:hint="eastAsia" w:ascii="宋体" w:hAnsi="宋体" w:eastAsia="宋体" w:cs="宋体"/>
                <w:sz w:val="24"/>
                <w:szCs w:val="24"/>
              </w:rPr>
              <w:t>1</w:t>
            </w:r>
          </w:p>
        </w:tc>
        <w:tc>
          <w:tcPr>
            <w:tcW w:w="588" w:type="pct"/>
            <w:tcBorders>
              <w:top w:val="nil"/>
              <w:left w:val="single" w:color="auto" w:sz="4" w:space="0"/>
              <w:bottom w:val="single" w:color="auto" w:sz="4" w:space="0"/>
              <w:right w:val="single" w:color="auto" w:sz="4" w:space="0"/>
            </w:tcBorders>
            <w:shd w:val="clear" w:color="auto" w:fill="auto"/>
            <w:vAlign w:val="center"/>
          </w:tcPr>
          <w:p w14:paraId="2DDE0A89">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LED屏及配套设备</w:t>
            </w:r>
          </w:p>
        </w:tc>
        <w:tc>
          <w:tcPr>
            <w:tcW w:w="510" w:type="pct"/>
            <w:tcBorders>
              <w:top w:val="nil"/>
              <w:left w:val="nil"/>
              <w:bottom w:val="single" w:color="auto" w:sz="4" w:space="0"/>
              <w:right w:val="single" w:color="auto" w:sz="4" w:space="0"/>
            </w:tcBorders>
            <w:shd w:val="clear" w:color="auto" w:fill="auto"/>
            <w:vAlign w:val="center"/>
          </w:tcPr>
          <w:p w14:paraId="3A46EC02">
            <w:pPr>
              <w:jc w:val="center"/>
              <w:rPr>
                <w:rFonts w:hint="eastAsia" w:ascii="宋体" w:hAnsi="宋体" w:eastAsia="宋体" w:cs="宋体"/>
                <w:sz w:val="24"/>
                <w:szCs w:val="24"/>
              </w:rPr>
            </w:pPr>
          </w:p>
        </w:tc>
        <w:tc>
          <w:tcPr>
            <w:tcW w:w="798" w:type="pct"/>
            <w:tcBorders>
              <w:top w:val="nil"/>
              <w:left w:val="nil"/>
              <w:bottom w:val="single" w:color="auto" w:sz="4" w:space="0"/>
              <w:right w:val="single" w:color="auto" w:sz="4" w:space="0"/>
            </w:tcBorders>
            <w:shd w:val="clear" w:color="auto" w:fill="auto"/>
            <w:vAlign w:val="center"/>
          </w:tcPr>
          <w:p w14:paraId="4DD8D215">
            <w:pPr>
              <w:jc w:val="center"/>
              <w:rPr>
                <w:rFonts w:hint="eastAsia" w:ascii="宋体" w:hAnsi="宋体" w:eastAsia="宋体" w:cs="宋体"/>
                <w:sz w:val="24"/>
                <w:szCs w:val="24"/>
              </w:rPr>
            </w:pPr>
          </w:p>
        </w:tc>
        <w:tc>
          <w:tcPr>
            <w:tcW w:w="331" w:type="pct"/>
            <w:tcBorders>
              <w:top w:val="nil"/>
              <w:left w:val="single" w:color="auto" w:sz="4" w:space="0"/>
              <w:bottom w:val="single" w:color="auto" w:sz="4" w:space="0"/>
              <w:right w:val="single" w:color="auto" w:sz="4" w:space="0"/>
            </w:tcBorders>
            <w:shd w:val="clear" w:color="auto" w:fill="auto"/>
            <w:vAlign w:val="center"/>
          </w:tcPr>
          <w:p w14:paraId="120042CD">
            <w:pPr>
              <w:jc w:val="center"/>
              <w:rPr>
                <w:rFonts w:hint="eastAsia" w:ascii="宋体" w:hAnsi="宋体" w:eastAsia="宋体" w:cs="宋体"/>
                <w:sz w:val="24"/>
                <w:szCs w:val="24"/>
              </w:rPr>
            </w:pPr>
          </w:p>
        </w:tc>
        <w:tc>
          <w:tcPr>
            <w:tcW w:w="465" w:type="pct"/>
            <w:tcBorders>
              <w:top w:val="nil"/>
              <w:left w:val="single" w:color="auto" w:sz="4" w:space="0"/>
              <w:bottom w:val="single" w:color="auto" w:sz="4" w:space="0"/>
              <w:right w:val="single" w:color="auto" w:sz="4" w:space="0"/>
            </w:tcBorders>
            <w:shd w:val="clear" w:color="auto" w:fill="auto"/>
            <w:vAlign w:val="center"/>
          </w:tcPr>
          <w:p w14:paraId="2F0F7DC7">
            <w:pPr>
              <w:jc w:val="center"/>
              <w:rPr>
                <w:rFonts w:hint="eastAsia" w:ascii="宋体" w:hAnsi="宋体" w:eastAsia="宋体" w:cs="宋体"/>
                <w:sz w:val="24"/>
                <w:szCs w:val="24"/>
              </w:rPr>
            </w:pPr>
          </w:p>
        </w:tc>
        <w:tc>
          <w:tcPr>
            <w:tcW w:w="2095" w:type="pct"/>
            <w:vAlign w:val="center"/>
          </w:tcPr>
          <w:p w14:paraId="005903D4">
            <w:pPr>
              <w:jc w:val="center"/>
              <w:rPr>
                <w:rFonts w:hint="eastAsia" w:ascii="宋体" w:hAnsi="宋体" w:eastAsia="宋体" w:cs="宋体"/>
                <w:sz w:val="24"/>
                <w:szCs w:val="24"/>
              </w:rPr>
            </w:pPr>
            <w:r>
              <w:rPr>
                <w:rFonts w:hint="eastAsia" w:ascii="宋体" w:hAnsi="宋体" w:eastAsia="宋体" w:cs="宋体"/>
                <w:sz w:val="24"/>
                <w:szCs w:val="24"/>
              </w:rPr>
              <w:t>详见《采购需求表》附件一</w:t>
            </w:r>
          </w:p>
        </w:tc>
      </w:tr>
      <w:tr w14:paraId="2CD4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pct"/>
            <w:gridSpan w:val="6"/>
            <w:vAlign w:val="center"/>
          </w:tcPr>
          <w:p w14:paraId="4D34B1D4">
            <w:pPr>
              <w:widowControl/>
              <w:tabs>
                <w:tab w:val="left" w:pos="2132"/>
              </w:tabs>
              <w:jc w:val="center"/>
              <w:textAlignment w:val="center"/>
              <w:rPr>
                <w:rFonts w:hint="eastAsia" w:ascii="宋体" w:hAnsi="宋体" w:eastAsia="宋体" w:cs="宋体"/>
                <w:b/>
                <w:bCs/>
                <w:kern w:val="0"/>
                <w:sz w:val="24"/>
                <w:szCs w:val="24"/>
                <w:lang w:bidi="ar"/>
              </w:rPr>
            </w:pPr>
            <w:r>
              <w:rPr>
                <w:rFonts w:hint="eastAsia" w:ascii="宋体" w:hAnsi="宋体" w:eastAsia="宋体" w:cs="宋体"/>
                <w:b/>
                <w:bCs/>
                <w:kern w:val="0"/>
                <w:sz w:val="24"/>
                <w:szCs w:val="24"/>
                <w:lang w:bidi="ar"/>
              </w:rPr>
              <w:t>采购预算</w:t>
            </w:r>
          </w:p>
        </w:tc>
        <w:tc>
          <w:tcPr>
            <w:tcW w:w="2095" w:type="pct"/>
            <w:vAlign w:val="center"/>
          </w:tcPr>
          <w:p w14:paraId="7996E4CF">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949733.00</w:t>
            </w:r>
          </w:p>
        </w:tc>
      </w:tr>
      <w:tr w14:paraId="11DE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7AFE8919">
            <w:pPr>
              <w:rPr>
                <w:rFonts w:hint="eastAsia" w:ascii="宋体" w:hAnsi="宋体" w:eastAsia="宋体" w:cs="宋体"/>
                <w:sz w:val="24"/>
                <w:szCs w:val="24"/>
              </w:rPr>
            </w:pPr>
            <w:r>
              <w:rPr>
                <w:rFonts w:hint="eastAsia" w:ascii="宋体" w:hAnsi="宋体" w:eastAsia="宋体" w:cs="宋体"/>
                <w:sz w:val="24"/>
                <w:szCs w:val="24"/>
              </w:rPr>
              <w:t>二、商务要求</w:t>
            </w:r>
          </w:p>
        </w:tc>
      </w:tr>
      <w:tr w14:paraId="118C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1F40E4F5">
            <w:pPr>
              <w:rPr>
                <w:rFonts w:hint="eastAsia" w:ascii="宋体" w:hAnsi="宋体" w:eastAsia="宋体" w:cs="宋体"/>
                <w:sz w:val="24"/>
                <w:szCs w:val="24"/>
              </w:rPr>
            </w:pPr>
            <w:r>
              <w:rPr>
                <w:rFonts w:hint="eastAsia" w:ascii="宋体" w:hAnsi="宋体" w:eastAsia="宋体" w:cs="宋体"/>
                <w:sz w:val="24"/>
                <w:szCs w:val="24"/>
              </w:rPr>
              <w:t>竞标报价要求</w:t>
            </w:r>
          </w:p>
        </w:tc>
        <w:tc>
          <w:tcPr>
            <w:tcW w:w="4199" w:type="pct"/>
            <w:gridSpan w:val="5"/>
            <w:vAlign w:val="center"/>
          </w:tcPr>
          <w:p w14:paraId="179C514A">
            <w:pPr>
              <w:rPr>
                <w:rFonts w:hint="eastAsia" w:ascii="宋体" w:hAnsi="宋体" w:eastAsia="宋体" w:cs="宋体"/>
                <w:sz w:val="24"/>
                <w:szCs w:val="24"/>
              </w:rPr>
            </w:pPr>
            <w:r>
              <w:rPr>
                <w:rFonts w:hint="eastAsia" w:ascii="宋体" w:hAnsi="宋体" w:eastAsia="宋体" w:cs="宋体"/>
                <w:sz w:val="24"/>
                <w:szCs w:val="24"/>
              </w:rPr>
              <w:t>投标报价为采购人指定地点的现场交货价，包括：</w:t>
            </w:r>
          </w:p>
          <w:p w14:paraId="62E745E5">
            <w:pPr>
              <w:rPr>
                <w:rFonts w:hint="eastAsia" w:ascii="宋体" w:hAnsi="宋体" w:eastAsia="宋体" w:cs="宋体"/>
                <w:sz w:val="24"/>
                <w:szCs w:val="24"/>
              </w:rPr>
            </w:pPr>
            <w:r>
              <w:rPr>
                <w:rFonts w:hint="eastAsia" w:ascii="宋体" w:hAnsi="宋体" w:eastAsia="宋体" w:cs="宋体"/>
                <w:sz w:val="24"/>
                <w:szCs w:val="24"/>
              </w:rPr>
              <w:t>1）货物的价格：包括货款、杂配件、安装调试费、验收费；</w:t>
            </w:r>
          </w:p>
          <w:p w14:paraId="5D713D01">
            <w:pPr>
              <w:rPr>
                <w:rFonts w:hint="eastAsia" w:ascii="宋体" w:hAnsi="宋体" w:eastAsia="宋体" w:cs="宋体"/>
                <w:sz w:val="24"/>
                <w:szCs w:val="24"/>
              </w:rPr>
            </w:pPr>
            <w:r>
              <w:rPr>
                <w:rFonts w:hint="eastAsia" w:ascii="宋体" w:hAnsi="宋体" w:eastAsia="宋体" w:cs="宋体"/>
                <w:sz w:val="24"/>
                <w:szCs w:val="24"/>
              </w:rPr>
              <w:t>2）货物的标准附件、备品备件、专用工具的价格。</w:t>
            </w:r>
          </w:p>
          <w:p w14:paraId="5C3E2EE5">
            <w:pPr>
              <w:rPr>
                <w:rFonts w:hint="eastAsia" w:ascii="宋体" w:hAnsi="宋体" w:eastAsia="宋体" w:cs="宋体"/>
                <w:sz w:val="24"/>
                <w:szCs w:val="24"/>
              </w:rPr>
            </w:pPr>
            <w:r>
              <w:rPr>
                <w:rFonts w:hint="eastAsia" w:ascii="宋体" w:hAnsi="宋体" w:eastAsia="宋体" w:cs="宋体"/>
                <w:sz w:val="24"/>
                <w:szCs w:val="24"/>
              </w:rPr>
              <w:t>3）运输、装卸、调试、培训、技术支持、售后服务费。</w:t>
            </w:r>
          </w:p>
          <w:p w14:paraId="5899F7BC">
            <w:pPr>
              <w:rPr>
                <w:rFonts w:hint="eastAsia" w:ascii="宋体" w:hAnsi="宋体" w:eastAsia="宋体" w:cs="宋体"/>
                <w:sz w:val="24"/>
                <w:szCs w:val="24"/>
              </w:rPr>
            </w:pPr>
            <w:r>
              <w:rPr>
                <w:rFonts w:hint="eastAsia" w:ascii="宋体" w:hAnsi="宋体" w:eastAsia="宋体" w:cs="宋体"/>
                <w:sz w:val="24"/>
                <w:szCs w:val="24"/>
              </w:rPr>
              <w:t>4）各类软件、系统等的安装、集成、试运行等费用。</w:t>
            </w:r>
          </w:p>
          <w:p w14:paraId="25C1BA65">
            <w:pPr>
              <w:rPr>
                <w:rFonts w:hint="eastAsia" w:ascii="宋体" w:hAnsi="宋体" w:eastAsia="宋体" w:cs="宋体"/>
                <w:sz w:val="24"/>
                <w:szCs w:val="24"/>
              </w:rPr>
            </w:pPr>
            <w:r>
              <w:rPr>
                <w:rFonts w:hint="eastAsia" w:ascii="宋体" w:hAnsi="宋体" w:eastAsia="宋体" w:cs="宋体"/>
                <w:sz w:val="24"/>
                <w:szCs w:val="24"/>
              </w:rPr>
              <w:t>5）保险费、参与竞标的成本、各项税金及利润。</w:t>
            </w:r>
          </w:p>
          <w:p w14:paraId="14187907">
            <w:pPr>
              <w:rPr>
                <w:rFonts w:hint="eastAsia" w:ascii="宋体" w:hAnsi="宋体" w:eastAsia="宋体" w:cs="宋体"/>
                <w:sz w:val="24"/>
                <w:szCs w:val="24"/>
              </w:rPr>
            </w:pPr>
            <w:r>
              <w:rPr>
                <w:rFonts w:hint="eastAsia" w:ascii="宋体" w:hAnsi="宋体" w:eastAsia="宋体" w:cs="宋体"/>
                <w:sz w:val="24"/>
                <w:szCs w:val="24"/>
              </w:rPr>
              <w:t>注：</w:t>
            </w:r>
          </w:p>
          <w:p w14:paraId="09E7CE33">
            <w:pPr>
              <w:rPr>
                <w:rFonts w:hint="eastAsia" w:ascii="宋体" w:hAnsi="宋体" w:eastAsia="宋体" w:cs="宋体"/>
                <w:sz w:val="24"/>
                <w:szCs w:val="24"/>
              </w:rPr>
            </w:pPr>
            <w:r>
              <w:rPr>
                <w:rFonts w:hint="eastAsia" w:ascii="宋体" w:hAnsi="宋体" w:eastAsia="宋体" w:cs="宋体"/>
                <w:sz w:val="24"/>
                <w:szCs w:val="24"/>
              </w:rPr>
              <w:t>（1）竞标供应商自行考虑完成项目所需的辅材、杂配件等数量，投标报价中应包含全部内容，成交后采购人不再另行支付额外费用。</w:t>
            </w:r>
          </w:p>
          <w:p w14:paraId="1CDE270A">
            <w:pPr>
              <w:rPr>
                <w:rFonts w:hint="eastAsia" w:ascii="宋体" w:hAnsi="宋体" w:eastAsia="宋体" w:cs="宋体"/>
                <w:sz w:val="24"/>
                <w:szCs w:val="24"/>
              </w:rPr>
            </w:pPr>
            <w:r>
              <w:rPr>
                <w:rFonts w:hint="eastAsia" w:ascii="宋体" w:hAnsi="宋体" w:eastAsia="宋体" w:cs="宋体"/>
                <w:sz w:val="24"/>
                <w:szCs w:val="24"/>
              </w:rPr>
              <w:t>（2）竞标供应商的投标总报价≤采购预算。</w:t>
            </w:r>
          </w:p>
        </w:tc>
      </w:tr>
      <w:tr w14:paraId="795C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5067F0D4">
            <w:pPr>
              <w:rPr>
                <w:rFonts w:hint="eastAsia" w:ascii="宋体" w:hAnsi="宋体" w:eastAsia="宋体" w:cs="宋体"/>
                <w:sz w:val="24"/>
                <w:szCs w:val="24"/>
              </w:rPr>
            </w:pPr>
            <w:r>
              <w:rPr>
                <w:rFonts w:hint="eastAsia" w:ascii="宋体" w:hAnsi="宋体" w:eastAsia="宋体" w:cs="宋体"/>
                <w:sz w:val="24"/>
                <w:szCs w:val="24"/>
              </w:rPr>
              <w:t>合同签订期及地点</w:t>
            </w:r>
          </w:p>
        </w:tc>
        <w:tc>
          <w:tcPr>
            <w:tcW w:w="4199" w:type="pct"/>
            <w:gridSpan w:val="5"/>
            <w:vAlign w:val="center"/>
          </w:tcPr>
          <w:p w14:paraId="3E8EC6C3">
            <w:pPr>
              <w:rPr>
                <w:rFonts w:hint="eastAsia" w:ascii="宋体" w:hAnsi="宋体" w:eastAsia="宋体" w:cs="宋体"/>
                <w:sz w:val="24"/>
                <w:szCs w:val="24"/>
              </w:rPr>
            </w:pPr>
            <w:r>
              <w:rPr>
                <w:rFonts w:hint="eastAsia" w:ascii="宋体" w:hAnsi="宋体" w:eastAsia="宋体" w:cs="宋体"/>
                <w:sz w:val="24"/>
                <w:szCs w:val="24"/>
              </w:rPr>
              <w:t>1）合同签订期：自收到成交通知书之日起</w:t>
            </w:r>
            <w:r>
              <w:rPr>
                <w:rFonts w:hint="eastAsia" w:ascii="宋体" w:hAnsi="宋体" w:eastAsia="宋体" w:cs="宋体"/>
                <w:sz w:val="24"/>
                <w:szCs w:val="24"/>
                <w:highlight w:val="none"/>
                <w:u w:val="single"/>
                <w:lang w:val="en-US" w:eastAsia="zh-CN"/>
              </w:rPr>
              <w:t>7</w:t>
            </w:r>
            <w:r>
              <w:rPr>
                <w:rFonts w:hint="eastAsia" w:ascii="宋体" w:hAnsi="宋体" w:eastAsia="宋体" w:cs="宋体"/>
                <w:sz w:val="24"/>
                <w:szCs w:val="24"/>
              </w:rPr>
              <w:t>日内。</w:t>
            </w:r>
          </w:p>
          <w:p w14:paraId="066C0734">
            <w:pPr>
              <w:rPr>
                <w:rFonts w:hint="eastAsia" w:ascii="宋体" w:hAnsi="宋体" w:eastAsia="宋体" w:cs="宋体"/>
                <w:sz w:val="24"/>
                <w:szCs w:val="24"/>
              </w:rPr>
            </w:pPr>
            <w:r>
              <w:rPr>
                <w:rFonts w:hint="eastAsia" w:ascii="宋体" w:hAnsi="宋体" w:eastAsia="宋体" w:cs="宋体"/>
                <w:sz w:val="24"/>
                <w:szCs w:val="24"/>
              </w:rPr>
              <w:t>2）合同签订地点：采购人指定地点。</w:t>
            </w:r>
          </w:p>
        </w:tc>
      </w:tr>
      <w:tr w14:paraId="5EDF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7EE187FA">
            <w:pPr>
              <w:rPr>
                <w:rFonts w:hint="eastAsia" w:ascii="宋体" w:hAnsi="宋体" w:eastAsia="宋体" w:cs="宋体"/>
                <w:sz w:val="24"/>
                <w:szCs w:val="24"/>
              </w:rPr>
            </w:pPr>
            <w:r>
              <w:rPr>
                <w:rFonts w:hint="eastAsia" w:ascii="宋体" w:hAnsi="宋体" w:eastAsia="宋体" w:cs="宋体"/>
                <w:sz w:val="24"/>
                <w:szCs w:val="24"/>
              </w:rPr>
              <w:t>交付使用期及交货地点</w:t>
            </w:r>
          </w:p>
        </w:tc>
        <w:tc>
          <w:tcPr>
            <w:tcW w:w="4199" w:type="pct"/>
            <w:gridSpan w:val="5"/>
            <w:vAlign w:val="center"/>
          </w:tcPr>
          <w:p w14:paraId="2D2A70A4">
            <w:pPr>
              <w:rPr>
                <w:rFonts w:hint="eastAsia" w:ascii="宋体" w:hAnsi="宋体" w:eastAsia="宋体" w:cs="宋体"/>
                <w:sz w:val="24"/>
                <w:szCs w:val="24"/>
              </w:rPr>
            </w:pPr>
            <w:r>
              <w:rPr>
                <w:rFonts w:hint="eastAsia" w:ascii="宋体" w:hAnsi="宋体" w:eastAsia="宋体" w:cs="宋体"/>
                <w:sz w:val="24"/>
                <w:szCs w:val="24"/>
              </w:rPr>
              <w:t>1）交货时间：接到采购人通知后</w:t>
            </w:r>
            <w:r>
              <w:rPr>
                <w:rFonts w:hint="eastAsia" w:ascii="宋体" w:hAnsi="宋体" w:eastAsia="宋体" w:cs="宋体"/>
                <w:sz w:val="24"/>
                <w:szCs w:val="24"/>
                <w:highlight w:val="none"/>
                <w:u w:val="single"/>
                <w:lang w:val="en-US" w:eastAsia="zh-CN"/>
              </w:rPr>
              <w:t>15</w:t>
            </w:r>
            <w:r>
              <w:rPr>
                <w:rFonts w:hint="eastAsia" w:ascii="宋体" w:hAnsi="宋体" w:eastAsia="宋体" w:cs="宋体"/>
                <w:sz w:val="24"/>
                <w:szCs w:val="24"/>
              </w:rPr>
              <w:t>个日历日内完成所有货物包括软件硬件安装、调试完毕并交付使用。</w:t>
            </w:r>
          </w:p>
          <w:p w14:paraId="50300FEE">
            <w:pPr>
              <w:rPr>
                <w:rFonts w:hint="eastAsia" w:ascii="宋体" w:hAnsi="宋体" w:eastAsia="宋体" w:cs="宋体"/>
                <w:sz w:val="24"/>
                <w:szCs w:val="24"/>
              </w:rPr>
            </w:pPr>
            <w:r>
              <w:rPr>
                <w:rFonts w:hint="eastAsia" w:ascii="宋体" w:hAnsi="宋体" w:eastAsia="宋体" w:cs="宋体"/>
                <w:sz w:val="24"/>
                <w:szCs w:val="24"/>
              </w:rPr>
              <w:t>2）交货地点：采购人指定地点。（广西工业职业技术学院南宁校区：广西南宁市西乡塘区秀灵路37号。）</w:t>
            </w:r>
          </w:p>
        </w:tc>
      </w:tr>
      <w:tr w14:paraId="47AC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51A63091">
            <w:pPr>
              <w:rPr>
                <w:rFonts w:hint="eastAsia" w:ascii="宋体" w:hAnsi="宋体" w:eastAsia="宋体" w:cs="宋体"/>
                <w:sz w:val="24"/>
                <w:szCs w:val="24"/>
              </w:rPr>
            </w:pPr>
            <w:r>
              <w:rPr>
                <w:rFonts w:hint="eastAsia" w:ascii="宋体" w:hAnsi="宋体" w:eastAsia="宋体" w:cs="宋体"/>
                <w:sz w:val="24"/>
                <w:szCs w:val="24"/>
              </w:rPr>
              <w:t>售后服务要求</w:t>
            </w:r>
          </w:p>
        </w:tc>
        <w:tc>
          <w:tcPr>
            <w:tcW w:w="4199" w:type="pct"/>
            <w:gridSpan w:val="5"/>
            <w:vAlign w:val="center"/>
          </w:tcPr>
          <w:p w14:paraId="6FA20230">
            <w:pPr>
              <w:rPr>
                <w:rFonts w:hint="eastAsia" w:ascii="宋体" w:hAnsi="宋体" w:eastAsia="宋体" w:cs="宋体"/>
                <w:sz w:val="24"/>
                <w:szCs w:val="24"/>
              </w:rPr>
            </w:pPr>
            <w:r>
              <w:rPr>
                <w:rFonts w:hint="eastAsia" w:ascii="宋体" w:hAnsi="宋体" w:eastAsia="宋体" w:cs="宋体"/>
                <w:sz w:val="24"/>
                <w:szCs w:val="24"/>
              </w:rPr>
              <w:t>1）免费送货上门、安装、调试至正常使用。为了提高售后的时效，中标供应商在南宁市有售后维修服务点或维修厂家。设备到货后，由中标人指派专业安装调试工程师到现场进行安装调试，包括：主机与所有部件调试与连接，做到设备运转正常，演示设备的所有的功能并培训用户的技术人员直到用户能全部掌握设备的使用及日常维护。</w:t>
            </w:r>
          </w:p>
          <w:p w14:paraId="353AF1A3">
            <w:pPr>
              <w:rPr>
                <w:rFonts w:hint="eastAsia" w:ascii="宋体" w:hAnsi="宋体" w:eastAsia="宋体" w:cs="宋体"/>
                <w:sz w:val="24"/>
                <w:szCs w:val="24"/>
              </w:rPr>
            </w:pPr>
            <w:r>
              <w:rPr>
                <w:rFonts w:hint="eastAsia" w:ascii="宋体" w:hAnsi="宋体" w:eastAsia="宋体" w:cs="宋体"/>
                <w:sz w:val="24"/>
                <w:szCs w:val="24"/>
              </w:rPr>
              <w:t>2）成交供应商在质量保证期内应当为采购人提供以下技术支持和服务：</w:t>
            </w:r>
          </w:p>
          <w:p w14:paraId="3154B9FB">
            <w:pPr>
              <w:rPr>
                <w:rFonts w:hint="eastAsia" w:ascii="宋体" w:hAnsi="宋体" w:eastAsia="宋体" w:cs="宋体"/>
                <w:sz w:val="24"/>
                <w:szCs w:val="24"/>
              </w:rPr>
            </w:pPr>
            <w:r>
              <w:rPr>
                <w:rFonts w:hint="eastAsia" w:ascii="宋体" w:hAnsi="宋体" w:eastAsia="宋体" w:cs="宋体"/>
                <w:sz w:val="24"/>
                <w:szCs w:val="24"/>
              </w:rPr>
              <w:t>2.1 电话咨询</w:t>
            </w:r>
          </w:p>
          <w:p w14:paraId="1A6F9BC4">
            <w:pPr>
              <w:rPr>
                <w:rFonts w:hint="eastAsia" w:ascii="宋体" w:hAnsi="宋体" w:eastAsia="宋体" w:cs="宋体"/>
                <w:sz w:val="24"/>
                <w:szCs w:val="24"/>
              </w:rPr>
            </w:pPr>
            <w:r>
              <w:rPr>
                <w:rFonts w:hint="eastAsia" w:ascii="宋体" w:hAnsi="宋体" w:eastAsia="宋体" w:cs="宋体"/>
                <w:sz w:val="24"/>
                <w:szCs w:val="24"/>
              </w:rPr>
              <w:t>成交供应商应当为采购人提供技术援助电话，解答采购人在使用中遇到的问题，及时为采购人提出解决问题的建议。</w:t>
            </w:r>
          </w:p>
          <w:p w14:paraId="46B76FEA">
            <w:pPr>
              <w:rPr>
                <w:rFonts w:hint="eastAsia" w:ascii="宋体" w:hAnsi="宋体" w:eastAsia="宋体" w:cs="宋体"/>
                <w:sz w:val="24"/>
                <w:szCs w:val="24"/>
              </w:rPr>
            </w:pPr>
            <w:r>
              <w:rPr>
                <w:rFonts w:hint="eastAsia" w:ascii="宋体" w:hAnsi="宋体" w:eastAsia="宋体" w:cs="宋体"/>
                <w:sz w:val="24"/>
                <w:szCs w:val="24"/>
              </w:rPr>
              <w:t>2.2 现场响应</w:t>
            </w:r>
          </w:p>
          <w:p w14:paraId="064D4951">
            <w:pPr>
              <w:rPr>
                <w:rFonts w:hint="eastAsia" w:ascii="宋体" w:hAnsi="宋体" w:eastAsia="宋体" w:cs="宋体"/>
                <w:sz w:val="24"/>
                <w:szCs w:val="24"/>
              </w:rPr>
            </w:pPr>
            <w:r>
              <w:rPr>
                <w:rFonts w:hint="eastAsia" w:ascii="宋体" w:hAnsi="宋体" w:eastAsia="宋体" w:cs="宋体"/>
                <w:sz w:val="24"/>
                <w:szCs w:val="24"/>
              </w:rPr>
              <w:t>采购人遇到使用或技术问题，电话咨询不能解决的，成交供应商应在在接到通知后成交供应商的维修技术人员必须在 30分钟内响应，4小时内到达现场处理，一般故障处理时限不超过4小时，重大故障处理时限不超过24小时修复。未能修复的直接更换，保证采购人正常使用。按国家及行业标准对故障进行及时处理。</w:t>
            </w:r>
          </w:p>
          <w:p w14:paraId="5E024BB7">
            <w:pPr>
              <w:rPr>
                <w:rFonts w:hint="eastAsia" w:ascii="宋体" w:hAnsi="宋体" w:eastAsia="宋体" w:cs="宋体"/>
                <w:sz w:val="24"/>
                <w:szCs w:val="24"/>
              </w:rPr>
            </w:pPr>
            <w:r>
              <w:rPr>
                <w:rFonts w:hint="eastAsia" w:ascii="宋体" w:hAnsi="宋体" w:eastAsia="宋体" w:cs="宋体"/>
                <w:sz w:val="24"/>
                <w:szCs w:val="24"/>
              </w:rPr>
              <w:t>2.3 技术升级</w:t>
            </w:r>
          </w:p>
          <w:p w14:paraId="191F9A87">
            <w:pPr>
              <w:rPr>
                <w:rFonts w:hint="eastAsia" w:ascii="宋体" w:hAnsi="宋体" w:eastAsia="宋体" w:cs="宋体"/>
                <w:sz w:val="24"/>
                <w:szCs w:val="24"/>
              </w:rPr>
            </w:pPr>
            <w:r>
              <w:rPr>
                <w:rFonts w:hint="eastAsia" w:ascii="宋体" w:hAnsi="宋体" w:eastAsia="宋体" w:cs="宋体"/>
                <w:sz w:val="24"/>
                <w:szCs w:val="24"/>
              </w:rPr>
              <w:t>在质保期内，如果成交供应商的产品或服务升级，成交供应商应及时通知采购人，如采购人有相应要求，成交供应商应对采购人购买的产品或服务进行升级。</w:t>
            </w:r>
          </w:p>
          <w:p w14:paraId="6C77E7DC">
            <w:pPr>
              <w:rPr>
                <w:rFonts w:hint="eastAsia" w:ascii="宋体" w:hAnsi="宋体" w:eastAsia="宋体" w:cs="宋体"/>
                <w:sz w:val="24"/>
                <w:szCs w:val="24"/>
              </w:rPr>
            </w:pPr>
            <w:r>
              <w:rPr>
                <w:rFonts w:hint="eastAsia" w:ascii="宋体" w:hAnsi="宋体" w:eastAsia="宋体" w:cs="宋体"/>
                <w:sz w:val="24"/>
                <w:szCs w:val="24"/>
              </w:rPr>
              <w:t>3）质保期外服务要求</w:t>
            </w:r>
          </w:p>
          <w:p w14:paraId="4F06D350">
            <w:pPr>
              <w:rPr>
                <w:rFonts w:hint="eastAsia" w:ascii="宋体" w:hAnsi="宋体" w:eastAsia="宋体" w:cs="宋体"/>
                <w:sz w:val="24"/>
                <w:szCs w:val="24"/>
              </w:rPr>
            </w:pPr>
            <w:r>
              <w:rPr>
                <w:rFonts w:hint="eastAsia" w:ascii="宋体" w:hAnsi="宋体" w:eastAsia="宋体" w:cs="宋体"/>
                <w:sz w:val="24"/>
                <w:szCs w:val="24"/>
              </w:rPr>
              <w:t>3.1 质量保证期过后，成交供应商应同样提供免费电话咨询服务，并应承诺提供产品或服务上门维护。</w:t>
            </w:r>
          </w:p>
          <w:p w14:paraId="53E58F95">
            <w:pPr>
              <w:rPr>
                <w:rFonts w:hint="eastAsia" w:ascii="宋体" w:hAnsi="宋体" w:eastAsia="宋体" w:cs="宋体"/>
                <w:sz w:val="24"/>
                <w:szCs w:val="24"/>
              </w:rPr>
            </w:pPr>
            <w:r>
              <w:rPr>
                <w:rFonts w:hint="eastAsia" w:ascii="宋体" w:hAnsi="宋体" w:eastAsia="宋体" w:cs="宋体"/>
                <w:sz w:val="24"/>
                <w:szCs w:val="24"/>
              </w:rPr>
              <w:t>3.2 质量保证期过后，采购人需要继续由原成交供应商提供售后服务的，该成交供应商和制造商应以优惠价格提供售后服务。</w:t>
            </w:r>
          </w:p>
          <w:p w14:paraId="28C23A12">
            <w:pPr>
              <w:rPr>
                <w:rFonts w:hint="eastAsia" w:ascii="宋体" w:hAnsi="宋体" w:eastAsia="宋体" w:cs="宋体"/>
                <w:sz w:val="24"/>
                <w:szCs w:val="24"/>
              </w:rPr>
            </w:pPr>
            <w:r>
              <w:rPr>
                <w:rFonts w:hint="eastAsia" w:ascii="宋体" w:hAnsi="宋体" w:eastAsia="宋体" w:cs="宋体"/>
                <w:sz w:val="24"/>
                <w:szCs w:val="24"/>
              </w:rPr>
              <w:t>4）备品备件及易损件</w:t>
            </w:r>
          </w:p>
          <w:p w14:paraId="3E3A9071">
            <w:pPr>
              <w:rPr>
                <w:rFonts w:hint="eastAsia" w:ascii="宋体" w:hAnsi="宋体" w:eastAsia="宋体" w:cs="宋体"/>
                <w:sz w:val="24"/>
                <w:szCs w:val="24"/>
              </w:rPr>
            </w:pPr>
            <w:r>
              <w:rPr>
                <w:rFonts w:hint="eastAsia" w:ascii="宋体" w:hAnsi="宋体" w:eastAsia="宋体" w:cs="宋体"/>
                <w:sz w:val="24"/>
                <w:szCs w:val="24"/>
              </w:rPr>
              <w:t>成交供应商售后服务中，维修使用的备品备件及易损件应为原厂配件，未经采购人同意不得使用非原厂配件。</w:t>
            </w:r>
          </w:p>
          <w:p w14:paraId="67C418F6">
            <w:pPr>
              <w:numPr>
                <w:ilvl w:val="0"/>
                <w:numId w:val="3"/>
              </w:numPr>
              <w:rPr>
                <w:rFonts w:hint="eastAsia" w:ascii="宋体" w:hAnsi="宋体" w:eastAsia="宋体" w:cs="宋体"/>
                <w:sz w:val="24"/>
                <w:szCs w:val="24"/>
              </w:rPr>
            </w:pPr>
            <w:r>
              <w:rPr>
                <w:rFonts w:hint="eastAsia" w:ascii="宋体" w:hAnsi="宋体" w:eastAsia="宋体" w:cs="宋体"/>
                <w:sz w:val="24"/>
                <w:szCs w:val="24"/>
              </w:rPr>
              <w:t>成交供应商有完善的安装施工队伍，实现销售、安装、售后服务一条龙。</w:t>
            </w:r>
          </w:p>
          <w:p w14:paraId="68FE945E">
            <w:pPr>
              <w:numPr>
                <w:ilvl w:val="0"/>
                <w:numId w:val="3"/>
              </w:numPr>
              <w:rPr>
                <w:rFonts w:hint="eastAsia" w:ascii="宋体" w:hAnsi="宋体" w:eastAsia="宋体" w:cs="宋体"/>
                <w:sz w:val="24"/>
                <w:szCs w:val="24"/>
              </w:rPr>
            </w:pPr>
            <w:r>
              <w:rPr>
                <w:rFonts w:hint="eastAsia" w:ascii="宋体" w:hAnsi="宋体" w:eastAsia="宋体" w:cs="宋体"/>
                <w:sz w:val="24"/>
                <w:szCs w:val="24"/>
              </w:rPr>
              <w:t>培训</w:t>
            </w:r>
          </w:p>
          <w:p w14:paraId="098ED5C9">
            <w:pPr>
              <w:rPr>
                <w:rFonts w:hint="eastAsia" w:ascii="宋体" w:hAnsi="宋体" w:eastAsia="宋体" w:cs="宋体"/>
                <w:sz w:val="24"/>
                <w:szCs w:val="24"/>
              </w:rPr>
            </w:pPr>
            <w:r>
              <w:rPr>
                <w:rFonts w:hint="eastAsia" w:ascii="宋体" w:hAnsi="宋体" w:eastAsia="宋体" w:cs="宋体"/>
                <w:sz w:val="24"/>
                <w:szCs w:val="24"/>
              </w:rPr>
              <w:t>成交供应商对其提供产品或服务的使用和操作应尽培训义务。成交供应商应提供对采购人的多次免费培训，使采购人使用人员熟练掌握所培训内容，熟练掌握全部功能。</w:t>
            </w:r>
          </w:p>
        </w:tc>
      </w:tr>
      <w:tr w14:paraId="21C4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32913435">
            <w:pPr>
              <w:rPr>
                <w:rFonts w:hint="eastAsia" w:ascii="宋体" w:hAnsi="宋体" w:eastAsia="宋体" w:cs="宋体"/>
                <w:sz w:val="24"/>
                <w:szCs w:val="24"/>
              </w:rPr>
            </w:pPr>
            <w:r>
              <w:rPr>
                <w:rFonts w:hint="eastAsia" w:ascii="宋体" w:hAnsi="宋体" w:eastAsia="宋体" w:cs="宋体"/>
                <w:sz w:val="24"/>
                <w:szCs w:val="24"/>
              </w:rPr>
              <w:t>售后技术要求</w:t>
            </w:r>
          </w:p>
        </w:tc>
        <w:tc>
          <w:tcPr>
            <w:tcW w:w="4199" w:type="pct"/>
            <w:gridSpan w:val="5"/>
            <w:vAlign w:val="center"/>
          </w:tcPr>
          <w:p w14:paraId="078CB2FE">
            <w:pPr>
              <w:rPr>
                <w:rFonts w:hint="eastAsia" w:ascii="宋体" w:hAnsi="宋体" w:eastAsia="宋体" w:cs="宋体"/>
                <w:sz w:val="24"/>
                <w:szCs w:val="24"/>
              </w:rPr>
            </w:pPr>
            <w:r>
              <w:rPr>
                <w:rFonts w:hint="eastAsia" w:ascii="宋体" w:hAnsi="宋体" w:eastAsia="宋体" w:cs="宋体"/>
                <w:sz w:val="24"/>
                <w:szCs w:val="24"/>
              </w:rPr>
              <w:t>1）整机在质保期内由设备制造商提供原厂免费上门维修服务（节假日不休），终身移动和固定电话均可免费拨打的呼叫中心热线7×24小时免费技术支持服务，终身提供维护服务。</w:t>
            </w:r>
          </w:p>
          <w:p w14:paraId="3BBB76AB">
            <w:pPr>
              <w:rPr>
                <w:rFonts w:hint="eastAsia" w:ascii="宋体" w:hAnsi="宋体" w:eastAsia="宋体" w:cs="宋体"/>
                <w:sz w:val="24"/>
                <w:szCs w:val="24"/>
              </w:rPr>
            </w:pPr>
            <w:r>
              <w:rPr>
                <w:rFonts w:hint="eastAsia" w:ascii="宋体" w:hAnsi="宋体" w:eastAsia="宋体" w:cs="宋体"/>
                <w:sz w:val="24"/>
                <w:szCs w:val="24"/>
              </w:rPr>
              <w:t>2）其余按国家标准执行。</w:t>
            </w:r>
          </w:p>
        </w:tc>
      </w:tr>
      <w:tr w14:paraId="71D6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00FFB19E">
            <w:pPr>
              <w:rPr>
                <w:rFonts w:hint="eastAsia" w:ascii="宋体" w:hAnsi="宋体" w:eastAsia="宋体" w:cs="宋体"/>
                <w:sz w:val="24"/>
                <w:szCs w:val="24"/>
              </w:rPr>
            </w:pPr>
            <w:r>
              <w:rPr>
                <w:rFonts w:hint="eastAsia" w:ascii="宋体" w:hAnsi="宋体" w:eastAsia="宋体" w:cs="宋体"/>
                <w:sz w:val="24"/>
                <w:szCs w:val="24"/>
              </w:rPr>
              <w:t>质保期</w:t>
            </w:r>
          </w:p>
        </w:tc>
        <w:tc>
          <w:tcPr>
            <w:tcW w:w="4199" w:type="pct"/>
            <w:gridSpan w:val="5"/>
            <w:vAlign w:val="center"/>
          </w:tcPr>
          <w:p w14:paraId="6C4DA87A">
            <w:pPr>
              <w:rPr>
                <w:rFonts w:hint="eastAsia" w:ascii="宋体" w:hAnsi="宋体" w:eastAsia="宋体" w:cs="宋体"/>
                <w:sz w:val="21"/>
                <w:szCs w:val="21"/>
              </w:rPr>
            </w:pPr>
            <w:r>
              <w:rPr>
                <w:rFonts w:hint="eastAsia" w:ascii="宋体" w:hAnsi="宋体" w:eastAsia="宋体" w:cs="宋体"/>
                <w:sz w:val="24"/>
                <w:szCs w:val="24"/>
              </w:rPr>
              <w:t>1）自交货并验收合格之日起至少1年，若厂家免费质保期超过此年限的，按厂家规定执行，</w:t>
            </w:r>
            <w:r>
              <w:rPr>
                <w:rFonts w:hint="eastAsia" w:ascii="宋体" w:hAnsi="宋体" w:eastAsia="宋体" w:cs="宋体"/>
                <w:sz w:val="21"/>
                <w:szCs w:val="21"/>
              </w:rPr>
              <w:t>并提供终身维护支持。</w:t>
            </w:r>
          </w:p>
          <w:p w14:paraId="7A45455B">
            <w:pPr>
              <w:rPr>
                <w:rFonts w:hint="eastAsia" w:ascii="宋体" w:hAnsi="宋体" w:eastAsia="宋体" w:cs="宋体"/>
                <w:sz w:val="24"/>
                <w:szCs w:val="24"/>
              </w:rPr>
            </w:pPr>
            <w:r>
              <w:rPr>
                <w:rFonts w:hint="eastAsia" w:ascii="宋体" w:hAnsi="宋体" w:eastAsia="宋体" w:cs="宋体"/>
                <w:sz w:val="21"/>
                <w:szCs w:val="21"/>
              </w:rPr>
              <w:t>2）如“技术参数及性能（配置）</w:t>
            </w:r>
            <w:r>
              <w:rPr>
                <w:rFonts w:hint="eastAsia" w:ascii="宋体" w:hAnsi="宋体" w:eastAsia="宋体" w:cs="宋体"/>
                <w:sz w:val="24"/>
                <w:szCs w:val="24"/>
              </w:rPr>
              <w:t>要求”中有特殊要求的，按特殊要求。</w:t>
            </w:r>
          </w:p>
          <w:p w14:paraId="4E82B529">
            <w:pPr>
              <w:rPr>
                <w:rFonts w:hint="eastAsia" w:ascii="宋体" w:hAnsi="宋体" w:eastAsia="宋体" w:cs="宋体"/>
                <w:sz w:val="24"/>
                <w:szCs w:val="24"/>
              </w:rPr>
            </w:pPr>
            <w:r>
              <w:rPr>
                <w:rFonts w:hint="eastAsia" w:ascii="宋体" w:hAnsi="宋体" w:eastAsia="宋体" w:cs="宋体"/>
                <w:sz w:val="24"/>
                <w:szCs w:val="24"/>
              </w:rPr>
              <w:t>3）质保期内免费维修、更换损坏的设备和配件及对产品进行维护和保养，终身维修。</w:t>
            </w:r>
          </w:p>
          <w:p w14:paraId="076CBE8A">
            <w:pPr>
              <w:rPr>
                <w:rFonts w:hint="eastAsia" w:ascii="宋体" w:hAnsi="宋体" w:eastAsia="宋体" w:cs="宋体"/>
                <w:sz w:val="24"/>
                <w:szCs w:val="24"/>
              </w:rPr>
            </w:pPr>
            <w:r>
              <w:rPr>
                <w:rFonts w:hint="eastAsia" w:ascii="宋体" w:hAnsi="宋体" w:eastAsia="宋体" w:cs="宋体"/>
                <w:sz w:val="24"/>
                <w:szCs w:val="24"/>
              </w:rPr>
              <w:t>4）按照国家有关规定实行“三包”，在规定的保修期内，凡货物质量事故和质量缺陷由成交供应商无偿保修。</w:t>
            </w:r>
          </w:p>
        </w:tc>
      </w:tr>
      <w:tr w14:paraId="0F81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48A2453B">
            <w:pPr>
              <w:rPr>
                <w:rFonts w:hint="eastAsia" w:ascii="宋体" w:hAnsi="宋体" w:eastAsia="宋体" w:cs="宋体"/>
                <w:sz w:val="24"/>
                <w:szCs w:val="24"/>
              </w:rPr>
            </w:pPr>
            <w:r>
              <w:rPr>
                <w:rFonts w:hint="eastAsia" w:ascii="宋体" w:hAnsi="宋体" w:eastAsia="宋体" w:cs="宋体"/>
                <w:sz w:val="24"/>
                <w:szCs w:val="24"/>
              </w:rPr>
              <w:t>付款条件（付款方式）</w:t>
            </w:r>
          </w:p>
        </w:tc>
        <w:tc>
          <w:tcPr>
            <w:tcW w:w="4199" w:type="pct"/>
            <w:gridSpan w:val="5"/>
            <w:vAlign w:val="center"/>
          </w:tcPr>
          <w:p w14:paraId="1446D71B">
            <w:pPr>
              <w:numPr>
                <w:ilvl w:val="0"/>
                <w:numId w:val="0"/>
              </w:numPr>
              <w:rPr>
                <w:rFonts w:hint="eastAsia" w:ascii="宋体" w:hAnsi="宋体" w:eastAsia="宋体" w:cs="宋体"/>
                <w:sz w:val="24"/>
                <w:szCs w:val="24"/>
                <w:highlight w:val="none"/>
              </w:rPr>
            </w:pPr>
            <w:r>
              <w:rPr>
                <w:rFonts w:hint="eastAsia" w:ascii="宋体" w:hAnsi="宋体" w:eastAsia="宋体" w:cs="宋体"/>
                <w:sz w:val="24"/>
                <w:szCs w:val="24"/>
                <w:highlight w:val="none"/>
              </w:rPr>
              <w:t>无预付款，自项目完成并验收合格之日起一个月内一次性付清，不付利息。</w:t>
            </w:r>
          </w:p>
          <w:p w14:paraId="7CB6E525">
            <w:pPr>
              <w:rPr>
                <w:rFonts w:hint="eastAsia" w:ascii="宋体" w:hAnsi="宋体" w:eastAsia="宋体" w:cs="宋体"/>
                <w:sz w:val="24"/>
                <w:szCs w:val="24"/>
              </w:rPr>
            </w:pPr>
            <w:r>
              <w:rPr>
                <w:rFonts w:hint="eastAsia" w:ascii="宋体" w:hAnsi="宋体" w:eastAsia="宋体" w:cs="宋体"/>
                <w:sz w:val="24"/>
                <w:szCs w:val="24"/>
              </w:rPr>
              <w:t>注：采购人支付货款前，成交供应商必须提供相应数额的有效发票。</w:t>
            </w:r>
          </w:p>
        </w:tc>
      </w:tr>
      <w:tr w14:paraId="7870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7FE6CF68">
            <w:pPr>
              <w:rPr>
                <w:rFonts w:hint="eastAsia" w:ascii="宋体" w:hAnsi="宋体" w:eastAsia="宋体" w:cs="宋体"/>
                <w:sz w:val="24"/>
                <w:szCs w:val="24"/>
              </w:rPr>
            </w:pPr>
            <w:r>
              <w:rPr>
                <w:rFonts w:hint="eastAsia" w:ascii="宋体" w:hAnsi="宋体" w:eastAsia="宋体" w:cs="宋体"/>
                <w:sz w:val="24"/>
                <w:szCs w:val="24"/>
              </w:rPr>
              <w:t>履约保证金</w:t>
            </w:r>
          </w:p>
        </w:tc>
        <w:tc>
          <w:tcPr>
            <w:tcW w:w="4199" w:type="pct"/>
            <w:gridSpan w:val="5"/>
            <w:vAlign w:val="center"/>
          </w:tcPr>
          <w:p w14:paraId="54AFD44C">
            <w:pPr>
              <w:rPr>
                <w:rFonts w:hint="eastAsia" w:ascii="宋体" w:hAnsi="宋体" w:eastAsia="宋体" w:cs="宋体"/>
                <w:sz w:val="24"/>
                <w:szCs w:val="24"/>
              </w:rPr>
            </w:pPr>
            <w:r>
              <w:rPr>
                <w:rFonts w:hint="eastAsia" w:ascii="宋体" w:hAnsi="宋体" w:eastAsia="宋体" w:cs="宋体"/>
                <w:sz w:val="24"/>
                <w:szCs w:val="24"/>
              </w:rPr>
              <w:t>按成交金额的5%（如成交供应商为中小企业，履约保证金为合同金额的2%）；成交供应商在签订合同前应提交履约保证金给采购人。项目完成验收合格后，且成交供应商无违约情形的，成交供应商提供《政府采购项目履约保证金退付意见书》及《政府采购项目合同验收报告》，向采购人提出书面申请退还，采购人在收到申请后十五个工作日内以银行转账方式无息退还。如果成交供应商履行合同过程中有违约情形，则采购人有权没收保证金，不予退还。</w:t>
            </w:r>
          </w:p>
        </w:tc>
      </w:tr>
      <w:tr w14:paraId="33D2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gridSpan w:val="2"/>
            <w:vAlign w:val="center"/>
          </w:tcPr>
          <w:p w14:paraId="06CD9BF8">
            <w:pPr>
              <w:rPr>
                <w:rFonts w:hint="eastAsia" w:ascii="宋体" w:hAnsi="宋体" w:eastAsia="宋体" w:cs="宋体"/>
                <w:sz w:val="24"/>
                <w:szCs w:val="24"/>
              </w:rPr>
            </w:pPr>
            <w:r>
              <w:rPr>
                <w:rFonts w:hint="eastAsia" w:ascii="宋体" w:hAnsi="宋体" w:eastAsia="宋体" w:cs="宋体"/>
                <w:sz w:val="24"/>
                <w:szCs w:val="24"/>
              </w:rPr>
              <w:t>其他要求</w:t>
            </w:r>
          </w:p>
        </w:tc>
        <w:tc>
          <w:tcPr>
            <w:tcW w:w="4199" w:type="pct"/>
            <w:gridSpan w:val="5"/>
            <w:vAlign w:val="center"/>
          </w:tcPr>
          <w:p w14:paraId="18E52B13">
            <w:pPr>
              <w:rPr>
                <w:rFonts w:hint="eastAsia" w:ascii="宋体" w:hAnsi="宋体" w:eastAsia="宋体" w:cs="宋体"/>
                <w:sz w:val="24"/>
                <w:szCs w:val="24"/>
              </w:rPr>
            </w:pPr>
            <w:r>
              <w:rPr>
                <w:rFonts w:hint="eastAsia" w:ascii="宋体" w:hAnsi="宋体" w:eastAsia="宋体" w:cs="宋体"/>
                <w:sz w:val="24"/>
                <w:szCs w:val="24"/>
              </w:rPr>
              <w:t>1）本项目不接受进口产品竞标（即通过中国海关报关验放进入中国境内且产自关境外的产品）。</w:t>
            </w:r>
          </w:p>
          <w:p w14:paraId="2AB2314D">
            <w:pPr>
              <w:rPr>
                <w:rFonts w:hint="eastAsia" w:ascii="宋体" w:hAnsi="宋体" w:eastAsia="宋体" w:cs="宋体"/>
                <w:sz w:val="24"/>
                <w:szCs w:val="24"/>
              </w:rPr>
            </w:pPr>
            <w:r>
              <w:rPr>
                <w:rFonts w:hint="eastAsia" w:ascii="宋体" w:hAnsi="宋体" w:eastAsia="宋体" w:cs="宋体"/>
                <w:sz w:val="24"/>
                <w:szCs w:val="24"/>
              </w:rPr>
              <w:t>2）成交供应商提供的产品必须是原厂生产的正品全新、完整、未使用过的合格产品，产品质量符合国家相关标准和规范，具备正规合法经销渠道。所有产品除满足上表要求的技术参数外，其余均按国家标准及生产厂家出厂标准配置。必须承诺实行“三包”，供货时必须提交检测报告，3C认证等产品材料。成交供应商提供的产品品牌、型号、规格、技术参数、质量不符合合同规定及采购需求规定标准的，采购人有权拒收该货物。成交供应商拒绝更换货物的，采购人可单方面解除合同，并有权要求乙方赔偿经济损失。</w:t>
            </w:r>
          </w:p>
          <w:p w14:paraId="111A0FB2">
            <w:pPr>
              <w:rPr>
                <w:rFonts w:hint="eastAsia" w:ascii="宋体" w:hAnsi="宋体" w:eastAsia="宋体" w:cs="宋体"/>
                <w:sz w:val="24"/>
                <w:szCs w:val="24"/>
              </w:rPr>
            </w:pPr>
            <w:r>
              <w:rPr>
                <w:rFonts w:hint="eastAsia" w:ascii="宋体" w:hAnsi="宋体" w:eastAsia="宋体" w:cs="宋体"/>
                <w:sz w:val="24"/>
                <w:szCs w:val="24"/>
              </w:rPr>
              <w:t>3）成交供应商提供的货物及服务不满足采购要求而导致验收不合格的，采购人有权解除合同并追究成交供应商的法律责任。</w:t>
            </w:r>
          </w:p>
          <w:p w14:paraId="2FD8E666">
            <w:pPr>
              <w:rPr>
                <w:rFonts w:hint="eastAsia" w:ascii="宋体" w:hAnsi="宋体" w:eastAsia="宋体" w:cs="宋体"/>
                <w:sz w:val="24"/>
                <w:szCs w:val="24"/>
              </w:rPr>
            </w:pPr>
            <w:r>
              <w:rPr>
                <w:rFonts w:hint="eastAsia" w:ascii="宋体" w:hAnsi="宋体" w:eastAsia="宋体" w:cs="宋体"/>
                <w:sz w:val="24"/>
                <w:szCs w:val="24"/>
              </w:rPr>
              <w:t>4）成交供应商交货时应提供设备操作手册、使用指南、维修指南、服务手册和示意图等。严格按照用户指定的位置进行安装，成交供应商在施工、安装、调试等全过程中接受用户的监督。</w:t>
            </w:r>
          </w:p>
          <w:p w14:paraId="2F0B9C84">
            <w:pPr>
              <w:rPr>
                <w:rFonts w:hint="eastAsia" w:ascii="宋体" w:hAnsi="宋体" w:eastAsia="宋体" w:cs="宋体"/>
                <w:sz w:val="24"/>
                <w:szCs w:val="24"/>
              </w:rPr>
            </w:pPr>
            <w:r>
              <w:rPr>
                <w:rFonts w:hint="eastAsia" w:ascii="宋体" w:hAnsi="宋体" w:eastAsia="宋体" w:cs="宋体"/>
                <w:sz w:val="24"/>
                <w:szCs w:val="24"/>
              </w:rPr>
              <w:t>5）在成交供应商承诺的保修期内，设备保修包换所需要的配件均是原厂原装，不得使用兼容产品。</w:t>
            </w:r>
          </w:p>
          <w:p w14:paraId="6B80360A">
            <w:pPr>
              <w:rPr>
                <w:rFonts w:hint="eastAsia" w:ascii="宋体" w:hAnsi="宋体" w:eastAsia="宋体" w:cs="宋体"/>
                <w:sz w:val="24"/>
                <w:szCs w:val="24"/>
              </w:rPr>
            </w:pPr>
            <w:r>
              <w:rPr>
                <w:rFonts w:hint="eastAsia" w:ascii="宋体" w:hAnsi="宋体" w:eastAsia="宋体" w:cs="宋体"/>
                <w:sz w:val="24"/>
                <w:szCs w:val="24"/>
              </w:rPr>
              <w:t>6）竞标供应商应保证参与本次政府采购项目时其按要求所提供的所有证明材料和资质文件真实，如出现虚假应标情况，竞标供应商除了应接受有关部门的处罚外，还应依据《中华人民共和国政府采购法》及其实施条例的相关条款来确定赔偿金额。</w:t>
            </w:r>
          </w:p>
          <w:p w14:paraId="30A5FF6A">
            <w:pPr>
              <w:rPr>
                <w:rFonts w:hint="eastAsia" w:ascii="宋体" w:hAnsi="宋体" w:eastAsia="宋体" w:cs="宋体"/>
                <w:sz w:val="24"/>
                <w:szCs w:val="24"/>
              </w:rPr>
            </w:pPr>
            <w:r>
              <w:rPr>
                <w:rFonts w:hint="eastAsia" w:ascii="宋体" w:hAnsi="宋体" w:eastAsia="宋体" w:cs="宋体"/>
                <w:sz w:val="24"/>
                <w:szCs w:val="24"/>
              </w:rPr>
              <w:t>7）设备到货后，成交供应商和采购人应在现场进行清点，清点过程中如果发现因包装或运输不当引起的产品外观或内部的损坏，成交供应商应负责更换，若发现错发/漏发情况，成交供应商应负责更换和补发。</w:t>
            </w:r>
          </w:p>
          <w:p w14:paraId="6B4460FE">
            <w:pPr>
              <w:rPr>
                <w:rFonts w:hint="eastAsia" w:ascii="宋体" w:hAnsi="宋体" w:eastAsia="宋体" w:cs="宋体"/>
                <w:sz w:val="24"/>
                <w:szCs w:val="24"/>
              </w:rPr>
            </w:pPr>
            <w:r>
              <w:rPr>
                <w:rFonts w:hint="eastAsia" w:ascii="宋体" w:hAnsi="宋体" w:eastAsia="宋体" w:cs="宋体"/>
                <w:sz w:val="24"/>
                <w:szCs w:val="24"/>
              </w:rPr>
              <w:t>8）项目设备在安装前，成交供应商要与采购单位共同协商实施方案，两方认可后才能安装。</w:t>
            </w:r>
          </w:p>
          <w:p w14:paraId="3949E829">
            <w:pPr>
              <w:rPr>
                <w:rFonts w:hint="eastAsia" w:ascii="宋体" w:hAnsi="宋体" w:eastAsia="宋体" w:cs="宋体"/>
                <w:sz w:val="24"/>
                <w:szCs w:val="24"/>
              </w:rPr>
            </w:pPr>
            <w:r>
              <w:rPr>
                <w:rFonts w:hint="eastAsia" w:ascii="宋体" w:hAnsi="宋体" w:eastAsia="宋体" w:cs="宋体"/>
                <w:sz w:val="24"/>
                <w:szCs w:val="24"/>
              </w:rPr>
              <w:t>9）竞标供应商应保证针对本项目的货物和服务涉及到的知识产权和所提供的相关技术资料是合法取得，并享有完整的知识产权，不会因为采购人的使用而被责令停止使用、追偿或要求赔偿损失，如出现此情况，一切经济和法律责任均由竞标供应商承担。成交供应商需在采购合同中书面承诺采购方免受第三方提出侵犯其著作权、专利权、商标权或设计权的纠纷。</w:t>
            </w:r>
          </w:p>
          <w:p w14:paraId="635C3858">
            <w:pPr>
              <w:rPr>
                <w:rFonts w:hint="eastAsia" w:ascii="宋体" w:hAnsi="宋体" w:eastAsia="宋体" w:cs="宋体"/>
                <w:sz w:val="24"/>
                <w:szCs w:val="24"/>
              </w:rPr>
            </w:pPr>
            <w:r>
              <w:rPr>
                <w:rFonts w:hint="eastAsia" w:ascii="宋体" w:hAnsi="宋体" w:eastAsia="宋体" w:cs="宋体"/>
                <w:sz w:val="24"/>
                <w:szCs w:val="24"/>
              </w:rPr>
              <w:t>10）供应商在竞标时应在响应附件中上传加盖其单位公章的《竞价响应文件》pdf电子扫描件，《竞价响应文件》</w:t>
            </w:r>
            <w:r>
              <w:rPr>
                <w:rFonts w:hint="eastAsia" w:ascii="宋体" w:hAnsi="宋体" w:eastAsia="宋体" w:cs="宋体"/>
                <w:sz w:val="24"/>
                <w:szCs w:val="24"/>
                <w:u w:val="single"/>
              </w:rPr>
              <w:t>[格式详见“第二章 竞价响应文件（格式）”]</w:t>
            </w:r>
            <w:r>
              <w:rPr>
                <w:rFonts w:hint="eastAsia" w:ascii="宋体" w:hAnsi="宋体" w:eastAsia="宋体" w:cs="宋体"/>
                <w:sz w:val="24"/>
                <w:szCs w:val="24"/>
              </w:rPr>
              <w:t>应包含以下内容：</w:t>
            </w:r>
          </w:p>
          <w:p w14:paraId="63EA84CC">
            <w:pPr>
              <w:rPr>
                <w:rFonts w:hint="eastAsia" w:ascii="宋体" w:hAnsi="宋体" w:eastAsia="宋体" w:cs="宋体"/>
                <w:sz w:val="24"/>
                <w:szCs w:val="24"/>
                <w:u w:val="single"/>
              </w:rPr>
            </w:pPr>
            <w:r>
              <w:rPr>
                <w:rFonts w:hint="eastAsia" w:ascii="宋体" w:hAnsi="宋体" w:eastAsia="宋体" w:cs="宋体"/>
                <w:sz w:val="24"/>
                <w:szCs w:val="24"/>
                <w:u w:val="single"/>
              </w:rPr>
              <w:t>（1）《竞价响应表》。</w:t>
            </w:r>
          </w:p>
          <w:p w14:paraId="36F5777A">
            <w:pPr>
              <w:rPr>
                <w:rFonts w:hint="eastAsia" w:ascii="宋体" w:hAnsi="宋体" w:eastAsia="宋体" w:cs="宋体"/>
                <w:sz w:val="24"/>
                <w:szCs w:val="24"/>
                <w:u w:val="single"/>
              </w:rPr>
            </w:pPr>
            <w:r>
              <w:rPr>
                <w:rFonts w:hint="eastAsia" w:ascii="宋体" w:hAnsi="宋体" w:eastAsia="宋体" w:cs="宋体"/>
                <w:sz w:val="24"/>
                <w:szCs w:val="24"/>
                <w:u w:val="single"/>
              </w:rPr>
              <w:t>（2）《技术参数及性能（配置）要求》中要求提供的相关材料（如有）。</w:t>
            </w:r>
          </w:p>
          <w:p w14:paraId="01F55658">
            <w:pPr>
              <w:rPr>
                <w:rFonts w:hint="eastAsia" w:ascii="宋体" w:hAnsi="宋体" w:eastAsia="宋体" w:cs="宋体"/>
                <w:sz w:val="24"/>
                <w:szCs w:val="24"/>
              </w:rPr>
            </w:pPr>
            <w:r>
              <w:rPr>
                <w:rFonts w:hint="eastAsia" w:ascii="宋体" w:hAnsi="宋体" w:eastAsia="宋体" w:cs="宋体"/>
                <w:sz w:val="24"/>
                <w:szCs w:val="24"/>
              </w:rPr>
              <w:t>12）拟成交供应商应当在接到采购人书面竞价审查通知书后3个工作日内，须提供以下纸质材料原件：</w:t>
            </w:r>
          </w:p>
          <w:p w14:paraId="3BFE2B56">
            <w:pPr>
              <w:rPr>
                <w:rFonts w:hint="eastAsia" w:ascii="宋体" w:hAnsi="宋体" w:eastAsia="宋体" w:cs="宋体"/>
                <w:sz w:val="24"/>
                <w:szCs w:val="24"/>
                <w:u w:val="single"/>
              </w:rPr>
            </w:pPr>
            <w:r>
              <w:rPr>
                <w:rFonts w:hint="eastAsia" w:ascii="宋体" w:hAnsi="宋体" w:eastAsia="宋体" w:cs="宋体"/>
                <w:sz w:val="24"/>
                <w:szCs w:val="24"/>
                <w:u w:val="single"/>
              </w:rPr>
              <w:t>（1）《竞价响应表》。</w:t>
            </w:r>
          </w:p>
          <w:p w14:paraId="20D15305">
            <w:pPr>
              <w:rPr>
                <w:rFonts w:hint="eastAsia" w:ascii="宋体" w:hAnsi="宋体" w:eastAsia="宋体" w:cs="宋体"/>
                <w:sz w:val="24"/>
                <w:szCs w:val="24"/>
                <w:u w:val="single"/>
              </w:rPr>
            </w:pPr>
            <w:r>
              <w:rPr>
                <w:rFonts w:hint="eastAsia" w:ascii="宋体" w:hAnsi="宋体" w:eastAsia="宋体" w:cs="宋体"/>
                <w:sz w:val="24"/>
                <w:szCs w:val="24"/>
                <w:u w:val="single"/>
              </w:rPr>
              <w:t>（2）《技术参数及性能（配置）要求》中要求提供的相关材料（如有）。</w:t>
            </w:r>
          </w:p>
          <w:p w14:paraId="196AA9F4">
            <w:pPr>
              <w:rPr>
                <w:rFonts w:hint="eastAsia" w:ascii="宋体" w:hAnsi="宋体" w:eastAsia="宋体" w:cs="宋体"/>
                <w:sz w:val="24"/>
                <w:szCs w:val="24"/>
                <w:u w:val="single"/>
              </w:rPr>
            </w:pPr>
            <w:r>
              <w:rPr>
                <w:rFonts w:hint="eastAsia" w:ascii="宋体" w:hAnsi="宋体" w:eastAsia="宋体" w:cs="宋体"/>
                <w:sz w:val="24"/>
                <w:szCs w:val="24"/>
                <w:u w:val="single"/>
              </w:rPr>
              <w:t>（3）为保障货物质量及产品品质，成交供应商必须承诺在合同签订后正式供货时向采购人提供该项目产品的货物来源合法性证明（如：生产厂家针对此项目的售后服务保证原件、供货证明原件、经销证书或）。</w:t>
            </w:r>
          </w:p>
          <w:p w14:paraId="2C06C5E4">
            <w:pPr>
              <w:rPr>
                <w:rFonts w:hint="eastAsia" w:ascii="宋体" w:hAnsi="宋体" w:eastAsia="宋体" w:cs="宋体"/>
                <w:sz w:val="24"/>
                <w:szCs w:val="24"/>
              </w:rPr>
            </w:pPr>
            <w:r>
              <w:rPr>
                <w:rFonts w:hint="eastAsia" w:ascii="宋体" w:hAnsi="宋体" w:eastAsia="宋体" w:cs="宋体"/>
                <w:sz w:val="24"/>
                <w:szCs w:val="24"/>
              </w:rPr>
              <w:t>13）供应商供应商未按上述要求提交符合要求的资料或产品的，竞标无效。</w:t>
            </w:r>
          </w:p>
          <w:p w14:paraId="1AE283E9">
            <w:pPr>
              <w:rPr>
                <w:rFonts w:hint="eastAsia" w:ascii="宋体" w:hAnsi="宋体" w:eastAsia="宋体" w:cs="宋体"/>
                <w:sz w:val="24"/>
                <w:szCs w:val="24"/>
              </w:rPr>
            </w:pPr>
            <w:r>
              <w:rPr>
                <w:rFonts w:hint="eastAsia" w:ascii="宋体" w:hAnsi="宋体" w:eastAsia="宋体" w:cs="宋体"/>
                <w:sz w:val="24"/>
                <w:szCs w:val="24"/>
              </w:rPr>
              <w:t>14）供应商不能满足参数要求而进行虚假响应，或者供应商无法按要求签订合同、无法正常交货影响采购人办公使用的，采购人取消成交结果，并按规定对供应商予以处罚并进行通报处理。采购人应依法向政采云平台及政府采购管理部门进行举报并予以禁止报价、扣除诚信分等处罚，政采云全平台各区划联动生效，不予签订合同。</w:t>
            </w:r>
          </w:p>
          <w:p w14:paraId="7EEB5171">
            <w:pPr>
              <w:rPr>
                <w:rFonts w:hint="eastAsia" w:ascii="宋体" w:hAnsi="宋体" w:eastAsia="宋体" w:cs="宋体"/>
                <w:sz w:val="24"/>
                <w:szCs w:val="24"/>
              </w:rPr>
            </w:pPr>
            <w:r>
              <w:rPr>
                <w:rFonts w:hint="eastAsia" w:ascii="宋体" w:hAnsi="宋体" w:eastAsia="宋体" w:cs="宋体"/>
                <w:sz w:val="24"/>
                <w:szCs w:val="24"/>
              </w:rPr>
              <w:t>15）成交供应商必须按采购需求中所列明产品品牌、型号来供货。</w:t>
            </w:r>
          </w:p>
          <w:p w14:paraId="24A0470D">
            <w:pPr>
              <w:rPr>
                <w:rFonts w:hint="eastAsia" w:ascii="宋体" w:hAnsi="宋体" w:eastAsia="宋体" w:cs="宋体"/>
                <w:sz w:val="24"/>
                <w:szCs w:val="24"/>
              </w:rPr>
            </w:pPr>
            <w:r>
              <w:rPr>
                <w:rFonts w:hint="eastAsia" w:ascii="宋体" w:hAnsi="宋体" w:eastAsia="宋体" w:cs="宋体"/>
                <w:sz w:val="24"/>
                <w:szCs w:val="24"/>
              </w:rPr>
              <w:t>16）为确保采购人的合法权益，采购人将对所提供产品参数的真实性和实际效果进行验证，成交供应商必须配合采购人进行测试，通过测试方可供货。在测试过程中如出现所提供样品不符技术参数要求或无法提供所有样品，均视为虚假响应货物要求处理并追究法律责任。</w:t>
            </w:r>
          </w:p>
        </w:tc>
      </w:tr>
      <w:tr w14:paraId="4598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14:paraId="2D80E9DA">
            <w:pPr>
              <w:rPr>
                <w:rFonts w:hint="eastAsia" w:ascii="宋体" w:hAnsi="宋体" w:eastAsia="宋体" w:cs="宋体"/>
                <w:sz w:val="24"/>
                <w:szCs w:val="24"/>
              </w:rPr>
            </w:pPr>
            <w:r>
              <w:rPr>
                <w:rFonts w:hint="eastAsia" w:ascii="宋体" w:hAnsi="宋体" w:eastAsia="宋体" w:cs="宋体"/>
                <w:sz w:val="24"/>
                <w:szCs w:val="24"/>
              </w:rPr>
              <w:t>三、竞标人的资信要求表</w:t>
            </w:r>
          </w:p>
        </w:tc>
      </w:tr>
      <w:tr w14:paraId="35E9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801" w:type="pct"/>
            <w:gridSpan w:val="2"/>
            <w:vAlign w:val="center"/>
          </w:tcPr>
          <w:p w14:paraId="792FB156">
            <w:pPr>
              <w:rPr>
                <w:rFonts w:hint="eastAsia" w:ascii="宋体" w:hAnsi="宋体" w:eastAsia="宋体" w:cs="宋体"/>
                <w:sz w:val="24"/>
                <w:szCs w:val="24"/>
              </w:rPr>
            </w:pPr>
            <w:r>
              <w:rPr>
                <w:rFonts w:hint="eastAsia" w:ascii="宋体" w:hAnsi="宋体" w:eastAsia="宋体" w:cs="宋体"/>
                <w:sz w:val="24"/>
                <w:szCs w:val="24"/>
              </w:rPr>
              <w:t>竞标人资格要求</w:t>
            </w:r>
          </w:p>
        </w:tc>
        <w:tc>
          <w:tcPr>
            <w:tcW w:w="4199" w:type="pct"/>
            <w:gridSpan w:val="5"/>
            <w:vAlign w:val="center"/>
          </w:tcPr>
          <w:p w14:paraId="35B322A9">
            <w:pPr>
              <w:rPr>
                <w:rFonts w:hint="eastAsia" w:ascii="宋体" w:hAnsi="宋体" w:eastAsia="宋体" w:cs="宋体"/>
                <w:sz w:val="24"/>
                <w:szCs w:val="24"/>
              </w:rPr>
            </w:pPr>
            <w:r>
              <w:rPr>
                <w:rFonts w:hint="eastAsia" w:ascii="宋体" w:hAnsi="宋体" w:eastAsia="宋体" w:cs="宋体"/>
                <w:sz w:val="24"/>
                <w:szCs w:val="24"/>
              </w:rPr>
              <w:t>1）符合《中华人民共和国政府采购法》第二十二条的规定。</w:t>
            </w:r>
          </w:p>
          <w:p w14:paraId="34456EF5">
            <w:pPr>
              <w:rPr>
                <w:rFonts w:hint="eastAsia" w:ascii="宋体" w:hAnsi="宋体" w:eastAsia="宋体" w:cs="宋体"/>
                <w:sz w:val="24"/>
                <w:szCs w:val="24"/>
              </w:rPr>
            </w:pPr>
            <w:r>
              <w:rPr>
                <w:rFonts w:hint="eastAsia" w:ascii="宋体" w:hAnsi="宋体" w:eastAsia="宋体" w:cs="宋体"/>
                <w:sz w:val="24"/>
                <w:szCs w:val="24"/>
              </w:rPr>
              <w:t>2）已在政采云平台系统注册。</w:t>
            </w:r>
          </w:p>
          <w:p w14:paraId="66BE845E">
            <w:pPr>
              <w:rPr>
                <w:rFonts w:hint="eastAsia" w:ascii="宋体" w:hAnsi="宋体" w:eastAsia="宋体" w:cs="宋体"/>
                <w:sz w:val="24"/>
                <w:szCs w:val="24"/>
              </w:rPr>
            </w:pPr>
            <w:r>
              <w:rPr>
                <w:rFonts w:hint="eastAsia" w:ascii="宋体" w:hAnsi="宋体" w:eastAsia="宋体" w:cs="宋体"/>
                <w:sz w:val="24"/>
                <w:szCs w:val="24"/>
              </w:rPr>
              <w:t>3）对在“信用中国”网站(www.creditchina.gov.cn)、中国政府采购网(www.ccgp.gov.cn)等渠道列入失信被执行人、重大税收违法案件当事人名单、政府采购严重违法失信行为记录名单的供应商，不得参与本项目政府采购活动。</w:t>
            </w:r>
          </w:p>
        </w:tc>
      </w:tr>
    </w:tbl>
    <w:p w14:paraId="470E3E13">
      <w:pPr>
        <w:outlineLvl w:val="1"/>
        <w:rPr>
          <w:rStyle w:val="42"/>
        </w:rPr>
      </w:pPr>
      <w:r>
        <w:br w:type="page"/>
      </w:r>
      <w:bookmarkStart w:id="2" w:name="_Toc18075"/>
    </w:p>
    <w:p w14:paraId="08704722">
      <w:pPr>
        <w:outlineLvl w:val="1"/>
      </w:pPr>
      <w:r>
        <w:rPr>
          <w:rStyle w:val="42"/>
          <w:rFonts w:hint="eastAsia"/>
        </w:rPr>
        <w:t>附件一、</w:t>
      </w:r>
      <w:r>
        <w:rPr>
          <w:rStyle w:val="42"/>
          <w:rFonts w:hint="eastAsia"/>
          <w:lang w:eastAsia="zh-CN"/>
        </w:rPr>
        <w:t>LED屏及配套设备</w:t>
      </w:r>
      <w:r>
        <w:rPr>
          <w:rStyle w:val="42"/>
          <w:rFonts w:hint="eastAsia"/>
        </w:rPr>
        <w:t>的主要技术性能</w:t>
      </w:r>
      <w:bookmarkEnd w:id="2"/>
    </w:p>
    <w:p w14:paraId="566589DD">
      <w:pPr>
        <w:pStyle w:val="2"/>
        <w:spacing w:line="440" w:lineRule="exact"/>
        <w:rPr>
          <w:rFonts w:ascii="黑体" w:eastAsia="黑体"/>
          <w:sz w:val="32"/>
          <w:szCs w:val="32"/>
        </w:rPr>
      </w:pPr>
    </w:p>
    <w:p w14:paraId="1066CB10">
      <w:pPr>
        <w:pStyle w:val="2"/>
        <w:spacing w:line="360" w:lineRule="auto"/>
        <w:rPr>
          <w:rFonts w:ascii="黑体" w:eastAsia="黑体"/>
          <w:sz w:val="32"/>
          <w:szCs w:val="32"/>
        </w:rPr>
      </w:pPr>
      <w:bookmarkStart w:id="3" w:name="_Toc12191"/>
      <w:r>
        <w:rPr>
          <w:rFonts w:hint="eastAsia" w:ascii="黑体" w:eastAsia="黑体"/>
          <w:sz w:val="32"/>
          <w:szCs w:val="32"/>
          <w:lang w:eastAsia="zh-CN"/>
        </w:rPr>
        <w:t>LED屏及配套设备</w:t>
      </w:r>
      <w:r>
        <w:rPr>
          <w:rFonts w:hint="eastAsia" w:ascii="黑体" w:eastAsia="黑体"/>
          <w:sz w:val="32"/>
          <w:szCs w:val="32"/>
        </w:rPr>
        <w:t>的主要技术性能</w:t>
      </w:r>
      <w:bookmarkEnd w:id="3"/>
    </w:p>
    <w:tbl>
      <w:tblPr>
        <w:tblStyle w:val="20"/>
        <w:tblW w:w="101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3"/>
        <w:gridCol w:w="1375"/>
        <w:gridCol w:w="5230"/>
        <w:gridCol w:w="1253"/>
        <w:gridCol w:w="804"/>
        <w:gridCol w:w="701"/>
      </w:tblGrid>
      <w:tr w14:paraId="172F1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101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264C99">
            <w:pPr>
              <w:keepNext w:val="0"/>
              <w:keepLines w:val="0"/>
              <w:widowControl/>
              <w:suppressLineNumbers w:val="0"/>
              <w:jc w:val="both"/>
              <w:textAlignment w:val="center"/>
              <w:rPr>
                <w:rFonts w:hint="eastAsia" w:ascii="宋体" w:hAnsi="宋体" w:eastAsia="宋体" w:cs="宋体"/>
                <w:b/>
                <w:bCs/>
                <w:i w:val="0"/>
                <w:iCs w:val="0"/>
                <w:color w:val="000000"/>
                <w:kern w:val="0"/>
                <w:sz w:val="24"/>
                <w:szCs w:val="24"/>
                <w:u w:val="none"/>
                <w:lang w:val="en-US" w:eastAsia="zh-CN" w:bidi="ar"/>
              </w:rPr>
            </w:pPr>
            <w:bookmarkStart w:id="4" w:name="_Toc21066"/>
            <w:r>
              <w:rPr>
                <w:rFonts w:hint="eastAsia" w:ascii="宋体" w:hAnsi="宋体" w:cs="宋体"/>
                <w:b/>
                <w:bCs/>
                <w:sz w:val="24"/>
                <w:szCs w:val="24"/>
                <w:lang w:val="en-US" w:eastAsia="zh-CN"/>
              </w:rPr>
              <w:t>注：</w:t>
            </w:r>
            <w:r>
              <w:rPr>
                <w:rFonts w:hint="eastAsia" w:ascii="宋体" w:hAnsi="宋体" w:eastAsia="宋体" w:cs="宋体"/>
                <w:b/>
                <w:bCs/>
                <w:sz w:val="24"/>
                <w:szCs w:val="24"/>
              </w:rPr>
              <w:t>本表所有要求均为实质性要求，供应商的任何负偏离响应均视为无效竞标。</w:t>
            </w:r>
          </w:p>
        </w:tc>
      </w:tr>
      <w:tr w14:paraId="1BB1F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27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64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标的名称</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8B1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主要技术参数及性能（配置）要求</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E63D">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品牌型号</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82E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D7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3726C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4C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9B6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4E1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eastAsia="宋体" w:cs="宋体"/>
                <w:i w:val="0"/>
                <w:iCs w:val="0"/>
                <w:color w:val="FF0000"/>
                <w:kern w:val="0"/>
                <w:sz w:val="24"/>
                <w:szCs w:val="24"/>
                <w:highlight w:val="none"/>
                <w:u w:val="none"/>
                <w:lang w:val="en-US" w:eastAsia="zh-CN" w:bidi="ar"/>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点间距：≤1.25mm。</w:t>
            </w:r>
          </w:p>
          <w:p w14:paraId="20E5D04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2.整体尺寸：≥2.56米×2.56米；3套</w:t>
            </w:r>
          </w:p>
          <w:p w14:paraId="209AC0C6">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3.模组分辨率（宽×高）：≥256点×128点。</w:t>
            </w:r>
          </w:p>
          <w:p w14:paraId="154F2B1D">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4.模组尺寸（宽×高）：320mm×160mm 。</w:t>
            </w:r>
          </w:p>
          <w:p w14:paraId="01E3C7B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5.亮度：≥600cd/㎡，亮度0-600cd/㎡可调，可设置亮度手动、定时调节，支持通过亮度传感器随环境变化亮暗自动调节，0～100%无级可调。</w:t>
            </w:r>
          </w:p>
          <w:p w14:paraId="31C851A0">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刷新率≥3840Hz。</w:t>
            </w:r>
          </w:p>
          <w:p w14:paraId="40BE406A">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7.水平视角/垂直视角：≥170°/170°。</w:t>
            </w:r>
          </w:p>
          <w:p w14:paraId="1065BC3D">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8.模组间缝隙及平整度：≤0.1mm，发光点中心距偏差：≤0.1%。</w:t>
            </w:r>
          </w:p>
          <w:p w14:paraId="3DD50E16">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9.亮度均匀性：≥99%，色度均匀性：±0.001  Cx，Cy之内。</w:t>
            </w:r>
          </w:p>
          <w:p w14:paraId="06D96CBA">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10.对比度：≥15000:1。</w:t>
            </w:r>
          </w:p>
          <w:p w14:paraId="70A6AE0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11.驱动方式：恒流驱动。</w:t>
            </w:r>
          </w:p>
          <w:p w14:paraId="3B06C7E4">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12.低亮高灰，100%亮度时，16bit灰度；70%亮度时16bit灰度；50%亮度时15bit灰度；20%亮度时15bit灰度。</w:t>
            </w:r>
          </w:p>
          <w:p w14:paraId="3B37A5B6">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13.前后左右1米噪音≤6dB。</w:t>
            </w:r>
          </w:p>
          <w:p w14:paraId="0B06B19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14.换帧频率：50/60 Hz。</w:t>
            </w:r>
          </w:p>
          <w:p w14:paraId="04F7BE0A">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15.屏体色温：1000～15000K可调。</w:t>
            </w:r>
          </w:p>
          <w:p w14:paraId="72A8F6A0">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16.校正：支持亮度与色度逐点校正。</w:t>
            </w:r>
          </w:p>
          <w:p w14:paraId="432E9BF9">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17.校正数据存储在模块里，可进行逐点校正、色度校正。</w:t>
            </w:r>
          </w:p>
          <w:p w14:paraId="123E957D">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18.平均无故障时间≥50000小时。</w:t>
            </w:r>
          </w:p>
          <w:p w14:paraId="7112422D">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19.像素失控率及盲点率：≤1/100000。</w:t>
            </w:r>
          </w:p>
          <w:p w14:paraId="2B4FC4D4">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20.观看舒适度：“人眼视觉舒适度（VICO）”指数低于2.0，去除100%紫外线，消除80%摩尔纹，基本无疲劳感1级，满足GB/T 44441-2024《LED 照明产品视觉健康舒适度测试》标准。</w:t>
            </w:r>
          </w:p>
          <w:p w14:paraId="245623AA">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21.屏体安装结构：前/后安装，完全前维护，可贴墙安装、无需预留空间。</w:t>
            </w:r>
          </w:p>
          <w:p w14:paraId="1C13341B">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22.电磁兼容性EMC检测：符合GB/T9254.1-2021限值要求。</w:t>
            </w:r>
          </w:p>
          <w:p w14:paraId="37F90F3F">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23.脉冲、浪涌试验：电快速瞬变脉冲群试验，浪涌试验以及电压暂降和短时中断试验，试验结束后样品可正常工作。</w:t>
            </w:r>
          </w:p>
          <w:p w14:paraId="18A2A815">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24.抗紫外UV辐射：辐照强度0.76W/㎡，使用UVA340灯，温度60℃，冷凝温度50℃，24小时循环，试验后样品无异常可正常工作。</w:t>
            </w:r>
          </w:p>
          <w:p w14:paraId="3C8D7CE5">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25.抗压力及拉力要求：显示屏所选材料符合《GB/T15115-2024 压铸铝合金》标准，抗拉强度≥5000N，屈服强度≥5000N，硬度不小于70HBS。</w:t>
            </w:r>
          </w:p>
          <w:p w14:paraId="19803194">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26. 蓝光安全和光生物安全检测：光生物安全及蓝光危害检测，符合GB/T20145-2006标准要求，属于无危害类产品。检测蓝光对皮肤和眼睛紫外线危害，宽波段的光源对视网膜的危害，以及蓝光对皮肤表面、角膜和视网膜的辐射值。</w:t>
            </w:r>
          </w:p>
          <w:p w14:paraId="5D7726FD">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27.阻燃（防火）：PCB的阻燃等级达到</w:t>
            </w:r>
            <w:r>
              <w:rPr>
                <w:rFonts w:hint="eastAsia" w:ascii="宋体" w:hAnsi="宋体" w:eastAsia="宋体" w:cs="宋体"/>
                <w:color w:val="000000" w:themeColor="text1"/>
                <w:sz w:val="24"/>
                <w:szCs w:val="24"/>
                <w:highlight w:val="none"/>
                <w:u w:val="none"/>
                <w:lang w:bidi="ar"/>
                <w14:textFill>
                  <w14:solidFill>
                    <w14:schemeClr w14:val="tx1"/>
                  </w14:solidFill>
                </w14:textFill>
              </w:rPr>
              <w:t>GB/T 2408</w:t>
            </w: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 xml:space="preserve"> V-0级。试验过程中无滴落物，样品自燃10秒内熄灭，阻燃等级符合</w:t>
            </w:r>
            <w:r>
              <w:rPr>
                <w:rFonts w:hint="eastAsia" w:ascii="宋体" w:hAnsi="宋体" w:eastAsia="宋体" w:cs="宋体"/>
                <w:color w:val="000000" w:themeColor="text1"/>
                <w:sz w:val="24"/>
                <w:szCs w:val="24"/>
                <w:highlight w:val="none"/>
                <w:u w:val="none"/>
                <w:lang w:bidi="ar"/>
                <w14:textFill>
                  <w14:solidFill>
                    <w14:schemeClr w14:val="tx1"/>
                  </w14:solidFill>
                </w14:textFill>
              </w:rPr>
              <w:t>GB/T 2408</w:t>
            </w: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 xml:space="preserve"> V-0级。显示屏整体/箱体，满足V-0级阻燃（防火）标准。</w:t>
            </w:r>
          </w:p>
          <w:p w14:paraId="5A7D1C7F">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28.振动试验：符合SJ/T11141-2025《发光二极管（LED）显示屏通用规范》，对LED显示屏进行振动试验，试验后样品无损坏工作正常。</w:t>
            </w:r>
          </w:p>
          <w:p w14:paraId="10B925BA">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 xml:space="preserve">29.峰值功率：≤600W/㎡。平均功率：≤200W/㎡ 。  </w:t>
            </w:r>
          </w:p>
          <w:p w14:paraId="4F8C7C0E">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30.工作电压：AC: 110V～240V（50/60 Hz）。</w:t>
            </w:r>
          </w:p>
          <w:p w14:paraId="56CD76A7">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31.LED典型寿命 ≥10万小时。</w:t>
            </w:r>
          </w:p>
          <w:p w14:paraId="24B14D94">
            <w:pPr>
              <w:keepNext w:val="0"/>
              <w:keepLines w:val="0"/>
              <w:widowControl/>
              <w:suppressLineNumbers w:val="0"/>
              <w:jc w:val="left"/>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32.运行环境温度：-10℃～40℃。</w:t>
            </w:r>
          </w:p>
          <w:p w14:paraId="3131883E">
            <w:pPr>
              <w:keepNext w:val="0"/>
              <w:keepLines w:val="0"/>
              <w:widowControl/>
              <w:suppressLineNumbers w:val="0"/>
              <w:jc w:val="left"/>
              <w:textAlignment w:val="center"/>
              <w:rPr>
                <w:rFonts w:hint="eastAsia" w:ascii="宋体" w:hAnsi="宋体" w:eastAsia="宋体" w:cs="宋体"/>
                <w:i w:val="0"/>
                <w:iCs w:val="0"/>
                <w:color w:val="FF0000"/>
                <w:kern w:val="0"/>
                <w:sz w:val="24"/>
                <w:szCs w:val="24"/>
                <w:highlight w:val="none"/>
                <w:u w:val="none"/>
                <w:lang w:val="en-US" w:eastAsia="zh-CN" w:bidi="ar"/>
              </w:rPr>
            </w:pPr>
            <w:r>
              <w:rPr>
                <w:rFonts w:hint="eastAsia" w:ascii="宋体" w:hAnsi="宋体" w:eastAsia="宋体" w:cs="宋体"/>
                <w:i w:val="0"/>
                <w:iCs w:val="0"/>
                <w:color w:val="000000" w:themeColor="text1"/>
                <w:sz w:val="24"/>
                <w:szCs w:val="24"/>
                <w:highlight w:val="none"/>
                <w:u w:val="none"/>
                <w:lang w:val="en-US" w:eastAsia="zh-CN" w:bidi="ar"/>
                <w14:textFill>
                  <w14:solidFill>
                    <w14:schemeClr w14:val="tx1"/>
                  </w14:solidFill>
                </w14:textFill>
              </w:rPr>
              <w:t>33.运行环境湿度：10％～90％RH，无结露。</w:t>
            </w:r>
          </w:p>
          <w:p w14:paraId="56EEB16F">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34.</w:t>
            </w:r>
            <w:r>
              <w:rPr>
                <w:rFonts w:hint="eastAsia" w:ascii="宋体" w:hAnsi="宋体" w:eastAsia="宋体" w:cs="宋体"/>
                <w:color w:val="000000"/>
                <w:kern w:val="0"/>
                <w:sz w:val="24"/>
                <w:szCs w:val="24"/>
                <w:highlight w:val="none"/>
                <w:u w:val="none"/>
                <w:lang w:bidi="ar"/>
              </w:rPr>
              <w:t>在</w:t>
            </w:r>
            <w:r>
              <w:rPr>
                <w:rFonts w:hint="eastAsia" w:ascii="宋体" w:hAnsi="宋体" w:cs="宋体"/>
                <w:color w:val="000000"/>
                <w:kern w:val="0"/>
                <w:sz w:val="24"/>
                <w:szCs w:val="24"/>
                <w:highlight w:val="none"/>
                <w:u w:val="none"/>
                <w:lang w:val="en-US" w:eastAsia="zh-CN" w:bidi="ar"/>
              </w:rPr>
              <w:t>供货时</w:t>
            </w:r>
            <w:r>
              <w:rPr>
                <w:rFonts w:hint="eastAsia" w:ascii="宋体" w:hAnsi="宋体" w:eastAsia="宋体" w:cs="宋体"/>
                <w:color w:val="000000"/>
                <w:kern w:val="0"/>
                <w:sz w:val="24"/>
                <w:szCs w:val="24"/>
                <w:highlight w:val="none"/>
                <w:u w:val="none"/>
                <w:lang w:bidi="ar"/>
              </w:rPr>
              <w:t>提供国家认可的具有相应检测资质的第三方检测机构出具的关于</w:t>
            </w:r>
            <w:r>
              <w:rPr>
                <w:rFonts w:hint="eastAsia" w:ascii="宋体" w:hAnsi="宋体" w:eastAsia="宋体" w:cs="宋体"/>
                <w:color w:val="000000"/>
                <w:kern w:val="0"/>
                <w:sz w:val="24"/>
                <w:szCs w:val="24"/>
                <w:highlight w:val="none"/>
                <w:u w:val="none"/>
                <w:lang w:eastAsia="zh-CN" w:bidi="ar"/>
              </w:rPr>
              <w:t>该</w:t>
            </w:r>
            <w:r>
              <w:rPr>
                <w:rFonts w:hint="eastAsia" w:ascii="宋体" w:hAnsi="宋体" w:cs="宋体"/>
                <w:color w:val="000000"/>
                <w:kern w:val="0"/>
                <w:sz w:val="24"/>
                <w:szCs w:val="24"/>
                <w:highlight w:val="none"/>
                <w:u w:val="none"/>
                <w:lang w:val="en-US" w:eastAsia="zh-CN" w:bidi="ar"/>
              </w:rPr>
              <w:t>产品</w:t>
            </w:r>
            <w:r>
              <w:rPr>
                <w:rFonts w:hint="eastAsia" w:ascii="宋体" w:hAnsi="宋体" w:eastAsia="宋体" w:cs="宋体"/>
                <w:color w:val="000000"/>
                <w:kern w:val="0"/>
                <w:sz w:val="24"/>
                <w:szCs w:val="24"/>
                <w:highlight w:val="none"/>
                <w:u w:val="none"/>
                <w:lang w:eastAsia="zh-CN" w:bidi="ar"/>
              </w:rPr>
              <w:t>的检测</w:t>
            </w:r>
            <w:r>
              <w:rPr>
                <w:rFonts w:hint="eastAsia" w:ascii="宋体" w:hAnsi="宋体" w:eastAsia="宋体" w:cs="宋体"/>
                <w:color w:val="000000"/>
                <w:kern w:val="0"/>
                <w:sz w:val="24"/>
                <w:szCs w:val="24"/>
                <w:highlight w:val="none"/>
                <w:u w:val="none"/>
                <w:lang w:bidi="ar"/>
              </w:rPr>
              <w:t>报告复印件，并加盖竞标人公章。</w:t>
            </w:r>
          </w:p>
          <w:p w14:paraId="6041CC4F">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35. LED显示屏具有“中国国家强制性产品认证证书”（并在响应文件中提供相关认证证书复印件加盖竞标人公章）</w:t>
            </w:r>
          </w:p>
          <w:p w14:paraId="5C0DE947">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36. LED显示屏具有“中国节能产品认证证书”（并在响应文件中提供相关认证证书复印件加盖竞标人公章）</w:t>
            </w:r>
          </w:p>
          <w:p w14:paraId="620B59D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37. LED显示屏具有“环境标志（Ⅱ型）产品认证证书”（并在响应文件中提供相关认证证书复印件加盖竞标人公章）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F0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嘉河JH-P1.2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53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19.66</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82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4609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FA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C8B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拼接处理器二合一</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440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1.支持三画面布局。支持不少于1路HDMI1.4输入，2路DVI输入，1路SDI输入，最大输入分辨率≥1920×1200@60Hz。控制方式：前面板按键/USB接口上位机/232接口协议对接。1U机箱，AC100-240V电源输入。</w:t>
            </w:r>
          </w:p>
          <w:p w14:paraId="7D102B6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 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53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嘉河JH-L100-C08</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D5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2F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758E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0D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FAC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LED定制结构</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B60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1.安装结构能满足LED高清显示屏的整体均匀平滑要求，采用环保型材，结构应便于安装和调试。</w:t>
            </w:r>
          </w:p>
          <w:p w14:paraId="28C746B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2.所有材料采用国家标准材料施工制作，防锈防氧化处理。</w:t>
            </w:r>
          </w:p>
          <w:p w14:paraId="75553AA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3.结构设计标准：遵循《钢结构设计规范》及 《钢结构工程施工及验收规范》等要求。</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C2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92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19.66</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5F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3FA1A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D1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30B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LED显示屏（圆柱形）</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C5C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1.点间距：≤1.538mm；</w:t>
            </w:r>
          </w:p>
          <w:p w14:paraId="3328FBE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2.整体尺寸：≥3.84米×2.08米；</w:t>
            </w:r>
          </w:p>
          <w:p w14:paraId="49DE655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3.模组分辨率（宽×高）：≥208点×104点。</w:t>
            </w:r>
          </w:p>
          <w:p w14:paraId="1B90003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4.模组尺寸（宽×高）：320mm×160mm 。软屏幕</w:t>
            </w:r>
          </w:p>
          <w:p w14:paraId="7B6BA073">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5.亮度：≥600cd/㎡，亮度0～600cd/㎡可调，可手动、定时调节亮度，支持通过亮度传感器随环境变化自动调节亮暗，0～100%无级可调。</w:t>
            </w:r>
          </w:p>
          <w:p w14:paraId="793EA99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6刷新率≥3840Hz。</w:t>
            </w:r>
          </w:p>
          <w:p w14:paraId="5361D55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 水平视角/垂直视角：≥170°/170°。</w:t>
            </w:r>
          </w:p>
          <w:p w14:paraId="4828A1F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8.模组间缝隙及平整度：≤0.1mm，发光点中心距偏差：≤0.1%。</w:t>
            </w:r>
          </w:p>
          <w:p w14:paraId="220075B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9.亮度均匀性：≥99%，色度均匀性：±0.001  Cx，Cy之内。</w:t>
            </w:r>
          </w:p>
          <w:p w14:paraId="0E40817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10.对比度：≥15000:1。</w:t>
            </w:r>
          </w:p>
          <w:p w14:paraId="33AB96B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11.驱动方式：恒流驱动。</w:t>
            </w:r>
          </w:p>
          <w:p w14:paraId="205A296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12.低亮高灰，100%亮度时，16bit灰度；70%亮度时16bit灰度；50%亮度时15bit灰度；20%亮度时15bit灰度。</w:t>
            </w:r>
          </w:p>
          <w:p w14:paraId="7894DB5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13. 前后左右1米噪音≤6dB。</w:t>
            </w:r>
          </w:p>
          <w:p w14:paraId="47FDB2A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14.换帧频率：50/60 Hz。</w:t>
            </w:r>
          </w:p>
          <w:p w14:paraId="0930FFD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15.屏体色温：1000～15000K可调。</w:t>
            </w:r>
          </w:p>
          <w:p w14:paraId="7D18E26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16.校正：支持亮度与色度逐点校正。</w:t>
            </w:r>
          </w:p>
          <w:p w14:paraId="4900FD04">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17. 校正数据存储在模块里，可进行逐点校正、色度校正。</w:t>
            </w:r>
          </w:p>
          <w:p w14:paraId="0AE51DF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18.平均无故障时间≥50000小时。</w:t>
            </w:r>
          </w:p>
          <w:p w14:paraId="59D8CB4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19.像素失控率及盲点率：≤1/100000。</w:t>
            </w:r>
          </w:p>
          <w:p w14:paraId="5FFFC28D">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20.观看舒适度：“人眼视觉舒适度（VICO）”指数低于2.0，去除100%紫外线，消除80%摩尔纹，基本无疲劳感1级，满足GB/T 44441-2024《LED 照明产品视觉健康舒适度测试》标准。</w:t>
            </w:r>
          </w:p>
          <w:p w14:paraId="44F8A37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21.屏体安装结构：前/后安装，完全前维护，可贴墙安装、无需预留空间。</w:t>
            </w:r>
          </w:p>
          <w:p w14:paraId="02D0D71A">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22.脉冲、浪涌试验：电快速瞬变脉冲群试验，浪涌试验以及电压暂降和短时中断试验，试验结束后样品可正常工作。</w:t>
            </w:r>
          </w:p>
          <w:p w14:paraId="09C279F6">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23.抗紫外UV辐射：辐照强度0.76W/㎡，使用UVA340灯，温度60℃，冷凝温度50℃，24小时循环，试验后样品无异常可正常工作。</w:t>
            </w:r>
          </w:p>
          <w:p w14:paraId="13131925">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24.抗压力及拉力要求：显示屏所选材料符合《GB/T15115-2024 压铸铝合金》标准，抗拉强度≥5000N，屈服强度≥5000N，硬度不小于70HBS。</w:t>
            </w:r>
          </w:p>
          <w:p w14:paraId="1209C9D7">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25.蓝光安全和光生物安全检测：光生物安全及蓝光危害检测，符合GB/T20145-2006标准要求，属于无危害类产品。进行蓝光对皮肤和眼睛紫外线危害，宽波段的光源对视网膜的危害，蓝光对皮肤表面及角膜和视网膜的辐射值检测。</w:t>
            </w:r>
          </w:p>
          <w:p w14:paraId="4358E077">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26.阻燃（防火）：PCB的阻燃等级达到GB/T 2408 V-0级。试验过程中无滴落物，样品自燃10秒内熄灭，阻燃等级符合GB/T 2408 V-0级。显示屏整体/箱体，满足V-0级阻燃（防火）标准。</w:t>
            </w:r>
          </w:p>
          <w:p w14:paraId="0BB1A4AD">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27.振动试验：符合SJ/T11141-2025《发光二极管（LED）显示屏通用规范》，对LED显示屏进行振动试验，试验后样品无损坏工作正常。</w:t>
            </w:r>
          </w:p>
          <w:p w14:paraId="3126018B">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 xml:space="preserve">28.峰值功率：≤600W/㎡。平均功率：≤200W/㎡ 。  </w:t>
            </w:r>
          </w:p>
          <w:p w14:paraId="3221A76D">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29.工作电压：AC: 110V～240V（50/60 Hz）。</w:t>
            </w:r>
          </w:p>
          <w:p w14:paraId="3892733D">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30.LED典型寿命 ≥10万小时。</w:t>
            </w:r>
          </w:p>
          <w:p w14:paraId="233409CA">
            <w:pPr>
              <w:keepNext w:val="0"/>
              <w:keepLines w:val="0"/>
              <w:widowControl/>
              <w:suppressLineNumbers w:val="0"/>
              <w:jc w:val="left"/>
              <w:rPr>
                <w:rFonts w:hint="eastAsia" w:ascii="宋体" w:hAnsi="宋体" w:eastAsia="宋体" w:cs="宋体"/>
                <w:i w:val="0"/>
                <w:iCs w:val="0"/>
                <w:color w:val="00000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31.运行环境温度：-10℃～40℃。</w:t>
            </w:r>
          </w:p>
          <w:p w14:paraId="7B60D58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bidi="ar"/>
              </w:rPr>
              <w:t>32.运行环境湿度：10％～90％RH，无结露。</w:t>
            </w:r>
          </w:p>
          <w:p w14:paraId="3EE9E924">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33.</w:t>
            </w:r>
            <w:r>
              <w:rPr>
                <w:rFonts w:hint="eastAsia" w:ascii="宋体" w:hAnsi="宋体" w:eastAsia="宋体" w:cs="宋体"/>
                <w:color w:val="000000"/>
                <w:kern w:val="0"/>
                <w:sz w:val="24"/>
                <w:szCs w:val="24"/>
                <w:highlight w:val="none"/>
                <w:u w:val="none"/>
                <w:lang w:bidi="ar"/>
              </w:rPr>
              <w:t>在</w:t>
            </w:r>
            <w:r>
              <w:rPr>
                <w:rFonts w:hint="eastAsia" w:ascii="宋体" w:hAnsi="宋体" w:cs="宋体"/>
                <w:color w:val="000000"/>
                <w:kern w:val="0"/>
                <w:sz w:val="24"/>
                <w:szCs w:val="24"/>
                <w:highlight w:val="none"/>
                <w:u w:val="none"/>
                <w:lang w:val="en-US" w:eastAsia="zh-CN" w:bidi="ar"/>
              </w:rPr>
              <w:t>供货时</w:t>
            </w:r>
            <w:r>
              <w:rPr>
                <w:rFonts w:hint="eastAsia" w:ascii="宋体" w:hAnsi="宋体" w:eastAsia="宋体" w:cs="宋体"/>
                <w:color w:val="000000"/>
                <w:kern w:val="0"/>
                <w:sz w:val="24"/>
                <w:szCs w:val="24"/>
                <w:highlight w:val="none"/>
                <w:u w:val="none"/>
                <w:lang w:bidi="ar"/>
              </w:rPr>
              <w:t>提供国家认可的具有相应检测资质的第三方检测机构出具的关于</w:t>
            </w:r>
            <w:r>
              <w:rPr>
                <w:rFonts w:hint="eastAsia" w:ascii="宋体" w:hAnsi="宋体" w:eastAsia="宋体" w:cs="宋体"/>
                <w:color w:val="000000"/>
                <w:kern w:val="0"/>
                <w:sz w:val="24"/>
                <w:szCs w:val="24"/>
                <w:highlight w:val="none"/>
                <w:u w:val="none"/>
                <w:lang w:eastAsia="zh-CN" w:bidi="ar"/>
              </w:rPr>
              <w:t>该</w:t>
            </w:r>
            <w:r>
              <w:rPr>
                <w:rFonts w:hint="eastAsia" w:ascii="宋体" w:hAnsi="宋体" w:cs="宋体"/>
                <w:color w:val="000000"/>
                <w:kern w:val="0"/>
                <w:sz w:val="24"/>
                <w:szCs w:val="24"/>
                <w:highlight w:val="none"/>
                <w:u w:val="none"/>
                <w:lang w:val="en-US" w:eastAsia="zh-CN" w:bidi="ar"/>
              </w:rPr>
              <w:t>产品</w:t>
            </w:r>
            <w:r>
              <w:rPr>
                <w:rFonts w:hint="eastAsia" w:ascii="宋体" w:hAnsi="宋体" w:eastAsia="宋体" w:cs="宋体"/>
                <w:color w:val="000000"/>
                <w:kern w:val="0"/>
                <w:sz w:val="24"/>
                <w:szCs w:val="24"/>
                <w:highlight w:val="none"/>
                <w:u w:val="none"/>
                <w:lang w:eastAsia="zh-CN" w:bidi="ar"/>
              </w:rPr>
              <w:t>的检测</w:t>
            </w:r>
            <w:r>
              <w:rPr>
                <w:rFonts w:hint="eastAsia" w:ascii="宋体" w:hAnsi="宋体" w:eastAsia="宋体" w:cs="宋体"/>
                <w:color w:val="000000"/>
                <w:kern w:val="0"/>
                <w:sz w:val="24"/>
                <w:szCs w:val="24"/>
                <w:highlight w:val="none"/>
                <w:u w:val="none"/>
                <w:lang w:bidi="ar"/>
              </w:rPr>
              <w:t>报告复印件，并加盖竞标人公章。</w:t>
            </w:r>
          </w:p>
          <w:p w14:paraId="6D731F42">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34. LED显示屏具有“中国国家强制性产品认证证书”（并在响应文件中提供相关认证证书复印件加盖竞标人公章）</w:t>
            </w:r>
          </w:p>
          <w:p w14:paraId="67B0A587">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35. LED显示屏具有“中国节能产品认证证书”（并在响应文件中提供相关认证证书复印件加盖竞标人公章）</w:t>
            </w:r>
          </w:p>
          <w:p w14:paraId="0111077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36. LED显示屏具有“环境标志（Ⅱ型）产品认证证书”（并在响应文件中提供相关认证证书复印件加盖竞标人公章）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69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嘉河JH-FCP1.5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E3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7.99</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A8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72A3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93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753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948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二合一视频处理器。发送+视频处理。配置≥20个千兆网口输出。最宽≥16384点，最高8192点。配置≥2个万兆全双工LC接口单模双芯接口。支持六画面布局。支持不少于1路DP1.2输入，1路HDMI2.0输入、2路HDMI1.4输入，2路DVI输入，最大输入分辨率≥4096×2160@60Hz。控制方式：前面板按键/USB接口上位机/RJ45接口网络上位机/232接口协议对接。2U机箱，AC100-240V电源输入。</w:t>
            </w:r>
          </w:p>
          <w:p w14:paraId="5833B39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83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嘉河JH-L100-C20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C8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85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62EC4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CC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D15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（空心圆）</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FFB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 点间距：≤1.538mm。尺寸，内圈直径1.2米、外圈直径2米（空心圆）</w:t>
            </w:r>
          </w:p>
          <w:p w14:paraId="1FD794B3">
            <w:pPr>
              <w:keepNext w:val="0"/>
              <w:keepLines w:val="0"/>
              <w:widowControl/>
              <w:suppressLineNumbers w:val="0"/>
              <w:jc w:val="left"/>
              <w:textAlignment w:val="center"/>
              <w:rPr>
                <w:rFonts w:hint="eastAsia" w:ascii="宋体" w:hAnsi="宋体" w:eastAsia="宋体" w:cs="宋体"/>
                <w:i w:val="0"/>
                <w:iCs w:val="0"/>
                <w:color w:val="FF0000"/>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2.支持前维护，定制</w:t>
            </w:r>
          </w:p>
          <w:p w14:paraId="26954123">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3.亮度（色温6500K）：≥600cd/㎡。</w:t>
            </w:r>
          </w:p>
          <w:p w14:paraId="2B14490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4.水平视角/垂直视角：≥160°/160°。</w:t>
            </w:r>
          </w:p>
          <w:p w14:paraId="2C89E80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5.平整度：≤0.1mm。发光点中心距偏差：≤1%。</w:t>
            </w:r>
          </w:p>
          <w:p w14:paraId="0E42B01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6.亮度均匀性：≥99%。色度均匀性：±0.003  Cx，Cy之内。</w:t>
            </w:r>
          </w:p>
          <w:p w14:paraId="477D4C5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7.对比度：</w:t>
            </w: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5000:1。颜色处理位数：16bit。</w:t>
            </w:r>
          </w:p>
          <w:p w14:paraId="44A8426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8.灰度级别：65536。驱动方式：恒流驱动。</w:t>
            </w:r>
          </w:p>
          <w:p w14:paraId="5116090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9.低亮高灰，刷新率≥3840Hz时，100%亮度，灰度≥16bit。刷新率≥3840Hz时，50%亮度，灰度≥14bit。刷新率≥3840Hz时，20%亮度，灰度≥12bit。</w:t>
            </w:r>
          </w:p>
          <w:p w14:paraId="0892FFF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10.前后左右1米噪音≤18dB。</w:t>
            </w:r>
          </w:p>
          <w:p w14:paraId="1866FE5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11.换帧频率：50/60 Hz。</w:t>
            </w:r>
          </w:p>
          <w:p w14:paraId="27CB880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12.屏体色温：2000～15000K可调。</w:t>
            </w:r>
          </w:p>
          <w:p w14:paraId="6C78BC7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13.校正：支持亮度与色度逐点校正。</w:t>
            </w:r>
          </w:p>
          <w:p w14:paraId="56C6F3C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14.校正数据存储在模块里，可进行逐点校正、色度校正。</w:t>
            </w:r>
          </w:p>
          <w:p w14:paraId="61B6938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15.峰值功率：≤600W/㎡。平均功率：200W/㎡。</w:t>
            </w:r>
          </w:p>
          <w:p w14:paraId="6C87F94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16.工作电压：AC: 110V～240V（50/60 Hz）。</w:t>
            </w:r>
          </w:p>
          <w:p w14:paraId="29CCD86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17.LED典型寿命≥10万小时。</w:t>
            </w:r>
          </w:p>
          <w:p w14:paraId="11CED0F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18.运行环境温度：-20℃～60℃。</w:t>
            </w:r>
          </w:p>
          <w:p w14:paraId="2218F7C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19.运行环境湿度：20％～80％RH，无结露。</w:t>
            </w:r>
          </w:p>
          <w:p w14:paraId="3A0A9D4B">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w:t>
            </w:r>
            <w:r>
              <w:rPr>
                <w:rFonts w:hint="eastAsia" w:ascii="宋体" w:hAnsi="宋体" w:eastAsia="宋体" w:cs="宋体"/>
                <w:color w:val="000000"/>
                <w:kern w:val="0"/>
                <w:sz w:val="24"/>
                <w:szCs w:val="24"/>
                <w:highlight w:val="none"/>
                <w:u w:val="none"/>
                <w:lang w:bidi="ar"/>
              </w:rPr>
              <w:t>在</w:t>
            </w:r>
            <w:r>
              <w:rPr>
                <w:rFonts w:hint="eastAsia" w:ascii="宋体" w:hAnsi="宋体" w:cs="宋体"/>
                <w:color w:val="auto"/>
                <w:kern w:val="0"/>
                <w:sz w:val="24"/>
                <w:szCs w:val="24"/>
                <w:highlight w:val="none"/>
                <w:u w:val="none"/>
                <w:lang w:val="en-US" w:eastAsia="zh-CN" w:bidi="ar"/>
              </w:rPr>
              <w:t>供货时</w:t>
            </w:r>
            <w:r>
              <w:rPr>
                <w:rFonts w:hint="eastAsia" w:ascii="宋体" w:hAnsi="宋体" w:eastAsia="宋体" w:cs="宋体"/>
                <w:color w:val="000000"/>
                <w:kern w:val="0"/>
                <w:sz w:val="24"/>
                <w:szCs w:val="24"/>
                <w:highlight w:val="none"/>
                <w:u w:val="none"/>
                <w:lang w:bidi="ar"/>
              </w:rPr>
              <w:t>提供国家认可的具有相应检测资质的第三方检测机构出具的关于</w:t>
            </w:r>
            <w:r>
              <w:rPr>
                <w:rFonts w:hint="eastAsia" w:ascii="宋体" w:hAnsi="宋体" w:eastAsia="宋体" w:cs="宋体"/>
                <w:color w:val="000000"/>
                <w:kern w:val="0"/>
                <w:sz w:val="24"/>
                <w:szCs w:val="24"/>
                <w:highlight w:val="none"/>
                <w:u w:val="none"/>
                <w:lang w:eastAsia="zh-CN" w:bidi="ar"/>
              </w:rPr>
              <w:t>该</w:t>
            </w:r>
            <w:r>
              <w:rPr>
                <w:rFonts w:hint="eastAsia" w:ascii="宋体" w:hAnsi="宋体" w:cs="宋体"/>
                <w:color w:val="000000"/>
                <w:kern w:val="0"/>
                <w:sz w:val="24"/>
                <w:szCs w:val="24"/>
                <w:highlight w:val="none"/>
                <w:u w:val="none"/>
                <w:lang w:val="en-US" w:eastAsia="zh-CN" w:bidi="ar"/>
              </w:rPr>
              <w:t>产品</w:t>
            </w:r>
            <w:r>
              <w:rPr>
                <w:rFonts w:hint="eastAsia" w:ascii="宋体" w:hAnsi="宋体" w:eastAsia="宋体" w:cs="宋体"/>
                <w:color w:val="000000"/>
                <w:kern w:val="0"/>
                <w:sz w:val="24"/>
                <w:szCs w:val="24"/>
                <w:highlight w:val="none"/>
                <w:u w:val="none"/>
                <w:lang w:eastAsia="zh-CN" w:bidi="ar"/>
              </w:rPr>
              <w:t>的检测</w:t>
            </w:r>
            <w:r>
              <w:rPr>
                <w:rFonts w:hint="eastAsia" w:ascii="宋体" w:hAnsi="宋体" w:eastAsia="宋体" w:cs="宋体"/>
                <w:color w:val="000000"/>
                <w:kern w:val="0"/>
                <w:sz w:val="24"/>
                <w:szCs w:val="24"/>
                <w:highlight w:val="none"/>
                <w:u w:val="none"/>
                <w:lang w:bidi="ar"/>
              </w:rPr>
              <w:t>报告复印件，并加盖竞标人公章。</w:t>
            </w:r>
          </w:p>
          <w:p w14:paraId="5D16783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21.LED显示屏具有“中国国家强制性产品认证证书”（并在响应文件中提供相关认证证书复印件加盖竞标人公章）</w:t>
            </w:r>
          </w:p>
          <w:p w14:paraId="43F352D4">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22.LED显示屏具有“中国节能产品认证证书”（并在响应文件中提供相关认证证书复印件加盖竞标人公章）</w:t>
            </w:r>
          </w:p>
          <w:p w14:paraId="4DABAB3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23.LED显示屏具有“环境标志（Ⅱ型）产品认证证书”（并在响应文件中提供相关认证证书复印件加盖竞标人公章）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1D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嘉河JH-GCP1.5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FB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0D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12C7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AC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1F0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D4A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支持发送+视频处理。配置≥8个千兆网口输出。最大带载≥520万像素，最宽≥8192点，最高≥4096点。支持三画面布局。支持不少于1路HDMI1.4输入，2路DVI输入，1路SDI输入，最大输入分辨率≥1920×1200@60Hz。控制方式：前面板按键/USB接口上位机/232接口协议对接。1U机箱，AC100-240V电源输入。</w:t>
            </w:r>
          </w:p>
          <w:p w14:paraId="6F3F419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01C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嘉河JH-L100-C08</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8A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69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6327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97E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DCF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LED定制结构</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0A4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1.安装结构能满足LED高清显示屏的整体均匀平滑要求，采用环保型材，结构应便于安装和调试。</w:t>
            </w:r>
          </w:p>
          <w:p w14:paraId="1981ED8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2.所有材料采用国家标准材料施工制作，防锈防氧化处理。</w:t>
            </w:r>
          </w:p>
          <w:p w14:paraId="266EA18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3.结构设计标准：遵循《钢结构设计规范》及 《钢结构工程施工及验收规范》等要求。</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05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67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E5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3E758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2C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920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B2E3">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1.点间距：≤1.538mm。</w:t>
            </w:r>
          </w:p>
          <w:p w14:paraId="23C1498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2.整体尺寸：≥3.2米×1.92米。</w:t>
            </w:r>
          </w:p>
          <w:p w14:paraId="2B4804E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3.模组分辨率（宽×高）：208点×104点。</w:t>
            </w:r>
          </w:p>
          <w:p w14:paraId="5BCF2AA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4.模组尺寸（宽×高）：320mm×160mm。软屏幕</w:t>
            </w:r>
          </w:p>
          <w:p w14:paraId="0B346C7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5.亮度：≥600cd/㎡，亮度0-600cd/㎡可调，可设置亮度手动、定时调节，支持通过亮度传感器随环境变化亮暗自动调节，0～100%无级可调。</w:t>
            </w:r>
          </w:p>
          <w:p w14:paraId="50ED1FE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6刷新率≥3840Hz。</w:t>
            </w:r>
          </w:p>
          <w:p w14:paraId="4F9EDEC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7.水平视角/垂直视角：≥170°/170°。</w:t>
            </w:r>
          </w:p>
          <w:p w14:paraId="0C6834F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8.模组间缝隙及平整度：≤0.1mm，发光点中心距偏差：≤0.1%。</w:t>
            </w:r>
          </w:p>
          <w:p w14:paraId="61B4463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9.亮度均匀性：≥99%，色度均匀性：±0.001  Cx，Cy之内。</w:t>
            </w:r>
          </w:p>
          <w:p w14:paraId="7550B45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10.对比度：≥15000:1。</w:t>
            </w:r>
          </w:p>
          <w:p w14:paraId="77742444">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11.驱动方式：恒流驱动。</w:t>
            </w:r>
          </w:p>
          <w:p w14:paraId="49F9408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12.低亮高灰，100%亮度时，16bit灰度；70%亮度时16bit灰度；50%亮度时15bit灰度；20%亮度时15bit灰度。</w:t>
            </w:r>
          </w:p>
          <w:p w14:paraId="2B768A9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13.前后左右1米噪音≤6dB。</w:t>
            </w:r>
          </w:p>
          <w:p w14:paraId="6C18A4E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14.换帧频率：50/60 Hz。</w:t>
            </w:r>
          </w:p>
          <w:p w14:paraId="04465F6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15.屏体色温：1000～15000K可调。</w:t>
            </w:r>
          </w:p>
          <w:p w14:paraId="128CA9C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16.校正：支持亮度与色度逐点校正。</w:t>
            </w:r>
          </w:p>
          <w:p w14:paraId="0AF1E5D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17.校正数据存储在模块里，可进行逐点校正、色度校正。</w:t>
            </w:r>
          </w:p>
          <w:p w14:paraId="04E4A81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18.平均无故障时间≥50000小时。</w:t>
            </w:r>
          </w:p>
          <w:p w14:paraId="0019F49D">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19.像素失控率及盲点率：≤1/100000。</w:t>
            </w:r>
          </w:p>
          <w:p w14:paraId="410B868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20.观看舒适度：“人眼视觉舒适度（VICO）”指数低于2.0，去除100%紫外线，消除80%摩尔纹，基本无疲劳感1级，满足GB/T 44441-2024《LED 照明产品视觉健康舒适度测试》标准。</w:t>
            </w:r>
          </w:p>
          <w:p w14:paraId="56951B2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21.屏体安装结构：前/后安装，完全前维护，可贴墙安装、无需预留空间。</w:t>
            </w:r>
          </w:p>
          <w:p w14:paraId="48C4B22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22.脉冲、浪涌试验：电快速瞬变脉冲群试验，浪涌试验以及电压暂降和短时中断试验，试验结束后样品可正常工作。</w:t>
            </w:r>
          </w:p>
          <w:p w14:paraId="215D14E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23.抗紫外UV辐射：辐照强度0.76W/㎡，使用UVA340灯，温度60℃，冷凝温度50℃，24小时循环，试验后样品无异常可正常工作。</w:t>
            </w:r>
          </w:p>
          <w:p w14:paraId="2E19962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24.抗压力及拉力要求：显示屏所选材料符合《GB/T15115-2024 压铸铝合金》标准，抗拉强度≥5000N，屈服强度≥5000N，硬度不小于70HBS。</w:t>
            </w:r>
          </w:p>
          <w:p w14:paraId="08EA540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25.蓝光安全和光生物安全检测：光生物安全及蓝光危害检测，符合GB/T20145-2006标准要求，属于无危害类产品。检测蓝光对皮肤和眼睛的紫外线危害，宽波段的光源对视网膜的危害，以及蓝光对皮肤表面、角膜和视网膜的辐射值。</w:t>
            </w:r>
          </w:p>
          <w:p w14:paraId="246B4ED4">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26.阻燃（防火）：PCB的阻燃等级达到GB/T 2408 V-0级。试验过程中无滴落物，样品自燃10秒内熄灭，阻燃等级符合GB/T 2408 V-0级。显示屏整体/箱体，满足V-0级阻燃（防火）标准。</w:t>
            </w:r>
          </w:p>
          <w:p w14:paraId="2D2F043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27.振动试验：符合SJ/T11141-2025《发光二极管（LED）显示屏通用规范》，对LED显示屏进行振动试验，试验后样品无损坏工作正常。</w:t>
            </w:r>
          </w:p>
          <w:p w14:paraId="6FD885F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 xml:space="preserve">28.峰值功率：≤600W/㎡。平均功率：200W/㎡ 。  </w:t>
            </w:r>
          </w:p>
          <w:p w14:paraId="6564778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29.工作电压：AC: 110V～240V（50/60 Hz）。</w:t>
            </w:r>
          </w:p>
          <w:p w14:paraId="7C16FF4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30.LED典型寿命 ≥10万小时。</w:t>
            </w:r>
          </w:p>
          <w:p w14:paraId="62F50A0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31.运行环境温度：-10℃～40℃。</w:t>
            </w:r>
          </w:p>
          <w:p w14:paraId="06DAA0E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32.运行环境湿度：10％～90％RH，无结露。</w:t>
            </w:r>
          </w:p>
          <w:p w14:paraId="444773A0">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33.</w:t>
            </w:r>
            <w:r>
              <w:rPr>
                <w:rFonts w:hint="eastAsia" w:ascii="宋体" w:hAnsi="宋体" w:eastAsia="宋体" w:cs="宋体"/>
                <w:color w:val="000000"/>
                <w:kern w:val="0"/>
                <w:sz w:val="24"/>
                <w:szCs w:val="24"/>
                <w:highlight w:val="none"/>
                <w:u w:val="none"/>
                <w:lang w:bidi="ar"/>
              </w:rPr>
              <w:t>在</w:t>
            </w:r>
            <w:r>
              <w:rPr>
                <w:rFonts w:hint="eastAsia" w:ascii="宋体" w:hAnsi="宋体" w:cs="宋体"/>
                <w:color w:val="000000"/>
                <w:kern w:val="0"/>
                <w:sz w:val="24"/>
                <w:szCs w:val="24"/>
                <w:highlight w:val="none"/>
                <w:u w:val="none"/>
                <w:lang w:val="en-US" w:eastAsia="zh-CN" w:bidi="ar"/>
              </w:rPr>
              <w:t>供货时</w:t>
            </w:r>
            <w:r>
              <w:rPr>
                <w:rFonts w:hint="eastAsia" w:ascii="宋体" w:hAnsi="宋体" w:eastAsia="宋体" w:cs="宋体"/>
                <w:color w:val="000000"/>
                <w:kern w:val="0"/>
                <w:sz w:val="24"/>
                <w:szCs w:val="24"/>
                <w:highlight w:val="none"/>
                <w:u w:val="none"/>
                <w:lang w:bidi="ar"/>
              </w:rPr>
              <w:t>提供国家认可的具有相应检测资质的第三方检测机构出具的关于</w:t>
            </w:r>
            <w:r>
              <w:rPr>
                <w:rFonts w:hint="eastAsia" w:ascii="宋体" w:hAnsi="宋体" w:eastAsia="宋体" w:cs="宋体"/>
                <w:color w:val="000000"/>
                <w:kern w:val="0"/>
                <w:sz w:val="24"/>
                <w:szCs w:val="24"/>
                <w:highlight w:val="none"/>
                <w:u w:val="none"/>
                <w:lang w:eastAsia="zh-CN" w:bidi="ar"/>
              </w:rPr>
              <w:t>该</w:t>
            </w:r>
            <w:r>
              <w:rPr>
                <w:rFonts w:hint="eastAsia" w:ascii="宋体" w:hAnsi="宋体" w:cs="宋体"/>
                <w:color w:val="000000"/>
                <w:kern w:val="0"/>
                <w:sz w:val="24"/>
                <w:szCs w:val="24"/>
                <w:highlight w:val="none"/>
                <w:u w:val="none"/>
                <w:lang w:val="en-US" w:eastAsia="zh-CN" w:bidi="ar"/>
              </w:rPr>
              <w:t>产品</w:t>
            </w:r>
            <w:r>
              <w:rPr>
                <w:rFonts w:hint="eastAsia" w:ascii="宋体" w:hAnsi="宋体" w:eastAsia="宋体" w:cs="宋体"/>
                <w:color w:val="000000"/>
                <w:kern w:val="0"/>
                <w:sz w:val="24"/>
                <w:szCs w:val="24"/>
                <w:highlight w:val="none"/>
                <w:u w:val="none"/>
                <w:lang w:eastAsia="zh-CN" w:bidi="ar"/>
              </w:rPr>
              <w:t>的检测</w:t>
            </w:r>
            <w:r>
              <w:rPr>
                <w:rFonts w:hint="eastAsia" w:ascii="宋体" w:hAnsi="宋体" w:eastAsia="宋体" w:cs="宋体"/>
                <w:color w:val="000000"/>
                <w:kern w:val="0"/>
                <w:sz w:val="24"/>
                <w:szCs w:val="24"/>
                <w:highlight w:val="none"/>
                <w:u w:val="none"/>
                <w:lang w:bidi="ar"/>
              </w:rPr>
              <w:t>报告复印件，并加盖竞标人公章。</w:t>
            </w:r>
          </w:p>
          <w:p w14:paraId="2535AD41">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34.LED显示屏具有“中国国家强制性产品认证证书”（并在响应文件中提供相关认证证书复印件加盖竞标人公章）</w:t>
            </w:r>
          </w:p>
          <w:p w14:paraId="17D0083E">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35.LED显示屏具有“中国节能产品认证证书”（并在响应文件中提供相关认证证书复印件加盖竞标人公章）</w:t>
            </w:r>
          </w:p>
          <w:p w14:paraId="06CFE36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36.LED显示屏具有“环境标志（Ⅱ型）产品认证证书”（并在响应文件中提供相关认证证书复印件加盖竞标人公章）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97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嘉河JH-FCP1.5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EF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6.15</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EC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5FBE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C4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760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拼接处理器二合一</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44F7">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1.支持三画面布局。支持不少于1路HDMI1.4输入，2路DVI输入，1路SDI输入，最大输入分辨率≥1920×1200@60Hz。控制方式：前面板按键/USB接口上位机/232接口协议对接。1U机箱，AC100-240V电源输入。</w:t>
            </w:r>
          </w:p>
          <w:p w14:paraId="5C051F31">
            <w:pPr>
              <w:keepNext w:val="0"/>
              <w:keepLines w:val="0"/>
              <w:widowControl/>
              <w:suppressLineNumbers w:val="0"/>
              <w:jc w:val="left"/>
              <w:textAlignment w:val="center"/>
              <w:rPr>
                <w:rFonts w:hint="eastAsia" w:ascii="宋体" w:hAnsi="宋体" w:eastAsia="宋体" w:cs="宋体"/>
                <w:i w:val="0"/>
                <w:iCs w:val="0"/>
                <w:color w:val="FF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 LED视频处理器具有“中国国家强制性产品认证证书”（并在响应文件中提供相关认证证书复印件，加盖竞标人公章）</w:t>
            </w:r>
            <w:r>
              <w:rPr>
                <w:rFonts w:hint="eastAsia" w:ascii="宋体" w:hAnsi="宋体" w:eastAsia="宋体" w:cs="宋体"/>
                <w:i w:val="0"/>
                <w:iCs w:val="0"/>
                <w:color w:val="auto"/>
                <w:kern w:val="0"/>
                <w:sz w:val="24"/>
                <w:szCs w:val="24"/>
                <w:highlight w:val="none"/>
                <w:u w:val="none"/>
                <w:lang w:val="en-US" w:eastAsia="zh-CN" w:bidi="ar"/>
              </w:rPr>
              <w:t>。</w:t>
            </w:r>
          </w:p>
          <w:p w14:paraId="2C6247E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21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嘉河JH-L100-C08</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FA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6C8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7127C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EC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90B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LED定制结构</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F30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1.安装结构能满足LED高清显示屏的整体均匀平滑要求，采用环保型材，结构应便于安装和调试。</w:t>
            </w:r>
          </w:p>
          <w:p w14:paraId="15EC442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2.所有材料采用国家标准材料施工制作，防锈防氧化处理。</w:t>
            </w:r>
          </w:p>
          <w:p w14:paraId="461D26A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3.结构设计标准：遵循《钢结构设计规范》及 《钢结构工程施工及验收规范》等要求。</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B9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B5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6.15</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EF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5AD4F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08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7D8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Kinect互动装置</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D4DF">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eastAsia="zh-CN" w:bidi="ar"/>
              </w:rPr>
            </w:pPr>
            <w:r>
              <w:rPr>
                <w:rFonts w:hint="eastAsia" w:ascii="宋体" w:hAnsi="宋体" w:eastAsia="宋体" w:cs="宋体"/>
                <w:color w:val="000000"/>
                <w:kern w:val="0"/>
                <w:sz w:val="24"/>
                <w:szCs w:val="24"/>
                <w:highlight w:val="none"/>
                <w:u w:val="none"/>
                <w:lang w:val="en-US" w:eastAsia="zh-CN" w:bidi="ar"/>
              </w:rPr>
              <w:t>1.</w:t>
            </w:r>
            <w:r>
              <w:rPr>
                <w:rFonts w:hint="eastAsia" w:ascii="宋体" w:hAnsi="宋体" w:eastAsia="宋体" w:cs="宋体"/>
                <w:color w:val="000000"/>
                <w:kern w:val="0"/>
                <w:sz w:val="24"/>
                <w:szCs w:val="24"/>
                <w:highlight w:val="none"/>
                <w:u w:val="none"/>
                <w:lang w:bidi="ar"/>
              </w:rPr>
              <w:t>感应器：深度感应镜头（</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320×240分辨率，16bit，30fps）和彩色镜头（</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640×480分辨率，32bit，30fps）</w:t>
            </w:r>
            <w:r>
              <w:rPr>
                <w:rFonts w:hint="eastAsia" w:ascii="宋体" w:hAnsi="宋体" w:eastAsia="宋体" w:cs="宋体"/>
                <w:color w:val="000000"/>
                <w:kern w:val="0"/>
                <w:sz w:val="24"/>
                <w:szCs w:val="24"/>
                <w:highlight w:val="none"/>
                <w:u w:val="none"/>
                <w:lang w:eastAsia="zh-CN" w:bidi="ar"/>
              </w:rPr>
              <w:t>。</w:t>
            </w:r>
          </w:p>
          <w:p w14:paraId="29FC6832">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eastAsia="zh-CN" w:bidi="ar"/>
              </w:rPr>
            </w:pPr>
            <w:r>
              <w:rPr>
                <w:rFonts w:hint="eastAsia" w:ascii="宋体" w:hAnsi="宋体" w:eastAsia="宋体" w:cs="宋体"/>
                <w:color w:val="000000"/>
                <w:kern w:val="0"/>
                <w:sz w:val="24"/>
                <w:szCs w:val="24"/>
                <w:highlight w:val="none"/>
                <w:u w:val="none"/>
                <w:lang w:val="en-US" w:eastAsia="zh-CN" w:bidi="ar"/>
              </w:rPr>
              <w:t>2.</w:t>
            </w:r>
            <w:r>
              <w:rPr>
                <w:rFonts w:hint="eastAsia" w:ascii="宋体" w:hAnsi="宋体" w:eastAsia="宋体" w:cs="宋体"/>
                <w:color w:val="000000"/>
                <w:kern w:val="0"/>
                <w:sz w:val="24"/>
                <w:szCs w:val="24"/>
                <w:highlight w:val="none"/>
                <w:u w:val="none"/>
                <w:lang w:bidi="ar"/>
              </w:rPr>
              <w:t>音效：16bit，16kHz，支持语音聊天和回声消除</w:t>
            </w:r>
            <w:r>
              <w:rPr>
                <w:rFonts w:hint="eastAsia" w:ascii="宋体" w:hAnsi="宋体" w:eastAsia="宋体" w:cs="宋体"/>
                <w:color w:val="000000"/>
                <w:kern w:val="0"/>
                <w:sz w:val="24"/>
                <w:szCs w:val="24"/>
                <w:highlight w:val="none"/>
                <w:u w:val="none"/>
                <w:lang w:eastAsia="zh-CN" w:bidi="ar"/>
              </w:rPr>
              <w:t>。</w:t>
            </w:r>
          </w:p>
          <w:p w14:paraId="31E47748">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eastAsia="zh-CN" w:bidi="ar"/>
              </w:rPr>
            </w:pPr>
            <w:r>
              <w:rPr>
                <w:rFonts w:hint="eastAsia" w:ascii="宋体" w:hAnsi="宋体" w:eastAsia="宋体" w:cs="宋体"/>
                <w:color w:val="000000"/>
                <w:kern w:val="0"/>
                <w:sz w:val="24"/>
                <w:szCs w:val="24"/>
                <w:highlight w:val="none"/>
                <w:u w:val="none"/>
                <w:lang w:val="en-US" w:eastAsia="zh-CN" w:bidi="ar"/>
              </w:rPr>
              <w:t>3.</w:t>
            </w:r>
            <w:r>
              <w:rPr>
                <w:rFonts w:hint="eastAsia" w:ascii="宋体" w:hAnsi="宋体" w:eastAsia="宋体" w:cs="宋体"/>
                <w:color w:val="000000"/>
                <w:kern w:val="0"/>
                <w:sz w:val="24"/>
                <w:szCs w:val="24"/>
                <w:highlight w:val="none"/>
                <w:u w:val="none"/>
                <w:lang w:bidi="ar"/>
              </w:rPr>
              <w:t>视野：水平</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57度，垂直</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43度，追踪范围1.2</w:t>
            </w:r>
            <w:r>
              <w:rPr>
                <w:rFonts w:hint="eastAsia" w:ascii="宋体" w:hAnsi="宋体" w:eastAsia="宋体" w:cs="宋体"/>
                <w:sz w:val="24"/>
                <w:szCs w:val="24"/>
                <w:highlight w:val="none"/>
                <w:lang w:val="en-US" w:eastAsia="zh-CN"/>
              </w:rPr>
              <w:t>～</w:t>
            </w:r>
            <w:r>
              <w:rPr>
                <w:rFonts w:hint="eastAsia" w:ascii="宋体" w:hAnsi="宋体" w:eastAsia="宋体" w:cs="宋体"/>
                <w:color w:val="000000"/>
                <w:kern w:val="0"/>
                <w:sz w:val="24"/>
                <w:szCs w:val="24"/>
                <w:highlight w:val="none"/>
                <w:u w:val="none"/>
                <w:lang w:bidi="ar"/>
              </w:rPr>
              <w:t>3.5米</w:t>
            </w:r>
            <w:r>
              <w:rPr>
                <w:rFonts w:hint="eastAsia" w:ascii="宋体" w:hAnsi="宋体" w:eastAsia="宋体" w:cs="宋体"/>
                <w:color w:val="000000"/>
                <w:kern w:val="0"/>
                <w:sz w:val="24"/>
                <w:szCs w:val="24"/>
                <w:highlight w:val="none"/>
                <w:u w:val="none"/>
                <w:lang w:eastAsia="zh-CN" w:bidi="ar"/>
              </w:rPr>
              <w:t>。</w:t>
            </w:r>
          </w:p>
          <w:p w14:paraId="44F9F7DE">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eastAsia="zh-CN" w:bidi="ar"/>
              </w:rPr>
            </w:pPr>
            <w:r>
              <w:rPr>
                <w:rFonts w:hint="eastAsia" w:ascii="宋体" w:hAnsi="宋体" w:eastAsia="宋体" w:cs="宋体"/>
                <w:color w:val="000000"/>
                <w:kern w:val="0"/>
                <w:sz w:val="24"/>
                <w:szCs w:val="24"/>
                <w:highlight w:val="none"/>
                <w:u w:val="none"/>
                <w:lang w:val="en-US" w:eastAsia="zh-CN" w:bidi="ar"/>
              </w:rPr>
              <w:t>4.</w:t>
            </w:r>
            <w:r>
              <w:rPr>
                <w:rFonts w:hint="eastAsia" w:ascii="宋体" w:hAnsi="宋体" w:eastAsia="宋体" w:cs="宋体"/>
                <w:color w:val="000000"/>
                <w:kern w:val="0"/>
                <w:sz w:val="24"/>
                <w:szCs w:val="24"/>
                <w:highlight w:val="none"/>
                <w:u w:val="none"/>
                <w:lang w:bidi="ar"/>
              </w:rPr>
              <w:t>语音识别：支持多语言，</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4麦克风阵列</w:t>
            </w:r>
            <w:r>
              <w:rPr>
                <w:rFonts w:hint="eastAsia" w:ascii="宋体" w:hAnsi="宋体" w:eastAsia="宋体" w:cs="宋体"/>
                <w:color w:val="000000"/>
                <w:kern w:val="0"/>
                <w:sz w:val="24"/>
                <w:szCs w:val="24"/>
                <w:highlight w:val="none"/>
                <w:u w:val="none"/>
                <w:lang w:eastAsia="zh-CN" w:bidi="ar"/>
              </w:rPr>
              <w:t>。</w:t>
            </w:r>
          </w:p>
          <w:p w14:paraId="564E68A4">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bidi="ar"/>
              </w:rPr>
            </w:pPr>
            <w:r>
              <w:rPr>
                <w:rFonts w:hint="eastAsia" w:ascii="宋体" w:hAnsi="宋体" w:eastAsia="宋体" w:cs="宋体"/>
                <w:color w:val="000000"/>
                <w:kern w:val="0"/>
                <w:sz w:val="24"/>
                <w:szCs w:val="24"/>
                <w:highlight w:val="none"/>
                <w:u w:val="none"/>
                <w:lang w:val="en-US" w:eastAsia="zh-CN" w:bidi="ar"/>
              </w:rPr>
              <w:t>5.</w:t>
            </w:r>
            <w:r>
              <w:rPr>
                <w:rFonts w:hint="eastAsia" w:ascii="宋体" w:hAnsi="宋体" w:eastAsia="宋体" w:cs="宋体"/>
                <w:color w:val="000000"/>
                <w:kern w:val="0"/>
                <w:sz w:val="24"/>
                <w:szCs w:val="24"/>
                <w:highlight w:val="none"/>
                <w:u w:val="none"/>
                <w:lang w:bidi="ar"/>
              </w:rPr>
              <w:t>功能特性</w:t>
            </w:r>
          </w:p>
          <w:p w14:paraId="6175AEB7">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eastAsia="zh-CN" w:bidi="ar"/>
              </w:rPr>
            </w:pP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val="en-US" w:eastAsia="zh-CN" w:bidi="ar"/>
              </w:rPr>
              <w:t>1</w:t>
            </w: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bidi="ar"/>
              </w:rPr>
              <w:t>最多同时追踪</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6人</w:t>
            </w:r>
            <w:r>
              <w:rPr>
                <w:rFonts w:hint="eastAsia" w:ascii="宋体" w:hAnsi="宋体" w:eastAsia="宋体" w:cs="宋体"/>
                <w:color w:val="000000"/>
                <w:kern w:val="0"/>
                <w:sz w:val="24"/>
                <w:szCs w:val="24"/>
                <w:highlight w:val="none"/>
                <w:u w:val="none"/>
                <w:lang w:eastAsia="zh-CN" w:bidi="ar"/>
              </w:rPr>
              <w:t>；</w:t>
            </w:r>
          </w:p>
          <w:p w14:paraId="53532732">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eastAsia="zh-CN" w:bidi="ar"/>
              </w:rPr>
            </w:pP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val="en-US" w:eastAsia="zh-CN" w:bidi="ar"/>
              </w:rPr>
              <w:t>2</w:t>
            </w: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bidi="ar"/>
              </w:rPr>
              <w:t>支持骨骼追踪（</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48个骨骼点）、面部识别和手势控制</w:t>
            </w:r>
            <w:r>
              <w:rPr>
                <w:rFonts w:hint="eastAsia" w:ascii="宋体" w:hAnsi="宋体" w:eastAsia="宋体" w:cs="宋体"/>
                <w:color w:val="000000"/>
                <w:kern w:val="0"/>
                <w:sz w:val="24"/>
                <w:szCs w:val="24"/>
                <w:highlight w:val="none"/>
                <w:u w:val="none"/>
                <w:lang w:eastAsia="zh-CN" w:bidi="ar"/>
              </w:rPr>
              <w:t>；</w:t>
            </w:r>
          </w:p>
          <w:p w14:paraId="485B93EC">
            <w:pPr>
              <w:keepNext w:val="0"/>
              <w:keepLines w:val="0"/>
              <w:widowControl/>
              <w:suppressLineNumbers w:val="0"/>
              <w:jc w:val="left"/>
              <w:textAlignment w:val="center"/>
              <w:rPr>
                <w:rFonts w:hint="eastAsia" w:ascii="宋体" w:hAnsi="宋体" w:eastAsia="宋体" w:cs="宋体"/>
                <w:color w:val="000000"/>
                <w:kern w:val="0"/>
                <w:sz w:val="24"/>
                <w:szCs w:val="24"/>
                <w:highlight w:val="none"/>
                <w:u w:val="none"/>
                <w:lang w:eastAsia="zh-CN" w:bidi="ar"/>
              </w:rPr>
            </w:pP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val="en-US" w:eastAsia="zh-CN" w:bidi="ar"/>
              </w:rPr>
              <w:t>3</w:t>
            </w: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bidi="ar"/>
              </w:rPr>
              <w:t>支持</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1080P高清视频，改进骨骼追踪（</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kern w:val="0"/>
                <w:sz w:val="24"/>
                <w:szCs w:val="24"/>
                <w:highlight w:val="none"/>
                <w:u w:val="none"/>
                <w:lang w:bidi="ar"/>
              </w:rPr>
              <w:t>25个骨骼点/人）</w:t>
            </w:r>
            <w:r>
              <w:rPr>
                <w:rFonts w:hint="eastAsia" w:ascii="宋体" w:hAnsi="宋体" w:eastAsia="宋体" w:cs="宋体"/>
                <w:color w:val="000000"/>
                <w:kern w:val="0"/>
                <w:sz w:val="24"/>
                <w:szCs w:val="24"/>
                <w:highlight w:val="none"/>
                <w:u w:val="none"/>
                <w:lang w:eastAsia="zh-CN" w:bidi="ar"/>
              </w:rPr>
              <w:t>；</w:t>
            </w:r>
          </w:p>
          <w:p w14:paraId="5639004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val="en-US" w:eastAsia="zh-CN" w:bidi="ar"/>
              </w:rPr>
              <w:t>4</w:t>
            </w:r>
            <w:r>
              <w:rPr>
                <w:rFonts w:hint="eastAsia" w:ascii="宋体" w:hAnsi="宋体" w:eastAsia="宋体" w:cs="宋体"/>
                <w:color w:val="000000"/>
                <w:kern w:val="0"/>
                <w:sz w:val="24"/>
                <w:szCs w:val="24"/>
                <w:highlight w:val="none"/>
                <w:u w:val="none"/>
                <w:lang w:eastAsia="zh-CN" w:bidi="ar"/>
              </w:rPr>
              <w:t>）</w:t>
            </w:r>
            <w:r>
              <w:rPr>
                <w:rFonts w:hint="eastAsia" w:ascii="宋体" w:hAnsi="宋体" w:eastAsia="宋体" w:cs="宋体"/>
                <w:color w:val="000000"/>
                <w:kern w:val="0"/>
                <w:sz w:val="24"/>
                <w:szCs w:val="24"/>
                <w:highlight w:val="none"/>
                <w:u w:val="none"/>
                <w:lang w:val="en-US" w:eastAsia="zh-CN" w:bidi="ar"/>
              </w:rPr>
              <w:t>支持</w:t>
            </w:r>
            <w:r>
              <w:rPr>
                <w:rFonts w:hint="eastAsia" w:ascii="宋体" w:hAnsi="宋体" w:eastAsia="宋体" w:cs="宋体"/>
                <w:color w:val="000000"/>
                <w:kern w:val="0"/>
                <w:sz w:val="24"/>
                <w:szCs w:val="24"/>
                <w:highlight w:val="none"/>
                <w:u w:val="none"/>
                <w:lang w:bidi="ar"/>
              </w:rPr>
              <w:t>主动式红外检测、拇指追踪和手势识别</w:t>
            </w:r>
            <w:r>
              <w:rPr>
                <w:rFonts w:hint="eastAsia" w:ascii="宋体" w:hAnsi="宋体" w:eastAsia="宋体" w:cs="宋体"/>
                <w:color w:val="000000"/>
                <w:kern w:val="0"/>
                <w:sz w:val="24"/>
                <w:szCs w:val="24"/>
                <w:highlight w:val="none"/>
                <w:u w:val="none"/>
                <w:lang w:eastAsia="zh-CN" w:bidi="ar"/>
              </w:rPr>
              <w:t>。</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75D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XBOXkinect2.0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01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C6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r>
      <w:tr w14:paraId="79491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16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DDB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雷达互动装置</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D66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扫描角度：≥240°，触点数量：20 点～255 点，支持多人同时互动，可识别对象：手指、手掌、触控笔、人体（≥10cm 物体）</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F0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星秒SIMO-LS-10HM</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2A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76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r>
      <w:tr w14:paraId="2141A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DB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893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BA2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1.点间距：≤1.8605mm。</w:t>
            </w:r>
          </w:p>
          <w:p w14:paraId="0FCD00E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2.整体尺寸：≥（3.2米×0.64米）×2块</w:t>
            </w:r>
          </w:p>
          <w:p w14:paraId="24374DB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3.模组分辨率（宽×高）：≥172点×86点。</w:t>
            </w:r>
          </w:p>
          <w:p w14:paraId="1B2C57F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4.模组尺寸（宽×高）：320mm×160mm。</w:t>
            </w:r>
          </w:p>
          <w:p w14:paraId="2B98840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5.亮度：≥600cd/㎡，亮度0-600cd/㎡可调，可设置亮度手动、定时调节，支持通过亮度传感器随环境变化亮暗自动调节，0～100%无级可调。</w:t>
            </w:r>
          </w:p>
          <w:p w14:paraId="01D7663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6刷新率≥3840Hz。</w:t>
            </w:r>
          </w:p>
          <w:p w14:paraId="090A5A8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 水平视角/垂直视角：≥170°/170°。</w:t>
            </w:r>
          </w:p>
          <w:p w14:paraId="546E551E">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8.模组间缝隙及平整度：≤0.1mm，发光点中心距偏差：≤0.1%。</w:t>
            </w:r>
          </w:p>
          <w:p w14:paraId="3FEFEC2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9.亮度均匀性：≥99%，色度均匀性：±0.001  Cx，Cy之内。</w:t>
            </w:r>
          </w:p>
          <w:p w14:paraId="4F876EC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10.对比度：≥15000:1。</w:t>
            </w:r>
          </w:p>
          <w:p w14:paraId="0258067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11.驱动方式：恒流驱动。</w:t>
            </w:r>
          </w:p>
          <w:p w14:paraId="5E2B458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12.低亮高灰，100%亮度时，16bit灰度；70%亮度时16bit灰度；50%亮度时15bit灰度；20%亮度时15bit灰度。</w:t>
            </w:r>
          </w:p>
          <w:p w14:paraId="0B75549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13. 前后左右1米噪音≤6dB。</w:t>
            </w:r>
          </w:p>
          <w:p w14:paraId="220F1C5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14.换帧频率：50/60 Hz。</w:t>
            </w:r>
          </w:p>
          <w:p w14:paraId="5E8827B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15.屏体色温：1000～15000K可调。</w:t>
            </w:r>
          </w:p>
          <w:p w14:paraId="506C29A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16.校正：支持亮度与色度逐点校正。</w:t>
            </w:r>
          </w:p>
          <w:p w14:paraId="7A01637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17.校正数据存储在模块里，可进行逐点校正、色度校正。</w:t>
            </w:r>
          </w:p>
          <w:p w14:paraId="7D0D537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18.平均无故障时间≥50000小时。</w:t>
            </w:r>
          </w:p>
          <w:p w14:paraId="7CA8603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19.像素失控率及盲点率：≤1/100000。</w:t>
            </w:r>
          </w:p>
          <w:p w14:paraId="01B513A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20.观看舒适度：“人眼视觉舒适度（VICO）”指数低于2.0，去除100%紫外线，消除80%摩尔纹，基本无疲劳感1级，满足GB/T 44441-2024《LED 照明产品视觉健康舒适度测试》标准。</w:t>
            </w:r>
          </w:p>
          <w:p w14:paraId="2C374B3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21.屏体安装结构：前/后安装，完全前维护，可贴墙安装、无需预留空间。</w:t>
            </w:r>
          </w:p>
          <w:p w14:paraId="08B69BDD">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22.脉冲、浪涌试验：电快速瞬变脉冲群试验，浪涌试验以及电压暂降和短时中断试验，试验结束后样品可正常工作。</w:t>
            </w:r>
          </w:p>
          <w:p w14:paraId="3F06F47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23.抗紫外UV辐射：辐照强度0.76W/㎡，使用UVA340灯，温度60℃，冷凝温度50℃，24小时循环，试验后样品无异常可正常工作。</w:t>
            </w:r>
          </w:p>
          <w:p w14:paraId="22202CE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24.抗压力及拉力要求：显示屏所选材料符合《GB/T15115-2024 压铸铝合金》标准，抗拉强度≥5000N，屈服强度≥5000N，硬度不小于70HBS。</w:t>
            </w:r>
          </w:p>
          <w:p w14:paraId="66BA50E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25.蓝光安全和光生物安全检测：光生物安全及蓝光危害检测，符合GB/T20145-2006标准要求，属于无危害类产品。检测蓝光对皮肤和眼睛的紫外线危害，宽波段的光源对视网膜的危害，以及蓝光对皮肤表面及角膜和视网膜的辐射值。</w:t>
            </w:r>
          </w:p>
          <w:p w14:paraId="5CA956A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26.阻燃（防火）：PCB的阻燃等级达到GB/T 2408 V-0级。试验过程中无滴落物，样品自燃10秒内熄灭，阻燃等级符合GB/T 2408 V-0级。显示屏整体/箱体，满足V-0级阻燃（防火）标准。</w:t>
            </w:r>
          </w:p>
          <w:p w14:paraId="06DD087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27.振动试验：符合SJ/T11141-2025《发光二极管（LED）显示屏通用规范》，对LED显示屏进行振动试验，试验后样品无损坏工作正常。</w:t>
            </w:r>
          </w:p>
          <w:p w14:paraId="6BFE4A0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 xml:space="preserve">28.峰值功率：≤600W/㎡。平均功率：≤200W/㎡ 。  </w:t>
            </w:r>
          </w:p>
          <w:p w14:paraId="7AB400A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29.工作电压：AC: 110V～240V（50/60 Hz）。</w:t>
            </w:r>
          </w:p>
          <w:p w14:paraId="4273E423">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30.LED典型寿命 ≥10万小时。</w:t>
            </w:r>
          </w:p>
          <w:p w14:paraId="04A883A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31.运行环境温度：-10℃～40℃。</w:t>
            </w:r>
          </w:p>
          <w:p w14:paraId="5F3A771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32.运行环境湿度：10％～90％RH，无结露。</w:t>
            </w:r>
          </w:p>
          <w:p w14:paraId="4ECB868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33.</w:t>
            </w:r>
            <w:r>
              <w:rPr>
                <w:rFonts w:hint="eastAsia" w:ascii="宋体" w:hAnsi="宋体" w:eastAsia="宋体" w:cs="宋体"/>
                <w:color w:val="000000"/>
                <w:kern w:val="0"/>
                <w:sz w:val="24"/>
                <w:szCs w:val="24"/>
                <w:highlight w:val="none"/>
                <w:u w:val="none"/>
                <w:lang w:bidi="ar"/>
              </w:rPr>
              <w:t>在</w:t>
            </w:r>
            <w:r>
              <w:rPr>
                <w:rFonts w:hint="eastAsia" w:ascii="宋体" w:hAnsi="宋体" w:cs="宋体"/>
                <w:color w:val="000000"/>
                <w:kern w:val="0"/>
                <w:sz w:val="24"/>
                <w:szCs w:val="24"/>
                <w:highlight w:val="none"/>
                <w:u w:val="none"/>
                <w:lang w:val="en-US" w:eastAsia="zh-CN" w:bidi="ar"/>
              </w:rPr>
              <w:t>供货时</w:t>
            </w:r>
            <w:r>
              <w:rPr>
                <w:rFonts w:hint="eastAsia" w:ascii="宋体" w:hAnsi="宋体" w:eastAsia="宋体" w:cs="宋体"/>
                <w:color w:val="000000"/>
                <w:kern w:val="0"/>
                <w:sz w:val="24"/>
                <w:szCs w:val="24"/>
                <w:highlight w:val="none"/>
                <w:u w:val="none"/>
                <w:lang w:bidi="ar"/>
              </w:rPr>
              <w:t>提供国家认可的具有相应检测资质的第三方检测机构出具的关于</w:t>
            </w:r>
            <w:r>
              <w:rPr>
                <w:rFonts w:hint="eastAsia" w:ascii="宋体" w:hAnsi="宋体" w:eastAsia="宋体" w:cs="宋体"/>
                <w:color w:val="000000"/>
                <w:kern w:val="0"/>
                <w:sz w:val="24"/>
                <w:szCs w:val="24"/>
                <w:highlight w:val="none"/>
                <w:u w:val="none"/>
                <w:lang w:eastAsia="zh-CN" w:bidi="ar"/>
              </w:rPr>
              <w:t>该</w:t>
            </w:r>
            <w:r>
              <w:rPr>
                <w:rFonts w:hint="eastAsia" w:ascii="宋体" w:hAnsi="宋体" w:cs="宋体"/>
                <w:color w:val="000000"/>
                <w:kern w:val="0"/>
                <w:sz w:val="24"/>
                <w:szCs w:val="24"/>
                <w:highlight w:val="none"/>
                <w:u w:val="none"/>
                <w:lang w:val="en-US" w:eastAsia="zh-CN" w:bidi="ar"/>
              </w:rPr>
              <w:t>产品</w:t>
            </w:r>
            <w:r>
              <w:rPr>
                <w:rFonts w:hint="eastAsia" w:ascii="宋体" w:hAnsi="宋体" w:eastAsia="宋体" w:cs="宋体"/>
                <w:color w:val="000000"/>
                <w:kern w:val="0"/>
                <w:sz w:val="24"/>
                <w:szCs w:val="24"/>
                <w:highlight w:val="none"/>
                <w:u w:val="none"/>
                <w:lang w:eastAsia="zh-CN" w:bidi="ar"/>
              </w:rPr>
              <w:t>的检测</w:t>
            </w:r>
            <w:r>
              <w:rPr>
                <w:rFonts w:hint="eastAsia" w:ascii="宋体" w:hAnsi="宋体" w:eastAsia="宋体" w:cs="宋体"/>
                <w:color w:val="000000"/>
                <w:kern w:val="0"/>
                <w:sz w:val="24"/>
                <w:szCs w:val="24"/>
                <w:highlight w:val="none"/>
                <w:u w:val="none"/>
                <w:lang w:bidi="ar"/>
              </w:rPr>
              <w:t>报告复印件，并加盖竞标人公章。</w:t>
            </w:r>
          </w:p>
          <w:p w14:paraId="7BB05E1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34.LED显示屏具有“中国国家强制性产品认证证书”（并在响应文件中提供相关认证证书复印件加盖竞标人公章）</w:t>
            </w:r>
          </w:p>
          <w:p w14:paraId="0DB6BE4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35.LED显示屏具有“中国节能产品认证证书”（并在响应文件中提供相关认证证书复印件加盖竞标人公章）</w:t>
            </w:r>
          </w:p>
          <w:p w14:paraId="156E8BB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36.LED显示屏具有“环境标志（Ⅱ型）产品认证证书”（并在响应文件中提供相关认证证书复印件加盖竞标人公章）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97CE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w:t>
            </w:r>
          </w:p>
          <w:p w14:paraId="27FC70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JH-P1.8</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6E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94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7262D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E5F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B83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拼接处理器二合一</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A66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1.二合一联网播放盒。发送+联网播放。配置≥2个千兆网口输出。最大带载≥130万像素，最宽4096点，最高2560点。控制方式：USB接口上位机/RJ45接口网络上位机/Wi-Fi网络上位机。可增配4G模块、GPS定位。内置Android OS 9.0系统，≥32G存储内存（节目可用25G），支持U盘即插即播。供电电源DC12V。</w:t>
            </w:r>
          </w:p>
          <w:p w14:paraId="368200BD">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4CCD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JH-YC02A</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D4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6A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2C1A4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6A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F91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LED定制结构</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A1E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1.安装结构能满足LED高清显示屏的整体均匀平滑要求，采用环保型材，结构应便于安装和调试。</w:t>
            </w:r>
          </w:p>
          <w:p w14:paraId="19F5056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2.所有材料采用国家标准材料施工制作，防锈防氧化处理。</w:t>
            </w:r>
          </w:p>
          <w:p w14:paraId="0003657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3.结构设计标准：遵循《钢结构设计规范》及 《钢结构工程施工及验收规范》等要求。</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1C7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定制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F4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55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62D4F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EF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473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03A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1.点间距：≤1.8605mm。</w:t>
            </w:r>
          </w:p>
          <w:p w14:paraId="643B23C6">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2.整体尺寸：屏一≥（7.3米×2.65米），屏二≥（16米×0.64米），屏三≥（1.92米*1.6米）</w:t>
            </w:r>
          </w:p>
          <w:p w14:paraId="6B846A0C">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3.模组分辨率（宽×高）：≥172点×86点。</w:t>
            </w:r>
          </w:p>
          <w:p w14:paraId="0F909D0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4.模组尺寸（宽×高）：320mm×160mm。</w:t>
            </w:r>
          </w:p>
          <w:p w14:paraId="6E7D13D3">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5.亮度：≥600cd/㎡，亮度0-600cd/㎡可调，可设置亮度手动、定时调节，支持通过亮度传感器随环境变化亮暗自动调节，0～100%无级可调。</w:t>
            </w:r>
          </w:p>
          <w:p w14:paraId="2E8C57F0">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6刷新率≥3840Hz。</w:t>
            </w:r>
          </w:p>
          <w:p w14:paraId="44CF622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 水平视角/垂直视角：≥170°/170°。</w:t>
            </w:r>
          </w:p>
          <w:p w14:paraId="0E4E575A">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8.模组间缝隙及平整度：≤0.1mm，发光点中心距偏差：≤0.1%。</w:t>
            </w:r>
          </w:p>
          <w:p w14:paraId="2BE30BE0">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9.亮度均匀性：≥99%，色度均匀性：±0.001  Cx，Cy之内。</w:t>
            </w:r>
          </w:p>
          <w:p w14:paraId="2E1A34D8">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10.对比度：≥15000:1。</w:t>
            </w:r>
          </w:p>
          <w:p w14:paraId="5BF2C7E0">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11.驱动方式：恒流驱动。</w:t>
            </w:r>
          </w:p>
          <w:p w14:paraId="5C106576">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12.低亮高灰，100%亮度时，16bit灰度；70%亮度时16bit灰度；50%亮度时15bit灰度；20%亮度时15bit灰度。</w:t>
            </w:r>
          </w:p>
          <w:p w14:paraId="62AE2294">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13. 前后左右1米噪音≤6dB。</w:t>
            </w:r>
          </w:p>
          <w:p w14:paraId="6169ABC9">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14.换帧频率：50/60 Hz。</w:t>
            </w:r>
          </w:p>
          <w:p w14:paraId="435CA756">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15.屏体色温：1000～15000K可调。</w:t>
            </w:r>
          </w:p>
          <w:p w14:paraId="6A7168AD">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16.校正：支持亮度与色度逐点校正。</w:t>
            </w:r>
          </w:p>
          <w:p w14:paraId="5573CB3B">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17.校正数据存储在模块里，可进行逐点校正、色度校正。</w:t>
            </w:r>
          </w:p>
          <w:p w14:paraId="71EBCED9">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18.平均无故障时间≥50000小时。</w:t>
            </w:r>
          </w:p>
          <w:p w14:paraId="74EB0B81">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19.像素失控率及盲点率：≤1/100000。</w:t>
            </w:r>
          </w:p>
          <w:p w14:paraId="76C5132C">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20.观看舒适度：“人眼视觉舒适度（VICO）”指数低于2.0，去除100%紫外线，消除80%摩尔纹，基本无疲劳感1级，满足GB/T 44441-2024《LED 照明产品视觉健康舒适度测试》标准。</w:t>
            </w:r>
          </w:p>
          <w:p w14:paraId="02E5695A">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21.屏体安装结构：前/后安装，完全前维护，可贴墙安装、无需预留空间。</w:t>
            </w:r>
          </w:p>
          <w:p w14:paraId="68885CD2">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22.脉冲、浪涌试验：电快速瞬变脉冲群试验，浪涌试验以及电压暂降和短时中断试验，试验结束后样品可正常工作。</w:t>
            </w:r>
          </w:p>
          <w:p w14:paraId="714F15C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23.抗紫外UV辐射：辐照强度0.76W/㎡，使用UVA340灯，温度60℃，冷凝温度50℃，24小时循环，试验后样品无异常可正常工作。</w:t>
            </w:r>
          </w:p>
          <w:p w14:paraId="1CFFCA7B">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24.抗压力及拉力要求：显示屏所选材料符合《GB/T15115-2024 压铸铝合金》标准，抗拉强度≥5000N，屈服强度≥5000N，硬度不小于70HBS。</w:t>
            </w:r>
          </w:p>
          <w:p w14:paraId="52166FEB">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25.蓝光安全和光生物安全检测：光生物安全及蓝光危害检测，符合GB/T20145-2006标准要求，属于无危害类产品。检测蓝光对皮肤和眼睛紫外线危害，宽波段的光源对视网膜的危害，以及蓝光对皮肤表面及角膜和视网膜的辐射值检测。</w:t>
            </w:r>
          </w:p>
          <w:p w14:paraId="6FBE3C0F">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26.阻燃（防火）：PCB的阻燃等级达到</w:t>
            </w:r>
            <w:r>
              <w:rPr>
                <w:rFonts w:hint="eastAsia" w:ascii="宋体" w:hAnsi="宋体" w:eastAsia="宋体" w:cs="宋体"/>
                <w:color w:val="000000"/>
                <w:kern w:val="0"/>
                <w:sz w:val="24"/>
                <w:szCs w:val="24"/>
                <w:highlight w:val="none"/>
                <w:u w:val="none"/>
                <w:lang w:bidi="ar"/>
              </w:rPr>
              <w:t>GB/T 2408</w:t>
            </w:r>
            <w:r>
              <w:rPr>
                <w:rFonts w:hint="eastAsia" w:ascii="宋体" w:hAnsi="宋体" w:eastAsia="宋体" w:cs="宋体"/>
                <w:color w:val="000000"/>
                <w:kern w:val="0"/>
                <w:sz w:val="24"/>
                <w:szCs w:val="24"/>
                <w:highlight w:val="none"/>
                <w:u w:val="none"/>
                <w:lang w:val="en-US" w:eastAsia="zh-CN" w:bidi="ar"/>
              </w:rPr>
              <w:t xml:space="preserve"> </w:t>
            </w:r>
            <w:r>
              <w:rPr>
                <w:rFonts w:hint="eastAsia" w:ascii="宋体" w:hAnsi="宋体" w:eastAsia="宋体" w:cs="宋体"/>
                <w:i w:val="0"/>
                <w:iCs w:val="0"/>
                <w:color w:val="000000"/>
                <w:kern w:val="0"/>
                <w:sz w:val="24"/>
                <w:szCs w:val="24"/>
                <w:highlight w:val="none"/>
                <w:u w:val="none"/>
                <w:lang w:val="en-US" w:eastAsia="zh-CN" w:bidi="ar"/>
              </w:rPr>
              <w:t>V-0级。试验过程中无滴落物，样品自燃10秒内熄灭，阻燃等级符合</w:t>
            </w:r>
            <w:r>
              <w:rPr>
                <w:rFonts w:hint="eastAsia" w:ascii="宋体" w:hAnsi="宋体" w:eastAsia="宋体" w:cs="宋体"/>
                <w:color w:val="000000"/>
                <w:kern w:val="0"/>
                <w:sz w:val="24"/>
                <w:szCs w:val="24"/>
                <w:highlight w:val="none"/>
                <w:u w:val="none"/>
                <w:lang w:bidi="ar"/>
              </w:rPr>
              <w:t>GB/T 2408</w:t>
            </w:r>
            <w:r>
              <w:rPr>
                <w:rFonts w:hint="eastAsia" w:ascii="宋体" w:hAnsi="宋体" w:eastAsia="宋体" w:cs="宋体"/>
                <w:color w:val="000000"/>
                <w:kern w:val="0"/>
                <w:sz w:val="24"/>
                <w:szCs w:val="24"/>
                <w:highlight w:val="none"/>
                <w:u w:val="none"/>
                <w:lang w:val="en-US" w:eastAsia="zh-CN" w:bidi="ar"/>
              </w:rPr>
              <w:t xml:space="preserve"> </w:t>
            </w:r>
            <w:r>
              <w:rPr>
                <w:rFonts w:hint="eastAsia" w:ascii="宋体" w:hAnsi="宋体" w:eastAsia="宋体" w:cs="宋体"/>
                <w:i w:val="0"/>
                <w:iCs w:val="0"/>
                <w:color w:val="000000"/>
                <w:kern w:val="0"/>
                <w:sz w:val="24"/>
                <w:szCs w:val="24"/>
                <w:highlight w:val="none"/>
                <w:u w:val="none"/>
                <w:lang w:val="en-US" w:eastAsia="zh-CN" w:bidi="ar"/>
              </w:rPr>
              <w:t>V-0级。显示屏整体/箱体，满足V-0级阻燃（防火）标准。</w:t>
            </w:r>
          </w:p>
          <w:p w14:paraId="59394337">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27.振动试验：符合SJ/T11141-2025《发光二极管（LED）显示屏通用规范》，对LED显示屏进行振动试验，试验后样品无损坏工作正常。</w:t>
            </w:r>
          </w:p>
          <w:p w14:paraId="0A378FEF">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 xml:space="preserve">28.峰值功率：≤600W/㎡。平均功率：≤200W/㎡ 。  </w:t>
            </w:r>
          </w:p>
          <w:p w14:paraId="1E5501E6">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29.工作电压：AC: 110V～240V（50/60 Hz）。</w:t>
            </w:r>
          </w:p>
          <w:p w14:paraId="41248E4E">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30.LED典型寿命 ≥10万小时。</w:t>
            </w:r>
          </w:p>
          <w:p w14:paraId="18DB1D49">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31.运行环境温度：-10℃～40℃。</w:t>
            </w:r>
          </w:p>
          <w:p w14:paraId="29376D66">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32.运行环境湿度：10％～90％RH，无结露。</w:t>
            </w:r>
          </w:p>
          <w:p w14:paraId="21307E48">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33.</w:t>
            </w:r>
            <w:r>
              <w:rPr>
                <w:rFonts w:hint="eastAsia" w:ascii="宋体" w:hAnsi="宋体" w:eastAsia="宋体" w:cs="宋体"/>
                <w:color w:val="000000"/>
                <w:kern w:val="0"/>
                <w:sz w:val="24"/>
                <w:szCs w:val="24"/>
                <w:highlight w:val="none"/>
                <w:u w:val="none"/>
                <w:lang w:bidi="ar"/>
              </w:rPr>
              <w:t>在</w:t>
            </w:r>
            <w:r>
              <w:rPr>
                <w:rFonts w:hint="eastAsia" w:ascii="宋体" w:hAnsi="宋体" w:cs="宋体"/>
                <w:color w:val="000000"/>
                <w:kern w:val="0"/>
                <w:sz w:val="24"/>
                <w:szCs w:val="24"/>
                <w:highlight w:val="none"/>
                <w:u w:val="none"/>
                <w:lang w:val="en-US" w:eastAsia="zh-CN" w:bidi="ar"/>
              </w:rPr>
              <w:t>供货时</w:t>
            </w:r>
            <w:r>
              <w:rPr>
                <w:rFonts w:hint="eastAsia" w:ascii="宋体" w:hAnsi="宋体" w:eastAsia="宋体" w:cs="宋体"/>
                <w:color w:val="000000"/>
                <w:kern w:val="0"/>
                <w:sz w:val="24"/>
                <w:szCs w:val="24"/>
                <w:highlight w:val="none"/>
                <w:u w:val="none"/>
                <w:lang w:bidi="ar"/>
              </w:rPr>
              <w:t>提供国家认可的具有相应检测资质的第三方检测机构出具的关于</w:t>
            </w:r>
            <w:r>
              <w:rPr>
                <w:rFonts w:hint="eastAsia" w:ascii="宋体" w:hAnsi="宋体" w:eastAsia="宋体" w:cs="宋体"/>
                <w:color w:val="000000"/>
                <w:kern w:val="0"/>
                <w:sz w:val="24"/>
                <w:szCs w:val="24"/>
                <w:highlight w:val="none"/>
                <w:u w:val="none"/>
                <w:lang w:eastAsia="zh-CN" w:bidi="ar"/>
              </w:rPr>
              <w:t>该</w:t>
            </w:r>
            <w:r>
              <w:rPr>
                <w:rFonts w:hint="eastAsia" w:ascii="宋体" w:hAnsi="宋体" w:cs="宋体"/>
                <w:color w:val="000000"/>
                <w:kern w:val="0"/>
                <w:sz w:val="24"/>
                <w:szCs w:val="24"/>
                <w:highlight w:val="none"/>
                <w:u w:val="none"/>
                <w:lang w:val="en-US" w:eastAsia="zh-CN" w:bidi="ar"/>
              </w:rPr>
              <w:t>产品</w:t>
            </w:r>
            <w:r>
              <w:rPr>
                <w:rFonts w:hint="eastAsia" w:ascii="宋体" w:hAnsi="宋体" w:eastAsia="宋体" w:cs="宋体"/>
                <w:color w:val="000000"/>
                <w:kern w:val="0"/>
                <w:sz w:val="24"/>
                <w:szCs w:val="24"/>
                <w:highlight w:val="none"/>
                <w:u w:val="none"/>
                <w:lang w:eastAsia="zh-CN" w:bidi="ar"/>
              </w:rPr>
              <w:t>的检测</w:t>
            </w:r>
            <w:r>
              <w:rPr>
                <w:rFonts w:hint="eastAsia" w:ascii="宋体" w:hAnsi="宋体" w:eastAsia="宋体" w:cs="宋体"/>
                <w:color w:val="000000"/>
                <w:kern w:val="0"/>
                <w:sz w:val="24"/>
                <w:szCs w:val="24"/>
                <w:highlight w:val="none"/>
                <w:u w:val="none"/>
                <w:lang w:bidi="ar"/>
              </w:rPr>
              <w:t>报告复印件，并加盖竞标人公章。</w:t>
            </w:r>
          </w:p>
          <w:p w14:paraId="433A02E2">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34.LED显示屏具有“中国国家强制性产品认证证书”（并在响应文件中提供相关认证证书复印件加盖竞标人公章）</w:t>
            </w:r>
          </w:p>
          <w:p w14:paraId="1C29BDEE">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35.LED显示屏具有“中国节能产品认证证书”（并在响应文件中提供相关认证证书复印件加盖竞标人公章）</w:t>
            </w:r>
          </w:p>
          <w:p w14:paraId="344AD7C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36.LED显示屏具有“环境标志（Ⅱ型）产品认证证书”（并在响应文件中提供相关认证证书复印件加盖竞标人公章）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E06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JH-P1.8</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6F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20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3D8F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5B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A87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拼接处理器二合一</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3A41">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二合一视频处理器。发送+视频处理。配置≥12个千兆网口输出。最大带载≥780万像素，最宽8192点，最高4096点。三画面布局。配置≥3路HDMI1.4输入，1路DVI输入，最大输入分辨率≥1920×1200@60Hz。控制方式：前面板按键/USB接口上位机/232接口协议对接。1U机箱，AC100-240V电源输入。</w:t>
            </w:r>
          </w:p>
          <w:p w14:paraId="3716CF7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AFC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JH-L100-C12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04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3F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5D1B5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CE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4D8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拼接处理器二合一</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94A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1.二合一联网播放盒。发送+联网播放。配置≥2个千兆网口输出。最大带载≥130万像素，最宽4096点，最高2560点。控制方式：USB接口上位机/RJ45接口网络上位机/Wi-Fi网络上位机。可增配4G模块、GPS定位。内置Android OS 9.0系统或同等系统，≥32G存储内存（节目可用25G），支持U盘即插即播。供电电源DC12V。</w:t>
            </w:r>
          </w:p>
          <w:p w14:paraId="74F0AB4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EAE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JH-YC02A</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41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2C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1FEA3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63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41E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LED定制结构</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FC0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1.安装结构能满足LED高清显示屏的整体均匀平滑要求，采用环保型材，结构应便于安装和调试。</w:t>
            </w:r>
          </w:p>
          <w:p w14:paraId="17EF1314">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2.所有材料采用国家标准材料施工制作，防锈防氧化处理。</w:t>
            </w:r>
          </w:p>
          <w:p w14:paraId="0265098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3.结构设计标准：遵循《钢结构设计规范》及 《钢结构工程施工及验收规范》等要求。</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3DC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定制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CB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17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59AA5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B0A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4C6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B4A7">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1.点间距：≤1.538mm。</w:t>
            </w:r>
          </w:p>
          <w:p w14:paraId="21650212">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2.整体尺寸：≥3.84米×2.08米。</w:t>
            </w:r>
          </w:p>
          <w:p w14:paraId="4A9D9134">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3.模组分辨率（宽×高）：≥208点×104点。</w:t>
            </w:r>
          </w:p>
          <w:p w14:paraId="0CCA8E08">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4.模组尺寸（宽×高）：320mm×160mm。</w:t>
            </w:r>
          </w:p>
          <w:p w14:paraId="776CE9B1">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5.亮度：≥600cd/㎡，亮度0-600cd/㎡可调，可设置亮度手动、定时调节，支持通过亮度传感器随环境变化亮暗自动调节，0～100%无级可调。</w:t>
            </w:r>
          </w:p>
          <w:p w14:paraId="07A37CF6">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6刷新率≥3840Hz。</w:t>
            </w:r>
          </w:p>
          <w:p w14:paraId="1783CE12">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 水平视角/垂直视角：≥170°/170°。</w:t>
            </w:r>
          </w:p>
          <w:p w14:paraId="325A03C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8.模组间缝隙及平整度：≤0.1mm，发光点中心距偏差：≤0.1%。</w:t>
            </w:r>
          </w:p>
          <w:p w14:paraId="2DC10A9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9.亮度均匀性：≥99%，色度均匀性：±0.001  Cx，Cy之内。</w:t>
            </w:r>
          </w:p>
          <w:p w14:paraId="44834150">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10.对比度：≥15000:1。</w:t>
            </w:r>
          </w:p>
          <w:p w14:paraId="0E83FDAE">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11.驱动方式：恒流驱动。</w:t>
            </w:r>
          </w:p>
          <w:p w14:paraId="6C4EBF78">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12.低亮高灰，100%亮度时，16bit灰度；70%亮度时16bit灰度；50%亮度时15bit灰度；20%亮度时15bit灰度。</w:t>
            </w:r>
          </w:p>
          <w:p w14:paraId="1389C80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13. 前后左右1米噪音≤6dB。</w:t>
            </w:r>
          </w:p>
          <w:p w14:paraId="6D05A89D">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14.换帧频率：50/60 Hz。</w:t>
            </w:r>
          </w:p>
          <w:p w14:paraId="454CB5E4">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15.屏体色温：1000～15000K可调。</w:t>
            </w:r>
          </w:p>
          <w:p w14:paraId="128FE175">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16.校正：支持亮度与色度逐点校正。</w:t>
            </w:r>
          </w:p>
          <w:p w14:paraId="7CD6728F">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17.校正数据存储在模块中，可进行逐点校正、色度校正。</w:t>
            </w:r>
          </w:p>
          <w:p w14:paraId="10C9A678">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18.平均无故障时间≥50000小时。</w:t>
            </w:r>
          </w:p>
          <w:p w14:paraId="5A75E4C9">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19.像素失控率及盲点率：≤1/100000。</w:t>
            </w:r>
          </w:p>
          <w:p w14:paraId="67C76A56">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20.观看舒适度：“人眼视觉舒适度（VICO）”指数低于2.0，去除100%紫外线，消除80%摩尔纹，基本无疲劳感1级，满足GB/T 44441-2024《LED 照明产品视觉健康舒适度测试》标准。</w:t>
            </w:r>
          </w:p>
          <w:p w14:paraId="7F3BC7E1">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21.屏体安装结构：前/后安装，完全前维护，可贴墙安装、无需预留空间。</w:t>
            </w:r>
          </w:p>
          <w:p w14:paraId="410EB92A">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22.脉冲、浪涌试验：电快速瞬变脉冲群试验，浪涌试验以及电压暂降和短时中断试验，试验结束后样品可正常工作。</w:t>
            </w:r>
          </w:p>
          <w:p w14:paraId="53D50CDE">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23.抗紫外UV辐射：辐照强度0.76W/㎡，使用UVA340灯，温度60℃，冷凝温度50℃，24小时循环，试验后样品无异常可正常工作。</w:t>
            </w:r>
          </w:p>
          <w:p w14:paraId="3A2930DE">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24.抗压力及拉力要求：显示屏所选材料符合《GB/T15115-2024 压铸铝合金》标准，抗拉强度≥5000N，屈服强度≥5000N，硬度不小于70HBS。</w:t>
            </w:r>
          </w:p>
          <w:p w14:paraId="680E27C2">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蓝光安全和光生物安全检测：光生物安全及蓝光危害检测，符合GB/T20145-2006标准要求，属于无危害类产品。检测蓝光对皮肤和眼睛的紫外线危害，宽波段的光源对视网膜的危害，以及蓝光对皮肤表面、角膜和视网膜的辐射值。</w:t>
            </w:r>
          </w:p>
          <w:p w14:paraId="25AEBA55">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26.阻燃（防火）：PCB的阻燃等级达到GB/T 2408 V-0级。试验过程中无滴落物，样品自燃10秒内熄灭，阻燃等级符合GB/T 2408 V-0级。显示屏整体/箱体，满足V-0级阻燃（防火）标准。</w:t>
            </w:r>
          </w:p>
          <w:p w14:paraId="69466C74">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27.振动试验：符合SJ/T11141-2025《发光二极管（LED）显示屏通用规范》，对LED显示屏进行振动试验，试验后样品无损坏工作正常。</w:t>
            </w:r>
          </w:p>
          <w:p w14:paraId="601CDE66">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28.峰值功率：≤600W/㎡。平均功率：200W/㎡ 。  </w:t>
            </w:r>
          </w:p>
          <w:p w14:paraId="041F28DE">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29.工作电压：AC: 110V～240V（50/60 Hz）。</w:t>
            </w:r>
          </w:p>
          <w:p w14:paraId="6C989BF6">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30.LED典型寿命 ≥10万小时。</w:t>
            </w:r>
          </w:p>
          <w:p w14:paraId="0E9834AB">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31.运行环境温度：-10℃～40℃。</w:t>
            </w:r>
          </w:p>
          <w:p w14:paraId="0880BF56">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32.运行环境湿度：10%～90%RH，无结露。</w:t>
            </w:r>
          </w:p>
          <w:p w14:paraId="518DF68A">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33.</w:t>
            </w:r>
            <w:r>
              <w:rPr>
                <w:rFonts w:hint="eastAsia" w:ascii="宋体" w:hAnsi="宋体" w:eastAsia="宋体" w:cs="宋体"/>
                <w:color w:val="000000"/>
                <w:kern w:val="0"/>
                <w:sz w:val="24"/>
                <w:szCs w:val="24"/>
                <w:highlight w:val="none"/>
                <w:u w:val="none"/>
                <w:lang w:bidi="ar"/>
              </w:rPr>
              <w:t>在</w:t>
            </w:r>
            <w:r>
              <w:rPr>
                <w:rFonts w:hint="eastAsia" w:ascii="宋体" w:hAnsi="宋体" w:cs="宋体"/>
                <w:color w:val="000000"/>
                <w:kern w:val="0"/>
                <w:sz w:val="24"/>
                <w:szCs w:val="24"/>
                <w:highlight w:val="none"/>
                <w:u w:val="none"/>
                <w:lang w:val="en-US" w:eastAsia="zh-CN" w:bidi="ar"/>
              </w:rPr>
              <w:t>供货时</w:t>
            </w:r>
            <w:r>
              <w:rPr>
                <w:rFonts w:hint="eastAsia" w:ascii="宋体" w:hAnsi="宋体" w:eastAsia="宋体" w:cs="宋体"/>
                <w:color w:val="000000"/>
                <w:kern w:val="0"/>
                <w:sz w:val="24"/>
                <w:szCs w:val="24"/>
                <w:highlight w:val="none"/>
                <w:u w:val="none"/>
                <w:lang w:bidi="ar"/>
              </w:rPr>
              <w:t>提供国家认可的具有相应检测资质的第三方检测机构出具的关于</w:t>
            </w:r>
            <w:r>
              <w:rPr>
                <w:rFonts w:hint="eastAsia" w:ascii="宋体" w:hAnsi="宋体" w:eastAsia="宋体" w:cs="宋体"/>
                <w:color w:val="000000"/>
                <w:kern w:val="0"/>
                <w:sz w:val="24"/>
                <w:szCs w:val="24"/>
                <w:highlight w:val="none"/>
                <w:u w:val="none"/>
                <w:lang w:eastAsia="zh-CN" w:bidi="ar"/>
              </w:rPr>
              <w:t>该</w:t>
            </w:r>
            <w:r>
              <w:rPr>
                <w:rFonts w:hint="eastAsia" w:ascii="宋体" w:hAnsi="宋体" w:cs="宋体"/>
                <w:color w:val="000000"/>
                <w:kern w:val="0"/>
                <w:sz w:val="24"/>
                <w:szCs w:val="24"/>
                <w:highlight w:val="none"/>
                <w:u w:val="none"/>
                <w:lang w:val="en-US" w:eastAsia="zh-CN" w:bidi="ar"/>
              </w:rPr>
              <w:t>产品</w:t>
            </w:r>
            <w:r>
              <w:rPr>
                <w:rFonts w:hint="eastAsia" w:ascii="宋体" w:hAnsi="宋体" w:eastAsia="宋体" w:cs="宋体"/>
                <w:color w:val="000000"/>
                <w:kern w:val="0"/>
                <w:sz w:val="24"/>
                <w:szCs w:val="24"/>
                <w:highlight w:val="none"/>
                <w:u w:val="none"/>
                <w:lang w:eastAsia="zh-CN" w:bidi="ar"/>
              </w:rPr>
              <w:t>的检测</w:t>
            </w:r>
            <w:r>
              <w:rPr>
                <w:rFonts w:hint="eastAsia" w:ascii="宋体" w:hAnsi="宋体" w:eastAsia="宋体" w:cs="宋体"/>
                <w:color w:val="000000"/>
                <w:kern w:val="0"/>
                <w:sz w:val="24"/>
                <w:szCs w:val="24"/>
                <w:highlight w:val="none"/>
                <w:u w:val="none"/>
                <w:lang w:bidi="ar"/>
              </w:rPr>
              <w:t>报告复印件，并加盖竞标人公章。</w:t>
            </w:r>
          </w:p>
          <w:p w14:paraId="5170C830">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34.LED显示屏具有“中国国家强制性产品认证证书”（并在响应文件中提供相关认证证书复印件加盖竞标人公章）</w:t>
            </w:r>
          </w:p>
          <w:p w14:paraId="1ADB511C">
            <w:pPr>
              <w:keepNext w:val="0"/>
              <w:keepLines w:val="0"/>
              <w:widowControl/>
              <w:suppressLineNumbers w:val="0"/>
              <w:jc w:val="left"/>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35.LED显示屏具有“中国节能产品认证证书”（并在响应文件中提供相关认证证书复印件加盖竞标人公章）</w:t>
            </w:r>
          </w:p>
          <w:p w14:paraId="67FE6036">
            <w:pPr>
              <w:keepNext w:val="0"/>
              <w:keepLines w:val="0"/>
              <w:widowControl/>
              <w:suppressLineNumbers w:val="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36.LED显示屏具有“环境标志（Ⅱ型）产品认证证书”（并在响应文件中提供相关认证证书复印件加盖竞标人公章）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D1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嘉河JH-P1.5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5D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7.99</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B1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56E3F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7DC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E9A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拼接处理器二合一</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1C2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1.支持三画面布局。支持不少于1路HDMI1.4输入，2路DVI输入，1路SDI输入，最大输入分辨率≥1920×1200@60Hz。控制方式：前面板按键/USB接口上位机/232接口协议对接。1U机箱，AC100-240V电源输入。</w:t>
            </w:r>
          </w:p>
          <w:p w14:paraId="145628C1">
            <w:pPr>
              <w:keepNext w:val="0"/>
              <w:keepLines w:val="0"/>
              <w:widowControl/>
              <w:suppressLineNumbers w:val="0"/>
              <w:jc w:val="left"/>
              <w:textAlignment w:val="center"/>
              <w:rPr>
                <w:rFonts w:hint="eastAsia" w:ascii="宋体" w:hAnsi="宋体" w:eastAsia="宋体" w:cs="宋体"/>
                <w:i w:val="0"/>
                <w:iCs w:val="0"/>
                <w:color w:val="00B05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 LED视频处理器具有“中国国家强制性产品认证证书”（并在响应文件中提供相关认证证书复印件，加盖竞标人公章）</w:t>
            </w:r>
            <w:r>
              <w:rPr>
                <w:rFonts w:hint="eastAsia" w:ascii="宋体" w:hAnsi="宋体" w:eastAsia="宋体" w:cs="宋体"/>
                <w:i w:val="0"/>
                <w:iCs w:val="0"/>
                <w:color w:val="00B050"/>
                <w:kern w:val="0"/>
                <w:sz w:val="24"/>
                <w:szCs w:val="24"/>
                <w:u w:val="none"/>
                <w:lang w:val="en-US" w:eastAsia="zh-CN" w:bidi="ar"/>
              </w:rPr>
              <w:t>。</w:t>
            </w:r>
          </w:p>
          <w:p w14:paraId="14DECEC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2.LED视频处理器具有“中国国家强制性产品认证证书”（并在响应文件中提供相关认证证书复印件，加盖竞标人公章）</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248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嘉河JH-L100-C08</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D9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81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14:paraId="029C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8FC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47C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配电箱</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4AC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1.配电功率≥10kW；</w:t>
            </w:r>
          </w:p>
          <w:p w14:paraId="009214C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2.实现PLC控制功能。</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79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嘉河JH-PLC/10kW</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5C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34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r>
      <w:tr w14:paraId="26802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A53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EAA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LED定制结构</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A9D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1.安装结构能满足LED高清显示屏的整体均匀平滑要求，采用环保型材，结构应便于安装和调试。</w:t>
            </w:r>
          </w:p>
          <w:p w14:paraId="746E886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2.所有材料采用国家标准材料施工制作，防锈防氧化处理。</w:t>
            </w:r>
          </w:p>
          <w:p w14:paraId="62FF2F3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3.结构设计标准：遵循《钢结构设计规范》及 《钢结构工程施工及验收规范》等要求。</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EB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58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7.99</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04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2F911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C47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D3A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触摸一体机</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B5E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≥55寸电容触摸一体机，分辨率：≥3840×2160；整机亮度：≥350cd/m</w:t>
            </w:r>
            <w:r>
              <w:rPr>
                <w:rFonts w:hint="eastAsia" w:ascii="宋体" w:hAnsi="宋体" w:eastAsia="宋体" w:cs="宋体"/>
                <w:i w:val="0"/>
                <w:iCs w:val="0"/>
                <w:color w:val="000000"/>
                <w:kern w:val="0"/>
                <w:sz w:val="24"/>
                <w:szCs w:val="24"/>
                <w:u w:val="none"/>
                <w:vertAlign w:val="superscript"/>
                <w:lang w:val="en-US" w:eastAsia="zh-CN" w:bidi="ar"/>
              </w:rPr>
              <w:t>2</w:t>
            </w:r>
            <w:r>
              <w:rPr>
                <w:rFonts w:hint="eastAsia" w:ascii="宋体" w:hAnsi="宋体" w:eastAsia="宋体" w:cs="宋体"/>
                <w:i w:val="0"/>
                <w:iCs w:val="0"/>
                <w:color w:val="000000"/>
                <w:kern w:val="0"/>
                <w:sz w:val="24"/>
                <w:szCs w:val="24"/>
                <w:u w:val="none"/>
                <w:lang w:val="en-US" w:eastAsia="zh-CN" w:bidi="ar"/>
              </w:rPr>
              <w:t>，I5、8G、安卓系统同等或以上配置，黑色。</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FB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嘉河JH-T5500C</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57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6C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r>
      <w:tr w14:paraId="72E5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7A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609B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LED显示屏配套音响设备</w:t>
            </w:r>
          </w:p>
        </w:tc>
        <w:tc>
          <w:tcPr>
            <w:tcW w:w="5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3ED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1、Dante音频信号传输</w:t>
            </w:r>
          </w:p>
          <w:p w14:paraId="6C52549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2、单元尺寸：低音4 英寸+高音3/4英寸</w:t>
            </w:r>
          </w:p>
          <w:p w14:paraId="7332ED5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3、功放功率：低频25W+高频25W（POE+供电）</w:t>
            </w:r>
          </w:p>
          <w:p w14:paraId="60E5067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4、最大声压级：≥100dB(1m)</w:t>
            </w:r>
          </w:p>
          <w:p w14:paraId="6076BED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5、频率响应：≥67Hz-40kHz(-6dB)</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DF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真力 4410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76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39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r>
    </w:tbl>
    <w:p w14:paraId="2B9C005C">
      <w:pPr>
        <w:pStyle w:val="19"/>
        <w:ind w:firstLine="0" w:firstLineChars="0"/>
        <w:rPr>
          <w:rFonts w:hAnsi="宋体"/>
          <w:sz w:val="24"/>
          <w:szCs w:val="24"/>
        </w:rPr>
      </w:pPr>
    </w:p>
    <w:p w14:paraId="30A2A18A">
      <w:pPr>
        <w:pStyle w:val="19"/>
        <w:ind w:firstLine="0" w:firstLineChars="0"/>
      </w:pPr>
    </w:p>
    <w:p w14:paraId="6A1C0771">
      <w:pPr>
        <w:pStyle w:val="19"/>
        <w:ind w:firstLine="0" w:firstLineChars="0"/>
      </w:pPr>
    </w:p>
    <w:p w14:paraId="42EE40D0">
      <w:pPr>
        <w:pStyle w:val="19"/>
        <w:ind w:firstLine="0" w:firstLineChars="0"/>
      </w:pPr>
    </w:p>
    <w:p w14:paraId="64221CC7">
      <w:pPr>
        <w:pStyle w:val="19"/>
        <w:ind w:firstLine="0" w:firstLineChars="0"/>
      </w:pPr>
    </w:p>
    <w:p w14:paraId="63C34016">
      <w:pPr>
        <w:pStyle w:val="19"/>
        <w:ind w:firstLine="0" w:firstLineChars="0"/>
      </w:pPr>
    </w:p>
    <w:p w14:paraId="74125783">
      <w:pPr>
        <w:pStyle w:val="19"/>
        <w:ind w:firstLine="0" w:firstLineChars="0"/>
      </w:pPr>
    </w:p>
    <w:p w14:paraId="505671DC">
      <w:pPr>
        <w:pStyle w:val="3"/>
      </w:pPr>
      <w:r>
        <w:rPr>
          <w:rFonts w:hint="eastAsia"/>
        </w:rPr>
        <w:t>附件二：商家须知在线询价、反向竞价违约处理规则</w:t>
      </w:r>
      <w:bookmarkEnd w:id="4"/>
    </w:p>
    <w:p w14:paraId="1F5AEFC6">
      <w:pPr>
        <w:rPr>
          <w:rFonts w:ascii="宋体" w:hAnsi="宋体"/>
          <w:sz w:val="24"/>
          <w:szCs w:val="28"/>
        </w:rPr>
      </w:pPr>
      <w:r>
        <w:rPr>
          <w:rFonts w:hint="eastAsia"/>
          <w:sz w:val="24"/>
          <w:szCs w:val="28"/>
        </w:rPr>
        <w:t>网页地址</w:t>
      </w:r>
      <w:r>
        <w:rPr>
          <w:rFonts w:hint="eastAsia" w:ascii="宋体" w:hAnsi="宋体"/>
          <w:sz w:val="24"/>
          <w:szCs w:val="28"/>
        </w:rPr>
        <w:t>详见：</w:t>
      </w:r>
      <w:r>
        <w:fldChar w:fldCharType="begin"/>
      </w:r>
      <w:r>
        <w:instrText xml:space="preserve"> HYPERLINK "https://inquiryhall.zcygov.cn/inquiryhall/list?districtCode=450109" </w:instrText>
      </w:r>
      <w:r>
        <w:fldChar w:fldCharType="separate"/>
      </w:r>
      <w:r>
        <w:rPr>
          <w:rStyle w:val="24"/>
          <w:rFonts w:ascii="宋体" w:hAnsi="宋体"/>
          <w:sz w:val="24"/>
          <w:szCs w:val="28"/>
        </w:rPr>
        <w:t>https://inquiryhall.zcygov.cn/inquiryhall/list?districtCode=450109</w:t>
      </w:r>
      <w:r>
        <w:rPr>
          <w:rStyle w:val="24"/>
          <w:rFonts w:ascii="宋体" w:hAnsi="宋体"/>
          <w:sz w:val="24"/>
          <w:szCs w:val="28"/>
        </w:rPr>
        <w:fldChar w:fldCharType="end"/>
      </w:r>
    </w:p>
    <w:p w14:paraId="7EAD3327">
      <w:pPr>
        <w:rPr>
          <w:rFonts w:ascii="宋体" w:hAnsi="宋体"/>
        </w:rPr>
      </w:pPr>
    </w:p>
    <w:p w14:paraId="55905029">
      <w:r>
        <w:drawing>
          <wp:inline distT="0" distB="0" distL="0" distR="0">
            <wp:extent cx="6667500" cy="50520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667500" cy="5052060"/>
                    </a:xfrm>
                    <a:prstGeom prst="rect">
                      <a:avLst/>
                    </a:prstGeom>
                    <a:noFill/>
                    <a:ln>
                      <a:noFill/>
                    </a:ln>
                  </pic:spPr>
                </pic:pic>
              </a:graphicData>
            </a:graphic>
          </wp:inline>
        </w:drawing>
      </w:r>
    </w:p>
    <w:p w14:paraId="1C600B70">
      <w:pPr>
        <w:jc w:val="left"/>
      </w:pPr>
      <w:r>
        <w:br w:type="page"/>
      </w:r>
      <w:bookmarkStart w:id="5" w:name="_Toc26680"/>
      <w:r>
        <w:rPr>
          <w:rStyle w:val="42"/>
          <w:rFonts w:hint="eastAsia"/>
        </w:rPr>
        <w:t>附件三：广西壮族自治区电子卖场平台管理协议</w:t>
      </w:r>
      <w:bookmarkEnd w:id="5"/>
    </w:p>
    <w:p w14:paraId="2BA399A9">
      <w:pPr>
        <w:spacing w:line="400" w:lineRule="exact"/>
        <w:jc w:val="left"/>
        <w:rPr>
          <w:rFonts w:ascii="仿宋" w:hAnsi="仿宋" w:eastAsia="仿宋"/>
          <w:sz w:val="28"/>
          <w:szCs w:val="32"/>
        </w:rPr>
      </w:pPr>
      <w:r>
        <w:rPr>
          <w:rFonts w:hint="eastAsia" w:ascii="仿宋" w:hAnsi="仿宋" w:eastAsia="仿宋"/>
          <w:sz w:val="28"/>
          <w:szCs w:val="32"/>
        </w:rPr>
        <w:t>网页地址详见：</w:t>
      </w:r>
      <w:r>
        <w:fldChar w:fldCharType="begin"/>
      </w:r>
      <w:r>
        <w:instrText xml:space="preserve"> HYPERLINK "https://wqzx.zcygov.cn/RightsRules/GXGZ/2664840.html?utm=a0017.b0505.0001.0001.424bf4d0db6711ea9001a1e3a1663ae8" </w:instrText>
      </w:r>
      <w:r>
        <w:fldChar w:fldCharType="separate"/>
      </w:r>
      <w:r>
        <w:rPr>
          <w:rStyle w:val="24"/>
          <w:rFonts w:hint="eastAsia" w:ascii="仿宋" w:hAnsi="仿宋" w:eastAsia="仿宋"/>
          <w:sz w:val="28"/>
          <w:szCs w:val="32"/>
        </w:rPr>
        <w:t>https://wqzx.zcygov.cn/RightsRules/GXGZ/2664840.html?utm=a0017.b0505.0001.0001.424bf4d0db6711ea9001a1e3a1663ae8</w:t>
      </w:r>
      <w:r>
        <w:rPr>
          <w:rStyle w:val="24"/>
          <w:rFonts w:hint="eastAsia" w:ascii="仿宋" w:hAnsi="仿宋" w:eastAsia="仿宋"/>
          <w:sz w:val="28"/>
          <w:szCs w:val="32"/>
        </w:rPr>
        <w:fldChar w:fldCharType="end"/>
      </w:r>
    </w:p>
    <w:p w14:paraId="3E4AB74B">
      <w:pPr>
        <w:pStyle w:val="32"/>
        <w:pBdr>
          <w:bottom w:val="single" w:color="CCCCCC" w:sz="6" w:space="8"/>
        </w:pBdr>
        <w:spacing w:before="75" w:beforeAutospacing="0" w:after="300" w:afterAutospacing="0" w:line="400" w:lineRule="exact"/>
        <w:rPr>
          <w:color w:val="666666"/>
          <w:sz w:val="21"/>
          <w:szCs w:val="21"/>
        </w:rPr>
      </w:pPr>
      <w:r>
        <w:rPr>
          <w:color w:val="666666"/>
          <w:sz w:val="21"/>
          <w:szCs w:val="21"/>
        </w:rPr>
        <w:t>来源：广西财政 发布时间：2020-08-04</w:t>
      </w:r>
    </w:p>
    <w:p w14:paraId="53669C59">
      <w:pPr>
        <w:pStyle w:val="16"/>
        <w:spacing w:before="75" w:beforeAutospacing="0" w:after="75" w:afterAutospacing="0" w:line="340" w:lineRule="exact"/>
        <w:rPr>
          <w:rFonts w:ascii="仿宋" w:hAnsi="仿宋" w:eastAsia="仿宋" w:cs="Arial"/>
          <w:color w:val="000000"/>
        </w:rPr>
      </w:pPr>
      <w:r>
        <w:rPr>
          <w:rStyle w:val="23"/>
          <w:rFonts w:hint="eastAsia" w:ascii="仿宋" w:hAnsi="仿宋" w:eastAsia="仿宋" w:cs="Arial"/>
          <w:color w:val="000000"/>
        </w:rPr>
        <w:t>第一条</w:t>
      </w:r>
      <w:r>
        <w:rPr>
          <w:rFonts w:ascii="Calibri" w:hAnsi="Calibri" w:eastAsia="仿宋" w:cs="Calibri"/>
          <w:color w:val="000000"/>
        </w:rPr>
        <w:t> </w:t>
      </w:r>
      <w:r>
        <w:rPr>
          <w:rFonts w:hint="eastAsia" w:ascii="仿宋" w:hAnsi="仿宋" w:eastAsia="仿宋" w:cs="Arial"/>
          <w:color w:val="000000"/>
        </w:rPr>
        <w:t>参加电子卖场政府采购活动的供应商实行设置“诚信分”和预警制度，由电子卖场系统根据情节在供应商库中的诚信记录自动统计计算，用分值表示，供应商被查作出扣减诚信分及预警，按下列规则记录：</w:t>
      </w:r>
    </w:p>
    <w:p w14:paraId="2288F5F3">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1.供应商被给予黄色预警一次，扣减5-10分诚信分，可给予暂停其6个月在电子卖场销售或停止其参与报价；</w:t>
      </w:r>
    </w:p>
    <w:p w14:paraId="7B50292A">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2.供应商被给予橙色预警一次，扣减10-20分诚信分，可给予暂停其9个月在电子卖场销售或停止其参与报价；</w:t>
      </w:r>
    </w:p>
    <w:p w14:paraId="4D4831CF">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3.供应商被给予红色预警一次，扣减20-30分诚信分，可给予暂停其12个月在电子卖场销售或停止其参与报价。</w:t>
      </w:r>
    </w:p>
    <w:p w14:paraId="65ABAE49">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4.网上超市供应商和协议（定点）采购供应商被累计扣减30分诚信分的，取消其网上超市供应商和协议（定点）采购供应商资格。</w:t>
      </w:r>
    </w:p>
    <w:p w14:paraId="064A096E">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扣分实行年度累计和清零制，每年年度终了时清零。供应商可在知道其被记录诚信或预警时2个工作日内发起申辩或澄清。同级财政部门核实，对有误计入的处理记录可予以撤销。供应商违规情形中，如出现重大社会影响的，各级财政部门有权在第一时间内冻结商品等，并对供应商操作权限等做限制处理。</w:t>
      </w:r>
    </w:p>
    <w:p w14:paraId="61586B72">
      <w:pPr>
        <w:pStyle w:val="16"/>
        <w:spacing w:before="75" w:beforeAutospacing="0" w:after="75" w:afterAutospacing="0" w:line="340" w:lineRule="exact"/>
        <w:rPr>
          <w:rFonts w:ascii="仿宋" w:hAnsi="仿宋" w:eastAsia="仿宋" w:cs="Arial"/>
          <w:color w:val="000000"/>
        </w:rPr>
      </w:pPr>
      <w:r>
        <w:rPr>
          <w:rStyle w:val="23"/>
          <w:rFonts w:hint="eastAsia" w:ascii="仿宋" w:hAnsi="仿宋" w:eastAsia="仿宋" w:cs="Arial"/>
          <w:color w:val="000000"/>
        </w:rPr>
        <w:t>第二条</w:t>
      </w:r>
      <w:r>
        <w:rPr>
          <w:rFonts w:ascii="Calibri" w:hAnsi="Calibri" w:eastAsia="仿宋" w:cs="Calibri"/>
          <w:color w:val="000000"/>
        </w:rPr>
        <w:t> </w:t>
      </w:r>
      <w:r>
        <w:rPr>
          <w:rFonts w:hint="eastAsia" w:ascii="仿宋" w:hAnsi="仿宋" w:eastAsia="仿宋" w:cs="Arial"/>
          <w:color w:val="000000"/>
        </w:rPr>
        <w:t>网上超市供应商被查实存在违法违规行为的，由负责招标或资格征集的各级集采机构或各级财政部门责令其纠正，并对其作出相应诚信分扣除及预警等处理。</w:t>
      </w:r>
    </w:p>
    <w:p w14:paraId="181ECDE2">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（一）有下列情形之一的，每发生一次，视情扣减5-10分诚信分及黄色预警1次。拒不纠正的，暂停其网超协议6个月：</w:t>
      </w:r>
    </w:p>
    <w:p w14:paraId="70CD05EE">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1.存在网上超市商品销售价格高于同期大型电商自营商品平均销售价格10%及以上的；</w:t>
      </w:r>
    </w:p>
    <w:p w14:paraId="04696976">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2.发布的商品信息前后出现品牌、价格、图片、属性等不一致、重复等情况的；</w:t>
      </w:r>
    </w:p>
    <w:p w14:paraId="5AFF79DB">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3.发布商品选择类目与商品不相关的；</w:t>
      </w:r>
    </w:p>
    <w:p w14:paraId="15F2A3EC">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4.发布的商品与实际不符，包括夸大、过度和虚假宣传的；</w:t>
      </w:r>
    </w:p>
    <w:p w14:paraId="188754A7">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5.不符合平台商品发布规范的其他行为。</w:t>
      </w:r>
    </w:p>
    <w:p w14:paraId="1AC73BD3">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（二）有下列情形之一的，每发生一次，将视情扣减10-20分诚信分及橙色预警1次。拒不纠正的，暂停其网超协议9个月：</w:t>
      </w:r>
    </w:p>
    <w:p w14:paraId="684EC71F">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1.销售价格高于同期大型电商自营商品平均销售价格20%以上或因价格问题被黄色预警3次以上的；</w:t>
      </w:r>
    </w:p>
    <w:p w14:paraId="3139D651">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2.发布质量不合格商品的；</w:t>
      </w:r>
    </w:p>
    <w:p w14:paraId="12DFA40A">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3.不当使用他人商标权、著作权、专利权等，造成不良后果的；</w:t>
      </w:r>
    </w:p>
    <w:p w14:paraId="28A4D978">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4.恶意利用规则、误导采购单位获取虚假商品销量、评价、满意度等的；</w:t>
      </w:r>
    </w:p>
    <w:p w14:paraId="57378F28">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5.无正当理由不按规定时限响应或确认采购订单、合同累计5次及以上的；</w:t>
      </w:r>
    </w:p>
    <w:p w14:paraId="097BE513">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6.无正当理由不执行采购订单、合同或没有按承诺提供商品及售后服务1次的；</w:t>
      </w:r>
    </w:p>
    <w:p w14:paraId="710FC0D2">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7.其他违反采购文件或资格征集协议约定事项或供应商承诺事项的。</w:t>
      </w:r>
    </w:p>
    <w:p w14:paraId="04653DF7">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（三）有下列情形之一的，视情扣减20-30分诚信分及红色预警1次。拒不纠正的，暂停其网超协议12个月：</w:t>
      </w:r>
    </w:p>
    <w:p w14:paraId="3B06E201">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1.销售价格高于同期大型电商自营商品平均销售价格30%以上的或因价格问题被橙色预警2次以上；</w:t>
      </w:r>
    </w:p>
    <w:p w14:paraId="12191FD3">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2.发布国家禁止出售商品的；</w:t>
      </w:r>
    </w:p>
    <w:p w14:paraId="68E6A4DC">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3.发布假冒注册商标商品及盗版商品的；</w:t>
      </w:r>
    </w:p>
    <w:p w14:paraId="734F8980">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4.未经允许盗取、发布、传递他人隐私信息的；</w:t>
      </w:r>
    </w:p>
    <w:p w14:paraId="4D5ADDD3">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5.采购单位评价“满意度指数”低于60％累计5次及以上的；</w:t>
      </w:r>
    </w:p>
    <w:p w14:paraId="31FCB7E7">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6.向运维单位、采购单位、集采机构、财政部门有关人员行贿或提供其他不正当利益的；</w:t>
      </w:r>
    </w:p>
    <w:p w14:paraId="4727E100">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7.与其他供应商、运维单位、采购单位、集采机构、财政部门有关人员恶意串通的；</w:t>
      </w:r>
    </w:p>
    <w:p w14:paraId="5FEF8CCC">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8.利用网上超市系统漏洞或者其他黑客手段侵入系统篡改数据或者虚构交易记录的；</w:t>
      </w:r>
    </w:p>
    <w:p w14:paraId="03F9591C">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9.拒不执行财政部门或同级集采机构的监管措施或者拒不纠正违规、违约行为的；</w:t>
      </w:r>
    </w:p>
    <w:p w14:paraId="0FDC4956">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10.未按采购结果签订供货或服务合同，或者与采购单位另行订立背离合同实质性内容协议的；</w:t>
      </w:r>
    </w:p>
    <w:p w14:paraId="10F62AA2">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11.无正当理由拒绝履行合同义务，或未按合同约定履行义务构成违约的；</w:t>
      </w:r>
    </w:p>
    <w:p w14:paraId="4ECE39C7">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12.竞价结束后与采购单位再次议价的；</w:t>
      </w:r>
    </w:p>
    <w:p w14:paraId="588B7895">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13.在合同履行过程中与采购单位协商变更合同主要条款的；</w:t>
      </w:r>
    </w:p>
    <w:p w14:paraId="799DDE8B">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14.提供假冒伪劣商品或擅自更换配件、降低配置，以次充好的；</w:t>
      </w:r>
    </w:p>
    <w:p w14:paraId="386F6259">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15.各级财政部门认定的其他违法、违规及违反本办法规定的行为。</w:t>
      </w:r>
    </w:p>
    <w:p w14:paraId="241CC0E2">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运维单位发现供应商发布国家禁止出售商品或信息，或涉及侵犯他人隐私等的，可直接予以删除。</w:t>
      </w:r>
    </w:p>
    <w:p w14:paraId="7E205BB0">
      <w:pPr>
        <w:pStyle w:val="16"/>
        <w:spacing w:before="75" w:beforeAutospacing="0" w:after="75" w:afterAutospacing="0" w:line="340" w:lineRule="exact"/>
        <w:rPr>
          <w:rFonts w:ascii="仿宋" w:hAnsi="仿宋" w:eastAsia="仿宋" w:cs="Arial"/>
          <w:color w:val="000000"/>
        </w:rPr>
      </w:pPr>
      <w:r>
        <w:rPr>
          <w:rStyle w:val="23"/>
          <w:rFonts w:hint="eastAsia" w:ascii="仿宋" w:hAnsi="仿宋" w:eastAsia="仿宋" w:cs="Arial"/>
          <w:color w:val="000000"/>
        </w:rPr>
        <w:t>第三条</w:t>
      </w:r>
      <w:r>
        <w:rPr>
          <w:rFonts w:ascii="Calibri" w:hAnsi="Calibri" w:eastAsia="仿宋" w:cs="Calibri"/>
          <w:color w:val="000000"/>
        </w:rPr>
        <w:t> </w:t>
      </w:r>
      <w:r>
        <w:rPr>
          <w:rFonts w:hint="eastAsia" w:ascii="仿宋" w:hAnsi="仿宋" w:eastAsia="仿宋" w:cs="Arial"/>
          <w:color w:val="000000"/>
        </w:rPr>
        <w:t>协议供货、定点采购供应商有下列情形之一的，负责招标或资格征集的各级集采机构及财政部门可扣减其10-30分诚信分，并可暂停其协议3-12个月：</w:t>
      </w:r>
    </w:p>
    <w:p w14:paraId="3A6A7AFB">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（一）未按采购结果签订供货或服务合同，或与采购单位另行订立背离合同实质性内容协议的；</w:t>
      </w:r>
    </w:p>
    <w:p w14:paraId="21FCB565">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（二）无正当理由拒绝履行合同义务，或未按合同规定履行义务构成违约的；</w:t>
      </w:r>
    </w:p>
    <w:p w14:paraId="76C79EBB">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（三）竞价结束后与采购单位再次议价的；</w:t>
      </w:r>
    </w:p>
    <w:p w14:paraId="6321713B">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（四）在合同履行过程中与采购单位协商变更合同主要条款的；</w:t>
      </w:r>
    </w:p>
    <w:p w14:paraId="1501C3AC">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（五）未及时更新维护商品库存信息或者当市场价格低于最高限价时，未及时更新最高限价的；</w:t>
      </w:r>
      <w:r>
        <w:rPr>
          <w:rFonts w:ascii="Calibri" w:hAnsi="Calibri" w:eastAsia="仿宋" w:cs="Calibri"/>
          <w:color w:val="000000"/>
        </w:rPr>
        <w:t> </w:t>
      </w:r>
    </w:p>
    <w:p w14:paraId="7FBC4BC9">
      <w:pPr>
        <w:pStyle w:val="16"/>
        <w:spacing w:before="75" w:beforeAutospacing="0" w:after="75" w:afterAutospacing="0" w:line="340" w:lineRule="exact"/>
        <w:rPr>
          <w:rFonts w:ascii="仿宋" w:hAnsi="仿宋" w:eastAsia="仿宋" w:cs="Arial"/>
          <w:color w:val="000000"/>
        </w:rPr>
      </w:pPr>
      <w:r>
        <w:rPr>
          <w:rFonts w:hint="eastAsia" w:ascii="仿宋" w:hAnsi="仿宋" w:eastAsia="仿宋" w:cs="Arial"/>
          <w:color w:val="000000"/>
        </w:rPr>
        <w:t>（六）供应商指定的供货商中有3家以上因上述行为被取消协议供货资格的；</w:t>
      </w:r>
    </w:p>
    <w:p w14:paraId="75B467F6">
      <w:pPr>
        <w:pStyle w:val="16"/>
        <w:spacing w:before="75" w:beforeAutospacing="0" w:after="75" w:afterAutospacing="0" w:line="340" w:lineRule="exact"/>
        <w:outlineLvl w:val="2"/>
        <w:rPr>
          <w:rFonts w:ascii="仿宋" w:hAnsi="仿宋" w:eastAsia="仿宋" w:cs="Arial"/>
          <w:color w:val="000000"/>
        </w:rPr>
      </w:pPr>
      <w:bookmarkStart w:id="6" w:name="_Toc15071"/>
      <w:r>
        <w:rPr>
          <w:rFonts w:hint="eastAsia" w:ascii="仿宋" w:hAnsi="仿宋" w:eastAsia="仿宋" w:cs="Arial"/>
          <w:color w:val="000000"/>
        </w:rPr>
        <w:t>（七）各级财政部门认定的其他违法、违规及违反本办法规定的行为</w:t>
      </w:r>
      <w:bookmarkEnd w:id="6"/>
    </w:p>
    <w:p w14:paraId="250531A5">
      <w:pPr>
        <w:pStyle w:val="16"/>
        <w:spacing w:before="75" w:beforeAutospacing="0" w:after="75" w:afterAutospacing="0" w:line="340" w:lineRule="exact"/>
        <w:rPr>
          <w:rFonts w:ascii="仿宋" w:hAnsi="仿宋" w:eastAsia="仿宋" w:cs="Arial"/>
          <w:color w:val="000000"/>
        </w:rPr>
      </w:pPr>
      <w:r>
        <w:rPr>
          <w:rStyle w:val="23"/>
          <w:rFonts w:hint="eastAsia" w:ascii="仿宋" w:hAnsi="仿宋" w:eastAsia="仿宋" w:cs="Arial"/>
          <w:color w:val="000000"/>
        </w:rPr>
        <w:t>第四条</w:t>
      </w:r>
      <w:r>
        <w:rPr>
          <w:rFonts w:ascii="Calibri" w:hAnsi="Calibri" w:eastAsia="仿宋" w:cs="Calibri"/>
          <w:color w:val="000000"/>
        </w:rPr>
        <w:t> </w:t>
      </w:r>
      <w:r>
        <w:rPr>
          <w:rFonts w:hint="eastAsia" w:ascii="仿宋" w:hAnsi="仿宋" w:eastAsia="仿宋" w:cs="Arial"/>
          <w:color w:val="000000"/>
        </w:rPr>
        <w:t>在线询价、反向竞价供应商供应商存在不按要求报价、中标后无故放弃、不按合同履行等违约行为的，经采购单位举报，经同级财政部门确认的，应扣减其10-30分诚信分，限制供应商报价权限3-12个月。</w:t>
      </w:r>
    </w:p>
    <w:p w14:paraId="534E425C">
      <w:pPr>
        <w:spacing w:line="340" w:lineRule="exact"/>
        <w:rPr>
          <w:rFonts w:ascii="仿宋" w:hAnsi="仿宋" w:eastAsia="仿宋" w:cs="Arial"/>
          <w:color w:val="000000"/>
          <w:sz w:val="24"/>
          <w:szCs w:val="24"/>
        </w:rPr>
      </w:pPr>
      <w:r>
        <w:rPr>
          <w:rStyle w:val="23"/>
          <w:rFonts w:hint="eastAsia" w:ascii="仿宋" w:hAnsi="仿宋" w:eastAsia="仿宋" w:cs="Arial"/>
          <w:color w:val="000000"/>
          <w:sz w:val="24"/>
          <w:szCs w:val="24"/>
        </w:rPr>
        <w:t>第五条</w:t>
      </w:r>
      <w:r>
        <w:rPr>
          <w:rFonts w:eastAsia="仿宋" w:cs="Calibri"/>
          <w:color w:val="000000"/>
          <w:sz w:val="24"/>
          <w:szCs w:val="24"/>
        </w:rPr>
        <w:t>  </w:t>
      </w:r>
      <w:r>
        <w:rPr>
          <w:rFonts w:hint="eastAsia" w:ascii="仿宋" w:hAnsi="仿宋" w:eastAsia="仿宋" w:cs="Arial"/>
          <w:color w:val="000000"/>
          <w:sz w:val="24"/>
          <w:szCs w:val="24"/>
        </w:rPr>
        <w:t>本协议扣分及违规处罚，由违规地同级财政监管部门在政采云平台—诚信中心—违规/违约处理管理中进行实施，供应商收到违约/违规处理通知书之日起，3工作日内可进行申诉，未申诉或申诉无效则3工作日后处罚生效。</w:t>
      </w:r>
    </w:p>
    <w:p w14:paraId="7C549ED5">
      <w:pPr>
        <w:pStyle w:val="2"/>
      </w:pPr>
      <w:bookmarkStart w:id="7" w:name="_Toc10444"/>
      <w:r>
        <w:rPr>
          <w:rFonts w:hint="eastAsia"/>
        </w:rPr>
        <w:t>第二章 竞价响应文件（格式）</w:t>
      </w:r>
      <w:bookmarkEnd w:id="7"/>
    </w:p>
    <w:p w14:paraId="555E424B"/>
    <w:tbl>
      <w:tblPr>
        <w:tblStyle w:val="20"/>
        <w:tblpPr w:leftFromText="180" w:rightFromText="180" w:vertAnchor="text" w:horzAnchor="page" w:tblpX="718" w:tblpY="-25"/>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
        <w:gridCol w:w="1470"/>
        <w:gridCol w:w="1284"/>
        <w:gridCol w:w="6164"/>
        <w:gridCol w:w="1389"/>
      </w:tblGrid>
      <w:tr w14:paraId="662F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1C222D43">
            <w:pPr>
              <w:spacing w:line="480" w:lineRule="auto"/>
              <w:jc w:val="center"/>
              <w:rPr>
                <w:rFonts w:ascii="仿宋" w:hAnsi="仿宋" w:eastAsia="仿宋" w:cs="仿宋"/>
                <w:szCs w:val="21"/>
              </w:rPr>
            </w:pPr>
            <w:r>
              <w:rPr>
                <w:rFonts w:hint="eastAsia" w:ascii="仿宋" w:hAnsi="仿宋" w:eastAsia="仿宋" w:cs="仿宋"/>
                <w:b/>
                <w:bCs/>
                <w:sz w:val="32"/>
                <w:szCs w:val="36"/>
              </w:rPr>
              <w:t>竞价响应表</w:t>
            </w:r>
          </w:p>
        </w:tc>
      </w:tr>
      <w:tr w14:paraId="7698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3806BC0A">
            <w:pPr>
              <w:spacing w:line="480" w:lineRule="auto"/>
              <w:jc w:val="left"/>
              <w:rPr>
                <w:rFonts w:ascii="仿宋" w:hAnsi="仿宋" w:eastAsia="仿宋" w:cs="仿宋"/>
                <w:sz w:val="24"/>
                <w:szCs w:val="28"/>
              </w:rPr>
            </w:pPr>
            <w:r>
              <w:rPr>
                <w:rFonts w:hint="eastAsia" w:ascii="仿宋" w:hAnsi="仿宋" w:eastAsia="仿宋" w:cs="仿宋"/>
                <w:sz w:val="24"/>
                <w:szCs w:val="28"/>
              </w:rPr>
              <w:t>项目名称：</w:t>
            </w:r>
          </w:p>
          <w:p w14:paraId="75688D44">
            <w:pPr>
              <w:spacing w:line="480" w:lineRule="auto"/>
              <w:jc w:val="left"/>
              <w:rPr>
                <w:rFonts w:ascii="仿宋" w:hAnsi="仿宋" w:eastAsia="仿宋" w:cs="仿宋"/>
                <w:sz w:val="24"/>
                <w:szCs w:val="28"/>
              </w:rPr>
            </w:pPr>
            <w:r>
              <w:rPr>
                <w:rFonts w:hint="eastAsia" w:ascii="仿宋" w:hAnsi="仿宋" w:eastAsia="仿宋" w:cs="仿宋"/>
                <w:sz w:val="24"/>
                <w:szCs w:val="28"/>
              </w:rPr>
              <w:t>项目编号：</w:t>
            </w:r>
          </w:p>
          <w:p w14:paraId="47006E67">
            <w:pPr>
              <w:spacing w:line="480" w:lineRule="auto"/>
              <w:jc w:val="left"/>
              <w:rPr>
                <w:rFonts w:ascii="仿宋" w:hAnsi="仿宋" w:eastAsia="仿宋" w:cs="仿宋"/>
                <w:sz w:val="24"/>
                <w:szCs w:val="28"/>
              </w:rPr>
            </w:pPr>
            <w:r>
              <w:rPr>
                <w:rFonts w:hint="eastAsia" w:ascii="仿宋" w:hAnsi="仿宋" w:eastAsia="仿宋" w:cs="仿宋"/>
                <w:sz w:val="24"/>
                <w:szCs w:val="28"/>
              </w:rPr>
              <w:t>采购人（采购人）名称：</w:t>
            </w:r>
          </w:p>
        </w:tc>
      </w:tr>
      <w:tr w14:paraId="7E4D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47F3AD57">
            <w:pPr>
              <w:spacing w:line="480" w:lineRule="auto"/>
              <w:jc w:val="left"/>
              <w:rPr>
                <w:rFonts w:ascii="仿宋" w:hAnsi="仿宋" w:eastAsia="仿宋" w:cs="仿宋"/>
                <w:sz w:val="24"/>
                <w:szCs w:val="28"/>
                <w:u w:val="single"/>
              </w:rPr>
            </w:pPr>
            <w:r>
              <w:rPr>
                <w:rFonts w:hint="eastAsia" w:ascii="仿宋" w:hAnsi="仿宋" w:eastAsia="仿宋" w:cs="仿宋"/>
                <w:sz w:val="24"/>
                <w:szCs w:val="28"/>
              </w:rPr>
              <w:t>联系人：</w:t>
            </w:r>
            <w:r>
              <w:rPr>
                <w:rFonts w:hint="eastAsia" w:ascii="仿宋" w:hAnsi="仿宋" w:eastAsia="仿宋" w:cs="仿宋"/>
                <w:sz w:val="24"/>
                <w:szCs w:val="28"/>
                <w:u w:val="single"/>
              </w:rPr>
              <w:t xml:space="preserve">                    </w:t>
            </w:r>
          </w:p>
          <w:p w14:paraId="6A4DC356">
            <w:pPr>
              <w:spacing w:line="480" w:lineRule="auto"/>
              <w:jc w:val="left"/>
              <w:rPr>
                <w:rFonts w:ascii="仿宋" w:hAnsi="仿宋" w:eastAsia="仿宋" w:cs="仿宋"/>
                <w:sz w:val="24"/>
                <w:szCs w:val="28"/>
                <w:u w:val="single"/>
              </w:rPr>
            </w:pPr>
            <w:r>
              <w:rPr>
                <w:rFonts w:hint="eastAsia" w:ascii="仿宋" w:hAnsi="仿宋" w:eastAsia="仿宋" w:cs="仿宋"/>
                <w:sz w:val="24"/>
                <w:szCs w:val="28"/>
              </w:rPr>
              <w:t>联系方式：</w:t>
            </w:r>
            <w:r>
              <w:rPr>
                <w:rFonts w:hint="eastAsia" w:ascii="仿宋" w:hAnsi="仿宋" w:eastAsia="仿宋" w:cs="仿宋"/>
                <w:sz w:val="24"/>
                <w:szCs w:val="28"/>
                <w:u w:val="single"/>
              </w:rPr>
              <w:t xml:space="preserve">                  </w:t>
            </w:r>
          </w:p>
          <w:p w14:paraId="444BA730">
            <w:pPr>
              <w:spacing w:line="480" w:lineRule="auto"/>
              <w:jc w:val="left"/>
              <w:rPr>
                <w:rFonts w:ascii="仿宋" w:hAnsi="仿宋" w:eastAsia="仿宋" w:cs="仿宋"/>
                <w:sz w:val="24"/>
                <w:szCs w:val="28"/>
                <w:u w:val="single"/>
              </w:rPr>
            </w:pPr>
            <w:r>
              <w:rPr>
                <w:rFonts w:hint="eastAsia" w:ascii="仿宋" w:hAnsi="仿宋" w:eastAsia="仿宋" w:cs="仿宋"/>
                <w:sz w:val="24"/>
                <w:szCs w:val="28"/>
              </w:rPr>
              <w:t>竞标供应商名称（加盖公章）：</w:t>
            </w:r>
            <w:r>
              <w:rPr>
                <w:rFonts w:hint="eastAsia" w:ascii="仿宋" w:hAnsi="仿宋" w:eastAsia="仿宋" w:cs="仿宋"/>
                <w:sz w:val="24"/>
                <w:szCs w:val="28"/>
                <w:u w:val="single"/>
              </w:rPr>
              <w:t xml:space="preserve">                 </w:t>
            </w:r>
          </w:p>
          <w:p w14:paraId="2559BA53">
            <w:pPr>
              <w:spacing w:line="480" w:lineRule="auto"/>
              <w:jc w:val="left"/>
            </w:pPr>
            <w:r>
              <w:rPr>
                <w:rFonts w:hint="eastAsia" w:ascii="仿宋" w:hAnsi="仿宋" w:eastAsia="仿宋" w:cs="仿宋"/>
                <w:sz w:val="24"/>
                <w:szCs w:val="28"/>
              </w:rPr>
              <w:t>竞标日期：</w:t>
            </w:r>
            <w:r>
              <w:rPr>
                <w:rFonts w:hint="eastAsia" w:ascii="仿宋" w:hAnsi="仿宋" w:eastAsia="仿宋" w:cs="仿宋"/>
                <w:sz w:val="24"/>
                <w:szCs w:val="28"/>
                <w:u w:val="single"/>
              </w:rPr>
              <w:t>202</w:t>
            </w:r>
            <w:r>
              <w:rPr>
                <w:rFonts w:hint="eastAsia" w:ascii="仿宋" w:hAnsi="仿宋" w:eastAsia="仿宋" w:cs="仿宋"/>
                <w:sz w:val="24"/>
                <w:szCs w:val="28"/>
                <w:u w:val="single"/>
                <w:lang w:val="en-US" w:eastAsia="zh-CN"/>
              </w:rPr>
              <w:t>6</w:t>
            </w:r>
            <w:r>
              <w:rPr>
                <w:rFonts w:hint="eastAsia" w:ascii="仿宋" w:hAnsi="仿宋" w:eastAsia="仿宋" w:cs="仿宋"/>
                <w:sz w:val="24"/>
                <w:szCs w:val="28"/>
                <w:u w:val="single"/>
              </w:rPr>
              <w:t>年    月   日</w:t>
            </w:r>
          </w:p>
        </w:tc>
      </w:tr>
      <w:tr w14:paraId="77FB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09AA6BB8">
            <w:pPr>
              <w:spacing w:line="360" w:lineRule="auto"/>
              <w:jc w:val="left"/>
              <w:rPr>
                <w:rFonts w:ascii="仿宋" w:hAnsi="仿宋" w:eastAsia="仿宋" w:cs="仿宋"/>
                <w:sz w:val="24"/>
                <w:szCs w:val="28"/>
              </w:rPr>
            </w:pPr>
            <w:r>
              <w:rPr>
                <w:rFonts w:hint="eastAsia" w:ascii="仿宋" w:hAnsi="仿宋" w:eastAsia="仿宋" w:cs="仿宋"/>
                <w:sz w:val="24"/>
                <w:szCs w:val="28"/>
              </w:rPr>
              <w:t>注：</w:t>
            </w:r>
          </w:p>
          <w:p w14:paraId="69F32E02">
            <w:pPr>
              <w:spacing w:line="360" w:lineRule="auto"/>
              <w:jc w:val="left"/>
              <w:rPr>
                <w:rFonts w:ascii="仿宋" w:hAnsi="仿宋" w:eastAsia="仿宋" w:cs="仿宋"/>
                <w:sz w:val="24"/>
                <w:szCs w:val="28"/>
              </w:rPr>
            </w:pPr>
            <w:r>
              <w:rPr>
                <w:rFonts w:hint="eastAsia" w:ascii="仿宋" w:hAnsi="仿宋" w:eastAsia="仿宋" w:cs="仿宋"/>
                <w:sz w:val="24"/>
                <w:szCs w:val="28"/>
              </w:rPr>
              <w:t>1）《竞价响应表》应按</w:t>
            </w:r>
            <w:r>
              <w:rPr>
                <w:rFonts w:hint="eastAsia" w:ascii="仿宋" w:hAnsi="仿宋" w:eastAsia="仿宋" w:cs="仿宋"/>
                <w:sz w:val="24"/>
                <w:szCs w:val="28"/>
                <w:lang w:val="en-US" w:eastAsia="zh-CN"/>
              </w:rPr>
              <w:t>样表</w:t>
            </w:r>
            <w:r>
              <w:rPr>
                <w:rFonts w:hint="eastAsia" w:ascii="仿宋" w:hAnsi="仿宋" w:eastAsia="仿宋" w:cs="仿宋"/>
                <w:sz w:val="24"/>
                <w:szCs w:val="28"/>
              </w:rPr>
              <w:t>要求填写完整，不得留空</w:t>
            </w:r>
            <w:r>
              <w:rPr>
                <w:rFonts w:hint="eastAsia" w:ascii="仿宋" w:hAnsi="仿宋" w:eastAsia="仿宋" w:cs="仿宋"/>
                <w:sz w:val="24"/>
                <w:szCs w:val="28"/>
                <w:lang w:eastAsia="zh-CN"/>
              </w:rPr>
              <w:t>，</w:t>
            </w:r>
            <w:r>
              <w:rPr>
                <w:rFonts w:hint="eastAsia" w:ascii="仿宋" w:hAnsi="仿宋" w:eastAsia="仿宋" w:cs="仿宋"/>
                <w:sz w:val="24"/>
                <w:szCs w:val="28"/>
                <w:lang w:val="en-US" w:eastAsia="zh-CN"/>
              </w:rPr>
              <w:t>否则视为无效竞标</w:t>
            </w:r>
            <w:r>
              <w:rPr>
                <w:rFonts w:hint="eastAsia" w:ascii="仿宋" w:hAnsi="仿宋" w:eastAsia="仿宋" w:cs="仿宋"/>
                <w:sz w:val="24"/>
                <w:szCs w:val="28"/>
              </w:rPr>
              <w:t>。</w:t>
            </w:r>
          </w:p>
          <w:p w14:paraId="3138FD76">
            <w:pPr>
              <w:spacing w:line="360" w:lineRule="auto"/>
              <w:jc w:val="left"/>
              <w:rPr>
                <w:rFonts w:ascii="仿宋" w:hAnsi="仿宋" w:eastAsia="仿宋" w:cs="仿宋"/>
                <w:sz w:val="24"/>
                <w:szCs w:val="28"/>
              </w:rPr>
            </w:pPr>
            <w:r>
              <w:rPr>
                <w:rFonts w:hint="eastAsia" w:ascii="仿宋" w:hAnsi="仿宋" w:eastAsia="仿宋" w:cs="仿宋"/>
                <w:sz w:val="24"/>
                <w:szCs w:val="28"/>
              </w:rPr>
              <w:t>2）响应情况分为：①完全响应（正偏离）、②完全响应（无偏离）及③部分响应（负偏离）三类，供应商必须根据竞标实际情况填写响应情况并对表格每一页加盖单位公章。</w:t>
            </w:r>
          </w:p>
          <w:p w14:paraId="72605F92">
            <w:pPr>
              <w:spacing w:line="360" w:lineRule="auto"/>
              <w:jc w:val="left"/>
              <w:rPr>
                <w:rFonts w:ascii="仿宋" w:hAnsi="仿宋" w:eastAsia="仿宋" w:cs="仿宋"/>
                <w:sz w:val="24"/>
                <w:szCs w:val="28"/>
              </w:rPr>
            </w:pPr>
            <w:r>
              <w:rPr>
                <w:rFonts w:hint="eastAsia" w:ascii="仿宋" w:hAnsi="仿宋" w:eastAsia="仿宋" w:cs="仿宋"/>
                <w:sz w:val="24"/>
                <w:szCs w:val="28"/>
              </w:rPr>
              <w:t>3）若属于①完全响应（正偏离）或③部分响应（负偏离）的，则必须响应情况列内写明具体偏离情况。</w:t>
            </w:r>
          </w:p>
          <w:p w14:paraId="763F5DB8">
            <w:pPr>
              <w:spacing w:line="360" w:lineRule="auto"/>
              <w:jc w:val="left"/>
            </w:pPr>
            <w:r>
              <w:rPr>
                <w:rFonts w:hint="eastAsia" w:ascii="仿宋" w:hAnsi="仿宋" w:eastAsia="仿宋" w:cs="仿宋"/>
                <w:sz w:val="24"/>
                <w:szCs w:val="28"/>
              </w:rPr>
              <w:t>4）未按上述要求填报《竞价响应表》并按采购文件要求在竞价时提供的，视为无效竞标。</w:t>
            </w:r>
          </w:p>
        </w:tc>
      </w:tr>
      <w:tr w14:paraId="15FF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 w:type="pct"/>
            <w:vAlign w:val="center"/>
          </w:tcPr>
          <w:p w14:paraId="00F00B25">
            <w:pPr>
              <w:spacing w:line="480" w:lineRule="auto"/>
              <w:jc w:val="center"/>
              <w:rPr>
                <w:rFonts w:ascii="仿宋" w:hAnsi="仿宋" w:eastAsia="仿宋" w:cs="仿宋"/>
                <w:sz w:val="24"/>
                <w:szCs w:val="24"/>
              </w:rPr>
            </w:pPr>
            <w:r>
              <w:rPr>
                <w:rFonts w:hint="eastAsia" w:ascii="仿宋" w:hAnsi="仿宋" w:eastAsia="仿宋" w:cs="仿宋"/>
                <w:sz w:val="24"/>
                <w:szCs w:val="24"/>
              </w:rPr>
              <w:t>项号</w:t>
            </w:r>
          </w:p>
        </w:tc>
        <w:tc>
          <w:tcPr>
            <w:tcW w:w="688" w:type="pct"/>
            <w:vAlign w:val="center"/>
          </w:tcPr>
          <w:p w14:paraId="13E83F1E">
            <w:pPr>
              <w:spacing w:line="480" w:lineRule="auto"/>
              <w:jc w:val="center"/>
              <w:rPr>
                <w:rFonts w:ascii="仿宋" w:hAnsi="仿宋" w:eastAsia="仿宋" w:cs="仿宋"/>
                <w:sz w:val="24"/>
                <w:szCs w:val="24"/>
              </w:rPr>
            </w:pPr>
            <w:r>
              <w:rPr>
                <w:rFonts w:hint="eastAsia" w:ascii="仿宋" w:hAnsi="仿宋" w:eastAsia="仿宋" w:cs="仿宋"/>
                <w:sz w:val="24"/>
                <w:szCs w:val="24"/>
              </w:rPr>
              <w:t>产品名称、品牌型号</w:t>
            </w:r>
          </w:p>
        </w:tc>
        <w:tc>
          <w:tcPr>
            <w:tcW w:w="601" w:type="pct"/>
            <w:vAlign w:val="center"/>
          </w:tcPr>
          <w:p w14:paraId="4FCA2FF9">
            <w:pPr>
              <w:spacing w:line="480" w:lineRule="auto"/>
              <w:jc w:val="center"/>
              <w:rPr>
                <w:rFonts w:ascii="仿宋" w:hAnsi="仿宋" w:eastAsia="仿宋" w:cs="仿宋"/>
                <w:sz w:val="24"/>
                <w:szCs w:val="24"/>
              </w:rPr>
            </w:pPr>
            <w:r>
              <w:rPr>
                <w:rFonts w:hint="eastAsia" w:ascii="仿宋" w:hAnsi="仿宋" w:eastAsia="仿宋" w:cs="仿宋"/>
                <w:sz w:val="24"/>
                <w:szCs w:val="24"/>
              </w:rPr>
              <w:t>数量</w:t>
            </w:r>
          </w:p>
        </w:tc>
        <w:tc>
          <w:tcPr>
            <w:tcW w:w="2885" w:type="pct"/>
            <w:vAlign w:val="center"/>
          </w:tcPr>
          <w:p w14:paraId="1A9F5324">
            <w:pPr>
              <w:spacing w:line="480" w:lineRule="auto"/>
              <w:jc w:val="center"/>
              <w:rPr>
                <w:rFonts w:ascii="仿宋" w:hAnsi="仿宋" w:eastAsia="仿宋" w:cs="仿宋"/>
                <w:sz w:val="24"/>
                <w:szCs w:val="24"/>
              </w:rPr>
            </w:pPr>
            <w:r>
              <w:rPr>
                <w:rFonts w:hint="eastAsia" w:ascii="仿宋" w:hAnsi="仿宋" w:eastAsia="仿宋" w:cs="仿宋"/>
                <w:sz w:val="24"/>
                <w:szCs w:val="24"/>
              </w:rPr>
              <w:t>技术参数及性能配置要求具体响应</w:t>
            </w:r>
          </w:p>
        </w:tc>
        <w:tc>
          <w:tcPr>
            <w:tcW w:w="649" w:type="pct"/>
            <w:vAlign w:val="center"/>
          </w:tcPr>
          <w:p w14:paraId="6D45489E">
            <w:pPr>
              <w:spacing w:line="480" w:lineRule="auto"/>
              <w:jc w:val="center"/>
              <w:rPr>
                <w:rFonts w:ascii="仿宋" w:hAnsi="仿宋" w:eastAsia="仿宋" w:cs="仿宋"/>
                <w:sz w:val="24"/>
                <w:szCs w:val="24"/>
              </w:rPr>
            </w:pPr>
            <w:r>
              <w:rPr>
                <w:rFonts w:hint="eastAsia" w:ascii="仿宋" w:hAnsi="仿宋" w:eastAsia="仿宋" w:cs="仿宋"/>
                <w:sz w:val="24"/>
                <w:szCs w:val="24"/>
              </w:rPr>
              <w:t>响应情况</w:t>
            </w:r>
          </w:p>
        </w:tc>
      </w:tr>
      <w:tr w14:paraId="770A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76" w:type="pct"/>
            <w:vAlign w:val="center"/>
          </w:tcPr>
          <w:p w14:paraId="11595637">
            <w:pPr>
              <w:jc w:val="center"/>
              <w:rPr>
                <w:rFonts w:ascii="仿宋" w:hAnsi="仿宋" w:eastAsia="仿宋" w:cs="仿宋"/>
                <w:sz w:val="24"/>
                <w:szCs w:val="24"/>
              </w:rPr>
            </w:pPr>
            <w:r>
              <w:rPr>
                <w:rFonts w:hint="eastAsia" w:ascii="仿宋" w:hAnsi="仿宋" w:eastAsia="仿宋"/>
                <w:szCs w:val="21"/>
              </w:rPr>
              <w:t>1</w:t>
            </w:r>
          </w:p>
        </w:tc>
        <w:tc>
          <w:tcPr>
            <w:tcW w:w="688" w:type="pct"/>
            <w:vAlign w:val="center"/>
          </w:tcPr>
          <w:p w14:paraId="2B4D31C8">
            <w:pPr>
              <w:spacing w:line="480" w:lineRule="auto"/>
              <w:jc w:val="center"/>
              <w:rPr>
                <w:rFonts w:ascii="仿宋" w:hAnsi="仿宋" w:eastAsia="仿宋" w:cs="仿宋"/>
                <w:sz w:val="24"/>
                <w:szCs w:val="28"/>
              </w:rPr>
            </w:pPr>
          </w:p>
        </w:tc>
        <w:tc>
          <w:tcPr>
            <w:tcW w:w="601" w:type="pct"/>
            <w:vAlign w:val="center"/>
          </w:tcPr>
          <w:p w14:paraId="4B7B892B">
            <w:pPr>
              <w:spacing w:line="480" w:lineRule="auto"/>
              <w:jc w:val="center"/>
              <w:rPr>
                <w:rFonts w:ascii="仿宋" w:hAnsi="仿宋" w:eastAsia="仿宋" w:cs="仿宋"/>
                <w:sz w:val="24"/>
                <w:szCs w:val="28"/>
              </w:rPr>
            </w:pPr>
          </w:p>
        </w:tc>
        <w:tc>
          <w:tcPr>
            <w:tcW w:w="2885" w:type="pct"/>
          </w:tcPr>
          <w:p w14:paraId="5D4A0359">
            <w:pPr>
              <w:spacing w:line="480" w:lineRule="auto"/>
              <w:jc w:val="left"/>
              <w:rPr>
                <w:rFonts w:ascii="仿宋" w:hAnsi="仿宋" w:eastAsia="仿宋" w:cs="仿宋"/>
                <w:sz w:val="24"/>
                <w:szCs w:val="24"/>
              </w:rPr>
            </w:pPr>
          </w:p>
        </w:tc>
        <w:tc>
          <w:tcPr>
            <w:tcW w:w="649" w:type="pct"/>
            <w:vAlign w:val="center"/>
          </w:tcPr>
          <w:p w14:paraId="7B6F472B">
            <w:pPr>
              <w:widowControl/>
              <w:spacing w:line="480" w:lineRule="auto"/>
              <w:jc w:val="left"/>
              <w:textAlignment w:val="center"/>
              <w:rPr>
                <w:rFonts w:ascii="仿宋" w:hAnsi="仿宋" w:eastAsia="仿宋" w:cs="仿宋"/>
                <w:sz w:val="24"/>
                <w:szCs w:val="24"/>
              </w:rPr>
            </w:pPr>
          </w:p>
        </w:tc>
      </w:tr>
      <w:tr w14:paraId="0A74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76" w:type="pct"/>
            <w:vAlign w:val="center"/>
          </w:tcPr>
          <w:p w14:paraId="5D92EA92">
            <w:pPr>
              <w:jc w:val="center"/>
              <w:rPr>
                <w:rFonts w:ascii="仿宋" w:hAnsi="仿宋" w:eastAsia="仿宋"/>
                <w:szCs w:val="21"/>
              </w:rPr>
            </w:pPr>
            <w:r>
              <w:rPr>
                <w:rFonts w:hint="eastAsia" w:ascii="仿宋" w:hAnsi="仿宋" w:eastAsia="仿宋"/>
                <w:szCs w:val="21"/>
              </w:rPr>
              <w:t>2</w:t>
            </w:r>
          </w:p>
        </w:tc>
        <w:tc>
          <w:tcPr>
            <w:tcW w:w="688" w:type="pct"/>
            <w:vAlign w:val="center"/>
          </w:tcPr>
          <w:p w14:paraId="683DBF46">
            <w:pPr>
              <w:spacing w:line="480" w:lineRule="auto"/>
              <w:jc w:val="center"/>
              <w:rPr>
                <w:rFonts w:ascii="仿宋" w:hAnsi="仿宋" w:eastAsia="仿宋" w:cs="仿宋"/>
                <w:sz w:val="24"/>
                <w:szCs w:val="28"/>
              </w:rPr>
            </w:pPr>
          </w:p>
        </w:tc>
        <w:tc>
          <w:tcPr>
            <w:tcW w:w="601" w:type="pct"/>
            <w:vAlign w:val="center"/>
          </w:tcPr>
          <w:p w14:paraId="23DFD146">
            <w:pPr>
              <w:spacing w:line="480" w:lineRule="auto"/>
              <w:jc w:val="center"/>
              <w:rPr>
                <w:rFonts w:ascii="仿宋" w:hAnsi="仿宋" w:eastAsia="仿宋" w:cs="仿宋"/>
                <w:sz w:val="24"/>
                <w:szCs w:val="28"/>
              </w:rPr>
            </w:pPr>
          </w:p>
        </w:tc>
        <w:tc>
          <w:tcPr>
            <w:tcW w:w="2885" w:type="pct"/>
          </w:tcPr>
          <w:p w14:paraId="5C6C3309">
            <w:pPr>
              <w:spacing w:line="480" w:lineRule="auto"/>
              <w:jc w:val="left"/>
              <w:rPr>
                <w:rFonts w:ascii="仿宋" w:hAnsi="仿宋" w:eastAsia="仿宋" w:cs="仿宋"/>
                <w:sz w:val="24"/>
                <w:szCs w:val="24"/>
              </w:rPr>
            </w:pPr>
          </w:p>
        </w:tc>
        <w:tc>
          <w:tcPr>
            <w:tcW w:w="649" w:type="pct"/>
            <w:vAlign w:val="center"/>
          </w:tcPr>
          <w:p w14:paraId="3DEEBA7C">
            <w:pPr>
              <w:widowControl/>
              <w:spacing w:line="480" w:lineRule="auto"/>
              <w:jc w:val="left"/>
              <w:textAlignment w:val="center"/>
              <w:rPr>
                <w:rFonts w:ascii="仿宋" w:hAnsi="仿宋" w:eastAsia="仿宋" w:cs="仿宋"/>
                <w:sz w:val="24"/>
                <w:szCs w:val="24"/>
              </w:rPr>
            </w:pPr>
          </w:p>
        </w:tc>
      </w:tr>
      <w:tr w14:paraId="4FBF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5000" w:type="pct"/>
            <w:gridSpan w:val="5"/>
            <w:vAlign w:val="center"/>
          </w:tcPr>
          <w:p w14:paraId="43EF6A50">
            <w:pPr>
              <w:widowControl/>
              <w:spacing w:line="480" w:lineRule="auto"/>
              <w:jc w:val="left"/>
              <w:textAlignment w:val="center"/>
              <w:rPr>
                <w:rFonts w:ascii="仿宋" w:hAnsi="仿宋" w:eastAsia="仿宋" w:cs="仿宋"/>
                <w:b/>
                <w:bCs/>
                <w:sz w:val="24"/>
                <w:szCs w:val="24"/>
                <w:u w:val="single"/>
              </w:rPr>
            </w:pPr>
            <w:r>
              <w:rPr>
                <w:rFonts w:hint="eastAsia" w:ascii="仿宋" w:hAnsi="仿宋" w:eastAsia="仿宋" w:cs="仿宋"/>
                <w:b/>
                <w:bCs/>
                <w:sz w:val="24"/>
                <w:szCs w:val="24"/>
                <w:u w:val="single"/>
              </w:rPr>
              <w:t>报价占比（①+②=100%）：</w:t>
            </w:r>
          </w:p>
          <w:p w14:paraId="52CE4F29">
            <w:pPr>
              <w:widowControl/>
              <w:spacing w:line="480" w:lineRule="auto"/>
              <w:jc w:val="left"/>
              <w:textAlignment w:val="center"/>
              <w:rPr>
                <w:rFonts w:ascii="仿宋" w:hAnsi="仿宋" w:eastAsia="仿宋" w:cs="仿宋"/>
                <w:sz w:val="24"/>
                <w:szCs w:val="24"/>
              </w:rPr>
            </w:pPr>
            <w:r>
              <w:rPr>
                <w:rFonts w:hint="eastAsia" w:ascii="仿宋" w:hAnsi="仿宋" w:eastAsia="仿宋" w:cs="仿宋"/>
                <w:sz w:val="24"/>
                <w:szCs w:val="24"/>
              </w:rPr>
              <w:t>①设备费占总报价</w:t>
            </w:r>
            <w:r>
              <w:rPr>
                <w:rFonts w:hint="eastAsia" w:ascii="仿宋" w:hAnsi="仿宋" w:eastAsia="仿宋" w:cs="仿宋"/>
                <w:sz w:val="24"/>
                <w:szCs w:val="24"/>
                <w:u w:val="single"/>
              </w:rPr>
              <w:t xml:space="preserve">    %</w:t>
            </w:r>
            <w:r>
              <w:rPr>
                <w:rFonts w:hint="eastAsia" w:ascii="仿宋" w:hAnsi="仿宋" w:eastAsia="仿宋" w:cs="仿宋"/>
                <w:sz w:val="24"/>
                <w:szCs w:val="24"/>
              </w:rPr>
              <w:t>；②安装费（含调试）占总报价</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tc>
      </w:tr>
    </w:tbl>
    <w:p w14:paraId="09121F76">
      <w:pPr>
        <w:pStyle w:val="18"/>
        <w:ind w:left="0" w:leftChars="0" w:firstLine="0" w:firstLineChars="0"/>
      </w:pPr>
    </w:p>
    <w:sectPr>
      <w:footerReference r:id="rId3" w:type="default"/>
      <w:pgSz w:w="11906" w:h="16838"/>
      <w:pgMar w:top="720" w:right="720" w:bottom="720" w:left="720" w:header="851" w:footer="992"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1668611-88CD-45CA-B620-0E27C4539208}"/>
  </w:font>
  <w:font w:name="黑体">
    <w:panose1 w:val="02010609060101010101"/>
    <w:charset w:val="86"/>
    <w:family w:val="auto"/>
    <w:pitch w:val="default"/>
    <w:sig w:usb0="800002BF" w:usb1="38CF7CFA" w:usb2="00000016" w:usb3="00000000" w:csb0="00040001" w:csb1="00000000"/>
    <w:embedRegular r:id="rId2" w:fontKey="{3DD420C2-3CBD-44FD-A32D-FB1983BCB8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81BACD1-1E5D-4450-978E-94C73A85950B}"/>
  </w:font>
  <w:font w:name="仿宋_GB2312">
    <w:panose1 w:val="02010609030101010101"/>
    <w:charset w:val="86"/>
    <w:family w:val="modern"/>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4" w:fontKey="{552F1B38-F87F-44B2-9132-951F97BC1017}"/>
  </w:font>
  <w:font w:name="仿宋">
    <w:panose1 w:val="02010609060101010101"/>
    <w:charset w:val="86"/>
    <w:family w:val="modern"/>
    <w:pitch w:val="default"/>
    <w:sig w:usb0="800002BF" w:usb1="38CF7CFA" w:usb2="00000016" w:usb3="00000000" w:csb0="00040001" w:csb1="00000000"/>
    <w:embedRegular r:id="rId5" w:fontKey="{9F60A55B-9E41-4054-81C7-5FA21A493178}"/>
  </w:font>
  <w:font w:name="微软雅黑">
    <w:panose1 w:val="020B0503020204020204"/>
    <w:charset w:val="86"/>
    <w:family w:val="swiss"/>
    <w:pitch w:val="default"/>
    <w:sig w:usb0="80000287" w:usb1="2ACF3C50" w:usb2="00000016" w:usb3="00000000" w:csb0="0004001F" w:csb1="00000000"/>
    <w:embedRegular r:id="rId6" w:fontKey="{75A8C5F6-C7B1-44B3-8C56-764948DBB3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cs="宋体"/>
        <w:sz w:val="21"/>
        <w:szCs w:val="21"/>
      </w:rPr>
      <w:id w:val="1876422653"/>
    </w:sdtPr>
    <w:sdtEndPr>
      <w:rPr>
        <w:rFonts w:hint="eastAsia" w:ascii="宋体" w:hAnsi="宋体" w:cs="宋体"/>
        <w:sz w:val="21"/>
        <w:szCs w:val="21"/>
      </w:rPr>
    </w:sdtEndPr>
    <w:sdtContent>
      <w:sdt>
        <w:sdtPr>
          <w:rPr>
            <w:rFonts w:hint="eastAsia" w:ascii="宋体" w:hAnsi="宋体" w:cs="宋体"/>
            <w:sz w:val="21"/>
            <w:szCs w:val="21"/>
          </w:rPr>
          <w:id w:val="680238593"/>
        </w:sdtPr>
        <w:sdtEndPr>
          <w:rPr>
            <w:rFonts w:hint="eastAsia" w:ascii="宋体" w:hAnsi="宋体" w:cs="宋体"/>
            <w:sz w:val="21"/>
            <w:szCs w:val="21"/>
          </w:rPr>
        </w:sdtEndPr>
        <w:sdtContent>
          <w:p w14:paraId="3C9BC847">
            <w:pPr>
              <w:pStyle w:val="11"/>
              <w:jc w:val="center"/>
            </w:pPr>
            <w:r>
              <w:rPr>
                <w:rFonts w:hint="eastAsia" w:ascii="宋体" w:hAnsi="宋体" w:cs="宋体"/>
                <w:sz w:val="21"/>
                <w:szCs w:val="21"/>
                <w:lang w:val="zh-CN"/>
              </w:rPr>
              <w:t xml:space="preserve"> </w:t>
            </w:r>
            <w:r>
              <w:rPr>
                <w:rFonts w:hint="eastAsia" w:ascii="宋体" w:hAnsi="宋体" w:cs="宋体"/>
                <w:b/>
                <w:bCs/>
                <w:sz w:val="32"/>
                <w:szCs w:val="32"/>
              </w:rPr>
              <w:fldChar w:fldCharType="begin"/>
            </w:r>
            <w:r>
              <w:rPr>
                <w:rFonts w:hint="eastAsia" w:ascii="宋体" w:hAnsi="宋体" w:cs="宋体"/>
                <w:b/>
                <w:bCs/>
                <w:sz w:val="21"/>
                <w:szCs w:val="21"/>
              </w:rPr>
              <w:instrText xml:space="preserve">PAGE</w:instrText>
            </w:r>
            <w:r>
              <w:rPr>
                <w:rFonts w:hint="eastAsia" w:ascii="宋体" w:hAnsi="宋体" w:cs="宋体"/>
                <w:b/>
                <w:bCs/>
                <w:sz w:val="32"/>
                <w:szCs w:val="32"/>
              </w:rPr>
              <w:fldChar w:fldCharType="separate"/>
            </w:r>
            <w:r>
              <w:rPr>
                <w:rFonts w:ascii="宋体" w:hAnsi="宋体" w:cs="宋体"/>
                <w:b/>
                <w:bCs/>
                <w:sz w:val="21"/>
                <w:szCs w:val="21"/>
              </w:rPr>
              <w:t>2</w:t>
            </w:r>
            <w:r>
              <w:rPr>
                <w:rFonts w:hint="eastAsia" w:ascii="宋体" w:hAnsi="宋体" w:cs="宋体"/>
                <w:b/>
                <w:bCs/>
                <w:sz w:val="32"/>
                <w:szCs w:val="32"/>
              </w:rPr>
              <w:fldChar w:fldCharType="end"/>
            </w:r>
            <w:r>
              <w:rPr>
                <w:rFonts w:hint="eastAsia" w:ascii="宋体" w:hAnsi="宋体" w:cs="宋体"/>
                <w:sz w:val="21"/>
                <w:szCs w:val="21"/>
                <w:lang w:val="zh-CN"/>
              </w:rPr>
              <w:t xml:space="preserve"> / </w:t>
            </w:r>
            <w:r>
              <w:rPr>
                <w:rFonts w:hint="eastAsia" w:ascii="宋体" w:hAnsi="宋体" w:cs="宋体"/>
                <w:b/>
                <w:bCs/>
                <w:sz w:val="32"/>
                <w:szCs w:val="32"/>
              </w:rPr>
              <w:fldChar w:fldCharType="begin"/>
            </w:r>
            <w:r>
              <w:rPr>
                <w:rFonts w:hint="eastAsia" w:ascii="宋体" w:hAnsi="宋体" w:cs="宋体"/>
                <w:b/>
                <w:bCs/>
                <w:sz w:val="21"/>
                <w:szCs w:val="21"/>
              </w:rPr>
              <w:instrText xml:space="preserve">NUMPAGES</w:instrText>
            </w:r>
            <w:r>
              <w:rPr>
                <w:rFonts w:hint="eastAsia" w:ascii="宋体" w:hAnsi="宋体" w:cs="宋体"/>
                <w:b/>
                <w:bCs/>
                <w:sz w:val="32"/>
                <w:szCs w:val="32"/>
              </w:rPr>
              <w:fldChar w:fldCharType="separate"/>
            </w:r>
            <w:r>
              <w:rPr>
                <w:rFonts w:ascii="宋体" w:hAnsi="宋体" w:cs="宋体"/>
                <w:b/>
                <w:bCs/>
                <w:sz w:val="21"/>
                <w:szCs w:val="21"/>
              </w:rPr>
              <w:t>12</w:t>
            </w:r>
            <w:r>
              <w:rPr>
                <w:rFonts w:hint="eastAsia" w:ascii="宋体" w:hAnsi="宋体" w:cs="宋体"/>
                <w:b/>
                <w:bCs/>
                <w:sz w:val="32"/>
                <w:szCs w:val="32"/>
              </w:rPr>
              <w:fldChar w:fldCharType="end"/>
            </w:r>
          </w:p>
        </w:sdtContent>
      </w:sdt>
    </w:sdtContent>
  </w:sdt>
  <w:p w14:paraId="3F5F118D">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63E66A"/>
    <w:multiLevelType w:val="singleLevel"/>
    <w:tmpl w:val="F563E66A"/>
    <w:lvl w:ilvl="0" w:tentative="0">
      <w:start w:val="1"/>
      <w:numFmt w:val="chineseCounting"/>
      <w:suff w:val="space"/>
      <w:lvlText w:val="第%1章"/>
      <w:lvlJc w:val="left"/>
      <w:rPr>
        <w:rFonts w:hint="eastAsia"/>
      </w:rPr>
    </w:lvl>
  </w:abstractNum>
  <w:abstractNum w:abstractNumId="1">
    <w:nsid w:val="38240C86"/>
    <w:multiLevelType w:val="multilevel"/>
    <w:tmpl w:val="38240C86"/>
    <w:lvl w:ilvl="0" w:tentative="0">
      <w:start w:val="1"/>
      <w:numFmt w:val="decimal"/>
      <w:lvlText w:val="%1、"/>
      <w:lvlJc w:val="left"/>
      <w:pPr>
        <w:ind w:left="360" w:hanging="360"/>
      </w:pPr>
      <w:rPr>
        <w:rFonts w:hint="default"/>
        <w:b/>
        <w:bCs/>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9909DE7"/>
    <w:multiLevelType w:val="singleLevel"/>
    <w:tmpl w:val="39909DE7"/>
    <w:lvl w:ilvl="0" w:tentative="0">
      <w:start w:val="5"/>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MmFmY2I3YzMxODZiMGI5OTU5Nzk5MzlkZmVhYzMifQ=="/>
  </w:docVars>
  <w:rsids>
    <w:rsidRoot w:val="00954254"/>
    <w:rsid w:val="00016B63"/>
    <w:rsid w:val="0002394F"/>
    <w:rsid w:val="000251DD"/>
    <w:rsid w:val="000330C6"/>
    <w:rsid w:val="00045A05"/>
    <w:rsid w:val="00051421"/>
    <w:rsid w:val="000522AA"/>
    <w:rsid w:val="00056EAD"/>
    <w:rsid w:val="00060431"/>
    <w:rsid w:val="00065489"/>
    <w:rsid w:val="00092596"/>
    <w:rsid w:val="000A23B0"/>
    <w:rsid w:val="000B0BC6"/>
    <w:rsid w:val="000B2309"/>
    <w:rsid w:val="000B263A"/>
    <w:rsid w:val="000C4563"/>
    <w:rsid w:val="000C4F3D"/>
    <w:rsid w:val="000D3133"/>
    <w:rsid w:val="000F6372"/>
    <w:rsid w:val="000F69A5"/>
    <w:rsid w:val="0010318A"/>
    <w:rsid w:val="001040D6"/>
    <w:rsid w:val="00110DA1"/>
    <w:rsid w:val="00117387"/>
    <w:rsid w:val="001205F2"/>
    <w:rsid w:val="0012244E"/>
    <w:rsid w:val="001331B5"/>
    <w:rsid w:val="0013514F"/>
    <w:rsid w:val="0013572A"/>
    <w:rsid w:val="00143840"/>
    <w:rsid w:val="00144522"/>
    <w:rsid w:val="001450EE"/>
    <w:rsid w:val="00151395"/>
    <w:rsid w:val="00152064"/>
    <w:rsid w:val="00160D52"/>
    <w:rsid w:val="00171FA2"/>
    <w:rsid w:val="001724E8"/>
    <w:rsid w:val="001732C0"/>
    <w:rsid w:val="00177BA2"/>
    <w:rsid w:val="0018478F"/>
    <w:rsid w:val="001A5639"/>
    <w:rsid w:val="001B4111"/>
    <w:rsid w:val="001B433D"/>
    <w:rsid w:val="001B5CEE"/>
    <w:rsid w:val="001C59BD"/>
    <w:rsid w:val="001C6FB5"/>
    <w:rsid w:val="001D27CC"/>
    <w:rsid w:val="001E13B4"/>
    <w:rsid w:val="001E7E01"/>
    <w:rsid w:val="00202E4C"/>
    <w:rsid w:val="002106A7"/>
    <w:rsid w:val="002125B1"/>
    <w:rsid w:val="00220D92"/>
    <w:rsid w:val="0022240E"/>
    <w:rsid w:val="00227DDF"/>
    <w:rsid w:val="002447BD"/>
    <w:rsid w:val="0024637B"/>
    <w:rsid w:val="00247D17"/>
    <w:rsid w:val="002519E2"/>
    <w:rsid w:val="00254CDF"/>
    <w:rsid w:val="00256E0E"/>
    <w:rsid w:val="0027133F"/>
    <w:rsid w:val="00275C0A"/>
    <w:rsid w:val="002870DD"/>
    <w:rsid w:val="002879F5"/>
    <w:rsid w:val="00290A0E"/>
    <w:rsid w:val="00292C1F"/>
    <w:rsid w:val="002A6663"/>
    <w:rsid w:val="002B1105"/>
    <w:rsid w:val="002C36F8"/>
    <w:rsid w:val="002D0632"/>
    <w:rsid w:val="002D3358"/>
    <w:rsid w:val="002D5474"/>
    <w:rsid w:val="002F3A3F"/>
    <w:rsid w:val="00302288"/>
    <w:rsid w:val="003055A9"/>
    <w:rsid w:val="00306ABE"/>
    <w:rsid w:val="003122D0"/>
    <w:rsid w:val="00312A14"/>
    <w:rsid w:val="00331248"/>
    <w:rsid w:val="00335C74"/>
    <w:rsid w:val="00350511"/>
    <w:rsid w:val="0035315E"/>
    <w:rsid w:val="00353823"/>
    <w:rsid w:val="00354CBB"/>
    <w:rsid w:val="003612F1"/>
    <w:rsid w:val="00364DD1"/>
    <w:rsid w:val="0036528B"/>
    <w:rsid w:val="003655E6"/>
    <w:rsid w:val="00374EE4"/>
    <w:rsid w:val="00375353"/>
    <w:rsid w:val="00377C87"/>
    <w:rsid w:val="003A2EDD"/>
    <w:rsid w:val="003B3DB0"/>
    <w:rsid w:val="003B76EE"/>
    <w:rsid w:val="003C341A"/>
    <w:rsid w:val="003C5580"/>
    <w:rsid w:val="003E372B"/>
    <w:rsid w:val="003F3975"/>
    <w:rsid w:val="00401439"/>
    <w:rsid w:val="004029E5"/>
    <w:rsid w:val="00402E14"/>
    <w:rsid w:val="004046E9"/>
    <w:rsid w:val="00407172"/>
    <w:rsid w:val="004220D4"/>
    <w:rsid w:val="00431A01"/>
    <w:rsid w:val="0044469E"/>
    <w:rsid w:val="00461CC1"/>
    <w:rsid w:val="00465C36"/>
    <w:rsid w:val="00465CCD"/>
    <w:rsid w:val="00481C4E"/>
    <w:rsid w:val="00485189"/>
    <w:rsid w:val="00486151"/>
    <w:rsid w:val="00490748"/>
    <w:rsid w:val="004A33B3"/>
    <w:rsid w:val="004B57F1"/>
    <w:rsid w:val="004B7559"/>
    <w:rsid w:val="004C3D67"/>
    <w:rsid w:val="004D2F80"/>
    <w:rsid w:val="004D4646"/>
    <w:rsid w:val="004F1054"/>
    <w:rsid w:val="004F73A7"/>
    <w:rsid w:val="005136C3"/>
    <w:rsid w:val="00513EE2"/>
    <w:rsid w:val="00516189"/>
    <w:rsid w:val="005205B9"/>
    <w:rsid w:val="00524C8A"/>
    <w:rsid w:val="00531180"/>
    <w:rsid w:val="005439CE"/>
    <w:rsid w:val="00551935"/>
    <w:rsid w:val="00551FAD"/>
    <w:rsid w:val="00570159"/>
    <w:rsid w:val="00572ABF"/>
    <w:rsid w:val="005751D8"/>
    <w:rsid w:val="00582AF4"/>
    <w:rsid w:val="005843DC"/>
    <w:rsid w:val="00597B69"/>
    <w:rsid w:val="005A3ED2"/>
    <w:rsid w:val="005B0830"/>
    <w:rsid w:val="005B5AE0"/>
    <w:rsid w:val="005C0014"/>
    <w:rsid w:val="005C02E8"/>
    <w:rsid w:val="005C434B"/>
    <w:rsid w:val="005C63ED"/>
    <w:rsid w:val="005E0439"/>
    <w:rsid w:val="005E3531"/>
    <w:rsid w:val="005E7693"/>
    <w:rsid w:val="005F5D96"/>
    <w:rsid w:val="00606818"/>
    <w:rsid w:val="0061047C"/>
    <w:rsid w:val="0061184F"/>
    <w:rsid w:val="006162FB"/>
    <w:rsid w:val="00643566"/>
    <w:rsid w:val="006453A8"/>
    <w:rsid w:val="0064730B"/>
    <w:rsid w:val="00653996"/>
    <w:rsid w:val="00665DB5"/>
    <w:rsid w:val="00670122"/>
    <w:rsid w:val="00677F60"/>
    <w:rsid w:val="00692E6D"/>
    <w:rsid w:val="006943A2"/>
    <w:rsid w:val="006974E9"/>
    <w:rsid w:val="00697E41"/>
    <w:rsid w:val="006A29F5"/>
    <w:rsid w:val="006B5F46"/>
    <w:rsid w:val="006C1B20"/>
    <w:rsid w:val="006D15AA"/>
    <w:rsid w:val="006D3370"/>
    <w:rsid w:val="006D5C24"/>
    <w:rsid w:val="006F0A68"/>
    <w:rsid w:val="006F1C9C"/>
    <w:rsid w:val="006F4233"/>
    <w:rsid w:val="006F74A3"/>
    <w:rsid w:val="006F775A"/>
    <w:rsid w:val="0070781B"/>
    <w:rsid w:val="00707995"/>
    <w:rsid w:val="00710F8B"/>
    <w:rsid w:val="0072451D"/>
    <w:rsid w:val="00737F97"/>
    <w:rsid w:val="007436D9"/>
    <w:rsid w:val="007447F3"/>
    <w:rsid w:val="007610ED"/>
    <w:rsid w:val="0076252E"/>
    <w:rsid w:val="0076629E"/>
    <w:rsid w:val="007800F0"/>
    <w:rsid w:val="007840D2"/>
    <w:rsid w:val="0079374C"/>
    <w:rsid w:val="00794893"/>
    <w:rsid w:val="00795B02"/>
    <w:rsid w:val="007A0DF5"/>
    <w:rsid w:val="007A4976"/>
    <w:rsid w:val="007B4FC7"/>
    <w:rsid w:val="007C0133"/>
    <w:rsid w:val="007C4AE0"/>
    <w:rsid w:val="007D11BB"/>
    <w:rsid w:val="007D25F7"/>
    <w:rsid w:val="007D345A"/>
    <w:rsid w:val="007D462E"/>
    <w:rsid w:val="007E046F"/>
    <w:rsid w:val="007E3DB5"/>
    <w:rsid w:val="007F4E04"/>
    <w:rsid w:val="008107FF"/>
    <w:rsid w:val="0081270A"/>
    <w:rsid w:val="008322BB"/>
    <w:rsid w:val="0084152C"/>
    <w:rsid w:val="00862AC2"/>
    <w:rsid w:val="00866B82"/>
    <w:rsid w:val="0089144C"/>
    <w:rsid w:val="00892B89"/>
    <w:rsid w:val="00894801"/>
    <w:rsid w:val="008D31C6"/>
    <w:rsid w:val="008D53F3"/>
    <w:rsid w:val="008D7728"/>
    <w:rsid w:val="008E4874"/>
    <w:rsid w:val="008E709F"/>
    <w:rsid w:val="0090464C"/>
    <w:rsid w:val="00913FDA"/>
    <w:rsid w:val="009223D8"/>
    <w:rsid w:val="00934488"/>
    <w:rsid w:val="00941DEA"/>
    <w:rsid w:val="00943BAA"/>
    <w:rsid w:val="00954254"/>
    <w:rsid w:val="00960584"/>
    <w:rsid w:val="009665AD"/>
    <w:rsid w:val="00972D29"/>
    <w:rsid w:val="00981688"/>
    <w:rsid w:val="009A4CBF"/>
    <w:rsid w:val="009B3DBA"/>
    <w:rsid w:val="009C4371"/>
    <w:rsid w:val="009C4608"/>
    <w:rsid w:val="009D713C"/>
    <w:rsid w:val="009E0FC4"/>
    <w:rsid w:val="009F6E33"/>
    <w:rsid w:val="00A15CA1"/>
    <w:rsid w:val="00A21930"/>
    <w:rsid w:val="00A27CED"/>
    <w:rsid w:val="00A35881"/>
    <w:rsid w:val="00A5493A"/>
    <w:rsid w:val="00A5538D"/>
    <w:rsid w:val="00A64F1A"/>
    <w:rsid w:val="00A668CA"/>
    <w:rsid w:val="00A66A52"/>
    <w:rsid w:val="00A71522"/>
    <w:rsid w:val="00A71AEE"/>
    <w:rsid w:val="00A75054"/>
    <w:rsid w:val="00A83051"/>
    <w:rsid w:val="00A912C7"/>
    <w:rsid w:val="00A93F56"/>
    <w:rsid w:val="00A957B9"/>
    <w:rsid w:val="00A97B92"/>
    <w:rsid w:val="00A97FE1"/>
    <w:rsid w:val="00AA6605"/>
    <w:rsid w:val="00AB22FE"/>
    <w:rsid w:val="00AB2F3A"/>
    <w:rsid w:val="00AB4808"/>
    <w:rsid w:val="00AC015A"/>
    <w:rsid w:val="00AC0356"/>
    <w:rsid w:val="00AD5A6E"/>
    <w:rsid w:val="00AD5EF4"/>
    <w:rsid w:val="00AF0961"/>
    <w:rsid w:val="00AF26AD"/>
    <w:rsid w:val="00B0488C"/>
    <w:rsid w:val="00B05047"/>
    <w:rsid w:val="00B1365E"/>
    <w:rsid w:val="00B14D40"/>
    <w:rsid w:val="00B16D10"/>
    <w:rsid w:val="00B17214"/>
    <w:rsid w:val="00B320BE"/>
    <w:rsid w:val="00B40B1B"/>
    <w:rsid w:val="00B40FCD"/>
    <w:rsid w:val="00B43F31"/>
    <w:rsid w:val="00B45E29"/>
    <w:rsid w:val="00B728C5"/>
    <w:rsid w:val="00B748B2"/>
    <w:rsid w:val="00B74FBC"/>
    <w:rsid w:val="00B77D99"/>
    <w:rsid w:val="00B8101F"/>
    <w:rsid w:val="00B815E2"/>
    <w:rsid w:val="00B8488F"/>
    <w:rsid w:val="00B96082"/>
    <w:rsid w:val="00BD05C2"/>
    <w:rsid w:val="00BD77AF"/>
    <w:rsid w:val="00BE1A14"/>
    <w:rsid w:val="00BE1A80"/>
    <w:rsid w:val="00BE2E64"/>
    <w:rsid w:val="00BF271E"/>
    <w:rsid w:val="00BF38B4"/>
    <w:rsid w:val="00BF79BB"/>
    <w:rsid w:val="00C0314F"/>
    <w:rsid w:val="00C11345"/>
    <w:rsid w:val="00C26200"/>
    <w:rsid w:val="00C3061A"/>
    <w:rsid w:val="00C4090B"/>
    <w:rsid w:val="00C40AC8"/>
    <w:rsid w:val="00C44511"/>
    <w:rsid w:val="00C44616"/>
    <w:rsid w:val="00C678CF"/>
    <w:rsid w:val="00C71BED"/>
    <w:rsid w:val="00C74BBD"/>
    <w:rsid w:val="00CA2185"/>
    <w:rsid w:val="00CB5B50"/>
    <w:rsid w:val="00CB6CCB"/>
    <w:rsid w:val="00CD494B"/>
    <w:rsid w:val="00CD5003"/>
    <w:rsid w:val="00CD6EA9"/>
    <w:rsid w:val="00CE7354"/>
    <w:rsid w:val="00D0237D"/>
    <w:rsid w:val="00D246B8"/>
    <w:rsid w:val="00D24D32"/>
    <w:rsid w:val="00D324C0"/>
    <w:rsid w:val="00D3335E"/>
    <w:rsid w:val="00D4282C"/>
    <w:rsid w:val="00D4526D"/>
    <w:rsid w:val="00D60DF0"/>
    <w:rsid w:val="00D703EF"/>
    <w:rsid w:val="00D72540"/>
    <w:rsid w:val="00D873F5"/>
    <w:rsid w:val="00D97456"/>
    <w:rsid w:val="00DA76D5"/>
    <w:rsid w:val="00DB572B"/>
    <w:rsid w:val="00DC1EC2"/>
    <w:rsid w:val="00DC74C6"/>
    <w:rsid w:val="00DD240C"/>
    <w:rsid w:val="00DD4FC5"/>
    <w:rsid w:val="00DE48D8"/>
    <w:rsid w:val="00DE7545"/>
    <w:rsid w:val="00DF1F17"/>
    <w:rsid w:val="00DF2ED8"/>
    <w:rsid w:val="00DF3C87"/>
    <w:rsid w:val="00DF5FEF"/>
    <w:rsid w:val="00E0793E"/>
    <w:rsid w:val="00E16F36"/>
    <w:rsid w:val="00E36055"/>
    <w:rsid w:val="00E36556"/>
    <w:rsid w:val="00E4029A"/>
    <w:rsid w:val="00E46B42"/>
    <w:rsid w:val="00E57A1E"/>
    <w:rsid w:val="00E6315E"/>
    <w:rsid w:val="00E63169"/>
    <w:rsid w:val="00E64D3A"/>
    <w:rsid w:val="00E6537C"/>
    <w:rsid w:val="00E75D53"/>
    <w:rsid w:val="00E82F0F"/>
    <w:rsid w:val="00E857EA"/>
    <w:rsid w:val="00EB25B4"/>
    <w:rsid w:val="00EB6FE9"/>
    <w:rsid w:val="00EC1C99"/>
    <w:rsid w:val="00EC6662"/>
    <w:rsid w:val="00EE0E3C"/>
    <w:rsid w:val="00EE5B71"/>
    <w:rsid w:val="00F00C3C"/>
    <w:rsid w:val="00F017B1"/>
    <w:rsid w:val="00F03260"/>
    <w:rsid w:val="00F10C0F"/>
    <w:rsid w:val="00F212A8"/>
    <w:rsid w:val="00F3724F"/>
    <w:rsid w:val="00F444AB"/>
    <w:rsid w:val="00F45EF1"/>
    <w:rsid w:val="00F77215"/>
    <w:rsid w:val="00F80776"/>
    <w:rsid w:val="00F834CD"/>
    <w:rsid w:val="00F8465B"/>
    <w:rsid w:val="00F9055D"/>
    <w:rsid w:val="00F91DE6"/>
    <w:rsid w:val="00F967AE"/>
    <w:rsid w:val="00FA140E"/>
    <w:rsid w:val="00FA412C"/>
    <w:rsid w:val="00FA41EB"/>
    <w:rsid w:val="00FA774C"/>
    <w:rsid w:val="00FC13BB"/>
    <w:rsid w:val="00FE3BD1"/>
    <w:rsid w:val="00FE7BA6"/>
    <w:rsid w:val="00FF19A6"/>
    <w:rsid w:val="00FF2023"/>
    <w:rsid w:val="015D5591"/>
    <w:rsid w:val="01620E31"/>
    <w:rsid w:val="03B1713F"/>
    <w:rsid w:val="03CF6398"/>
    <w:rsid w:val="04363AE8"/>
    <w:rsid w:val="04456D46"/>
    <w:rsid w:val="04EB48D3"/>
    <w:rsid w:val="057F550E"/>
    <w:rsid w:val="06A44D39"/>
    <w:rsid w:val="06B37672"/>
    <w:rsid w:val="06ED4932"/>
    <w:rsid w:val="07151BB6"/>
    <w:rsid w:val="073065CD"/>
    <w:rsid w:val="07FB307F"/>
    <w:rsid w:val="08E47BC0"/>
    <w:rsid w:val="08F16230"/>
    <w:rsid w:val="095A5B83"/>
    <w:rsid w:val="09AB2883"/>
    <w:rsid w:val="09D122E9"/>
    <w:rsid w:val="0A4D56E8"/>
    <w:rsid w:val="0B7E3D58"/>
    <w:rsid w:val="0B953250"/>
    <w:rsid w:val="0B9F01C5"/>
    <w:rsid w:val="0BAA1044"/>
    <w:rsid w:val="0C403756"/>
    <w:rsid w:val="0C6805B7"/>
    <w:rsid w:val="0CB90E13"/>
    <w:rsid w:val="0D7A4A46"/>
    <w:rsid w:val="0DB9612E"/>
    <w:rsid w:val="0E412962"/>
    <w:rsid w:val="0EBE0AFF"/>
    <w:rsid w:val="0F365C66"/>
    <w:rsid w:val="0F8B17DA"/>
    <w:rsid w:val="0FFD6D26"/>
    <w:rsid w:val="10944070"/>
    <w:rsid w:val="112C3808"/>
    <w:rsid w:val="115B2DE0"/>
    <w:rsid w:val="11A5554C"/>
    <w:rsid w:val="123D6042"/>
    <w:rsid w:val="128645DC"/>
    <w:rsid w:val="12AA0F3B"/>
    <w:rsid w:val="12E806A4"/>
    <w:rsid w:val="13765CAF"/>
    <w:rsid w:val="137D703E"/>
    <w:rsid w:val="13DF1AA7"/>
    <w:rsid w:val="14CB0FDB"/>
    <w:rsid w:val="15806971"/>
    <w:rsid w:val="160F7CF5"/>
    <w:rsid w:val="164E081E"/>
    <w:rsid w:val="16A9014A"/>
    <w:rsid w:val="178564C1"/>
    <w:rsid w:val="179761F4"/>
    <w:rsid w:val="17D66D1D"/>
    <w:rsid w:val="17E7717C"/>
    <w:rsid w:val="17E86A50"/>
    <w:rsid w:val="183E76F7"/>
    <w:rsid w:val="187C0FC8"/>
    <w:rsid w:val="18820F25"/>
    <w:rsid w:val="18C64FE3"/>
    <w:rsid w:val="1901601B"/>
    <w:rsid w:val="19037FE5"/>
    <w:rsid w:val="19E25E4D"/>
    <w:rsid w:val="1A383CBF"/>
    <w:rsid w:val="1B2F50C2"/>
    <w:rsid w:val="1B362654"/>
    <w:rsid w:val="1BB76E65"/>
    <w:rsid w:val="1C076BD6"/>
    <w:rsid w:val="1C746B04"/>
    <w:rsid w:val="1CE4012E"/>
    <w:rsid w:val="1D3C5874"/>
    <w:rsid w:val="1D5030CD"/>
    <w:rsid w:val="1D56727D"/>
    <w:rsid w:val="1D807E56"/>
    <w:rsid w:val="1E57048B"/>
    <w:rsid w:val="1E641526"/>
    <w:rsid w:val="1E7B23CC"/>
    <w:rsid w:val="1E8F40C9"/>
    <w:rsid w:val="1EAC07D7"/>
    <w:rsid w:val="1F6B09F5"/>
    <w:rsid w:val="1F6C11B8"/>
    <w:rsid w:val="1F6D440A"/>
    <w:rsid w:val="1FA607CC"/>
    <w:rsid w:val="203707D5"/>
    <w:rsid w:val="20EF79E3"/>
    <w:rsid w:val="20FC3C98"/>
    <w:rsid w:val="21002DB3"/>
    <w:rsid w:val="21044A91"/>
    <w:rsid w:val="21240AF9"/>
    <w:rsid w:val="21DE15EF"/>
    <w:rsid w:val="23151041"/>
    <w:rsid w:val="232E5C5F"/>
    <w:rsid w:val="234565C3"/>
    <w:rsid w:val="236478D2"/>
    <w:rsid w:val="24544FC7"/>
    <w:rsid w:val="25C63370"/>
    <w:rsid w:val="25ED62B6"/>
    <w:rsid w:val="266404E5"/>
    <w:rsid w:val="26F2493B"/>
    <w:rsid w:val="273870AC"/>
    <w:rsid w:val="27734537"/>
    <w:rsid w:val="27837DE7"/>
    <w:rsid w:val="27E45419"/>
    <w:rsid w:val="27EC7E96"/>
    <w:rsid w:val="280E605F"/>
    <w:rsid w:val="281F64BE"/>
    <w:rsid w:val="28410CD7"/>
    <w:rsid w:val="28C10586"/>
    <w:rsid w:val="2945771C"/>
    <w:rsid w:val="294F4B81"/>
    <w:rsid w:val="295E3016"/>
    <w:rsid w:val="2AF7102C"/>
    <w:rsid w:val="2B2F01E6"/>
    <w:rsid w:val="2BA52670"/>
    <w:rsid w:val="2BCC766D"/>
    <w:rsid w:val="2BD63337"/>
    <w:rsid w:val="2BDD6474"/>
    <w:rsid w:val="2BF01C4F"/>
    <w:rsid w:val="2C6E3570"/>
    <w:rsid w:val="2CF3377A"/>
    <w:rsid w:val="2D3C366E"/>
    <w:rsid w:val="2D6055AE"/>
    <w:rsid w:val="2DE03FF9"/>
    <w:rsid w:val="2E2465DC"/>
    <w:rsid w:val="2E884DBD"/>
    <w:rsid w:val="2E980D78"/>
    <w:rsid w:val="2FBD0A96"/>
    <w:rsid w:val="2FEE6EA1"/>
    <w:rsid w:val="300264A9"/>
    <w:rsid w:val="30234671"/>
    <w:rsid w:val="304271ED"/>
    <w:rsid w:val="30850E88"/>
    <w:rsid w:val="30A0509E"/>
    <w:rsid w:val="30C45E54"/>
    <w:rsid w:val="316E7B6E"/>
    <w:rsid w:val="317653A0"/>
    <w:rsid w:val="31F75DB5"/>
    <w:rsid w:val="32AC3044"/>
    <w:rsid w:val="32D66E37"/>
    <w:rsid w:val="333C7F24"/>
    <w:rsid w:val="335951FB"/>
    <w:rsid w:val="33694A91"/>
    <w:rsid w:val="33F425AD"/>
    <w:rsid w:val="33F7209D"/>
    <w:rsid w:val="34957CBF"/>
    <w:rsid w:val="34C27E5A"/>
    <w:rsid w:val="35044A71"/>
    <w:rsid w:val="352670DE"/>
    <w:rsid w:val="358838F4"/>
    <w:rsid w:val="35AB75E3"/>
    <w:rsid w:val="363029DA"/>
    <w:rsid w:val="365D08DD"/>
    <w:rsid w:val="36AC306F"/>
    <w:rsid w:val="36D13079"/>
    <w:rsid w:val="36F560BA"/>
    <w:rsid w:val="373D519E"/>
    <w:rsid w:val="380D1E8F"/>
    <w:rsid w:val="38832151"/>
    <w:rsid w:val="396A27C0"/>
    <w:rsid w:val="39F41558"/>
    <w:rsid w:val="3A062607"/>
    <w:rsid w:val="3A5C060D"/>
    <w:rsid w:val="3A6C5593"/>
    <w:rsid w:val="3B070E17"/>
    <w:rsid w:val="3BBF7944"/>
    <w:rsid w:val="3C8F7316"/>
    <w:rsid w:val="3D4445A5"/>
    <w:rsid w:val="3DBC05DF"/>
    <w:rsid w:val="3DC47494"/>
    <w:rsid w:val="3DD10209"/>
    <w:rsid w:val="3E3E7246"/>
    <w:rsid w:val="3EE85942"/>
    <w:rsid w:val="3F6A406B"/>
    <w:rsid w:val="3F74350F"/>
    <w:rsid w:val="3F9F0197"/>
    <w:rsid w:val="3FAF4B16"/>
    <w:rsid w:val="4054083F"/>
    <w:rsid w:val="40CB6D8B"/>
    <w:rsid w:val="40CD24F9"/>
    <w:rsid w:val="42817701"/>
    <w:rsid w:val="42B86E9B"/>
    <w:rsid w:val="430640AA"/>
    <w:rsid w:val="435117C9"/>
    <w:rsid w:val="43D30430"/>
    <w:rsid w:val="441445A5"/>
    <w:rsid w:val="44427364"/>
    <w:rsid w:val="44F87A23"/>
    <w:rsid w:val="45630C4A"/>
    <w:rsid w:val="45B46040"/>
    <w:rsid w:val="46297DC5"/>
    <w:rsid w:val="463A2A6E"/>
    <w:rsid w:val="47E0326A"/>
    <w:rsid w:val="48745BFB"/>
    <w:rsid w:val="493E42BA"/>
    <w:rsid w:val="4957480F"/>
    <w:rsid w:val="496E7691"/>
    <w:rsid w:val="4BF076A6"/>
    <w:rsid w:val="4BF844D4"/>
    <w:rsid w:val="4C5916EF"/>
    <w:rsid w:val="4C691B4C"/>
    <w:rsid w:val="4CC27294"/>
    <w:rsid w:val="4CFE5DCC"/>
    <w:rsid w:val="4D4C0CB9"/>
    <w:rsid w:val="4D6B3488"/>
    <w:rsid w:val="4E197388"/>
    <w:rsid w:val="4E766588"/>
    <w:rsid w:val="4E824F2D"/>
    <w:rsid w:val="4EDD6607"/>
    <w:rsid w:val="4EF23735"/>
    <w:rsid w:val="4EFF657E"/>
    <w:rsid w:val="507E34D2"/>
    <w:rsid w:val="51031C29"/>
    <w:rsid w:val="522E0F28"/>
    <w:rsid w:val="523D3D5D"/>
    <w:rsid w:val="527833D4"/>
    <w:rsid w:val="528F19C6"/>
    <w:rsid w:val="531620E8"/>
    <w:rsid w:val="536966BB"/>
    <w:rsid w:val="538C47AE"/>
    <w:rsid w:val="53AA2830"/>
    <w:rsid w:val="54216F96"/>
    <w:rsid w:val="545D5AF4"/>
    <w:rsid w:val="554F7B33"/>
    <w:rsid w:val="55740711"/>
    <w:rsid w:val="55D50038"/>
    <w:rsid w:val="55F83AEC"/>
    <w:rsid w:val="56C65908"/>
    <w:rsid w:val="570219A0"/>
    <w:rsid w:val="57F624E8"/>
    <w:rsid w:val="5849666B"/>
    <w:rsid w:val="58BC54DF"/>
    <w:rsid w:val="58DC3EDA"/>
    <w:rsid w:val="59064EB4"/>
    <w:rsid w:val="590D1897"/>
    <w:rsid w:val="594E1920"/>
    <w:rsid w:val="597D050C"/>
    <w:rsid w:val="597E0936"/>
    <w:rsid w:val="59BE5287"/>
    <w:rsid w:val="59FB6C39"/>
    <w:rsid w:val="5A980725"/>
    <w:rsid w:val="5AE26D53"/>
    <w:rsid w:val="5BCC3C8B"/>
    <w:rsid w:val="5CBF559E"/>
    <w:rsid w:val="5D0E2082"/>
    <w:rsid w:val="5D755C5D"/>
    <w:rsid w:val="5DC170F4"/>
    <w:rsid w:val="5DC658EC"/>
    <w:rsid w:val="5DE12FF0"/>
    <w:rsid w:val="5DF11787"/>
    <w:rsid w:val="5EC21376"/>
    <w:rsid w:val="5ECC5D50"/>
    <w:rsid w:val="5F1C0A86"/>
    <w:rsid w:val="60196D73"/>
    <w:rsid w:val="608A5EC3"/>
    <w:rsid w:val="614B5652"/>
    <w:rsid w:val="61FB0E26"/>
    <w:rsid w:val="621B6B3C"/>
    <w:rsid w:val="621D7965"/>
    <w:rsid w:val="623600B0"/>
    <w:rsid w:val="62487DE4"/>
    <w:rsid w:val="62B24F88"/>
    <w:rsid w:val="62E418BB"/>
    <w:rsid w:val="63730E90"/>
    <w:rsid w:val="650F4BE9"/>
    <w:rsid w:val="65654809"/>
    <w:rsid w:val="65F52117"/>
    <w:rsid w:val="667E3DD4"/>
    <w:rsid w:val="66A73E3D"/>
    <w:rsid w:val="66CF2882"/>
    <w:rsid w:val="66F61BBC"/>
    <w:rsid w:val="68ED3493"/>
    <w:rsid w:val="692A0243"/>
    <w:rsid w:val="69362744"/>
    <w:rsid w:val="6942558D"/>
    <w:rsid w:val="69D16911"/>
    <w:rsid w:val="69E01FE1"/>
    <w:rsid w:val="6A967B01"/>
    <w:rsid w:val="6A9C6F1F"/>
    <w:rsid w:val="6AD82A0E"/>
    <w:rsid w:val="6B1B42E7"/>
    <w:rsid w:val="6B405AFC"/>
    <w:rsid w:val="6B6660E9"/>
    <w:rsid w:val="6B6813C7"/>
    <w:rsid w:val="6CB22A29"/>
    <w:rsid w:val="6CFE17CB"/>
    <w:rsid w:val="6D620771"/>
    <w:rsid w:val="6DCD48A2"/>
    <w:rsid w:val="6EF72978"/>
    <w:rsid w:val="6F3E0D9A"/>
    <w:rsid w:val="6F451933"/>
    <w:rsid w:val="6F5A4CB2"/>
    <w:rsid w:val="6FAB550E"/>
    <w:rsid w:val="6FD9207B"/>
    <w:rsid w:val="702154C6"/>
    <w:rsid w:val="705E5813"/>
    <w:rsid w:val="707029DF"/>
    <w:rsid w:val="72D04EF8"/>
    <w:rsid w:val="72DA05E4"/>
    <w:rsid w:val="72E871A5"/>
    <w:rsid w:val="73196529"/>
    <w:rsid w:val="737547B1"/>
    <w:rsid w:val="74253AE1"/>
    <w:rsid w:val="746740F9"/>
    <w:rsid w:val="74D55507"/>
    <w:rsid w:val="75093403"/>
    <w:rsid w:val="752124FA"/>
    <w:rsid w:val="766F3739"/>
    <w:rsid w:val="76F51E90"/>
    <w:rsid w:val="770E2F52"/>
    <w:rsid w:val="77163BB5"/>
    <w:rsid w:val="78EE4DE9"/>
    <w:rsid w:val="7A0F10F3"/>
    <w:rsid w:val="7A1F51BA"/>
    <w:rsid w:val="7AF16E13"/>
    <w:rsid w:val="7B0C1557"/>
    <w:rsid w:val="7BFC15CB"/>
    <w:rsid w:val="7C1E3C37"/>
    <w:rsid w:val="7C983161"/>
    <w:rsid w:val="7DB859C6"/>
    <w:rsid w:val="7E023E73"/>
    <w:rsid w:val="7E394D59"/>
    <w:rsid w:val="7E6A3164"/>
    <w:rsid w:val="7EF649F8"/>
    <w:rsid w:val="7F084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spacing w:line="440" w:lineRule="atLeast"/>
      <w:ind w:firstLine="206"/>
      <w:jc w:val="center"/>
      <w:outlineLvl w:val="0"/>
    </w:pPr>
    <w:rPr>
      <w:b/>
      <w:sz w:val="30"/>
    </w:rPr>
  </w:style>
  <w:style w:type="paragraph" w:styleId="3">
    <w:name w:val="heading 2"/>
    <w:basedOn w:val="1"/>
    <w:next w:val="1"/>
    <w:link w:val="42"/>
    <w:unhideWhenUsed/>
    <w:qFormat/>
    <w:uiPriority w:val="9"/>
    <w:pPr>
      <w:keepNext/>
      <w:keepLines/>
      <w:spacing w:before="260" w:after="260" w:line="413" w:lineRule="auto"/>
      <w:outlineLvl w:val="1"/>
    </w:pPr>
    <w:rPr>
      <w:rFonts w:ascii="Arial" w:hAnsi="Arial" w:eastAsia="黑体"/>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0"/>
    <w:unhideWhenUsed/>
    <w:qFormat/>
    <w:uiPriority w:val="99"/>
    <w:pPr>
      <w:jc w:val="left"/>
    </w:pPr>
  </w:style>
  <w:style w:type="paragraph" w:styleId="5">
    <w:name w:val="Body Text"/>
    <w:basedOn w:val="1"/>
    <w:next w:val="1"/>
    <w:qFormat/>
    <w:uiPriority w:val="0"/>
    <w:pPr>
      <w:spacing w:after="120"/>
    </w:pPr>
  </w:style>
  <w:style w:type="paragraph" w:styleId="6">
    <w:name w:val="Body Text Indent"/>
    <w:basedOn w:val="1"/>
    <w:next w:val="7"/>
    <w:link w:val="26"/>
    <w:qFormat/>
    <w:uiPriority w:val="0"/>
    <w:pPr>
      <w:ind w:firstLine="830" w:firstLineChars="352"/>
    </w:pPr>
    <w:rPr>
      <w:rFonts w:ascii="仿宋_GB2312" w:hAnsi="Times New Roman" w:eastAsia="仿宋_GB2312"/>
      <w:sz w:val="32"/>
      <w:szCs w:val="20"/>
    </w:rPr>
  </w:style>
  <w:style w:type="paragraph" w:customStyle="1" w:styleId="7">
    <w:name w:val="Default"/>
    <w:qFormat/>
    <w:uiPriority w:val="0"/>
    <w:pPr>
      <w:widowControl w:val="0"/>
      <w:autoSpaceDE w:val="0"/>
      <w:autoSpaceDN w:val="0"/>
      <w:adjustRightInd w:val="0"/>
      <w:spacing w:after="160" w:line="259" w:lineRule="auto"/>
    </w:pPr>
    <w:rPr>
      <w:rFonts w:ascii="宋体" w:hAnsi="Times New Roman" w:eastAsia="宋体" w:cs="宋体"/>
      <w:color w:val="000000"/>
      <w:sz w:val="24"/>
      <w:szCs w:val="24"/>
      <w:lang w:val="en-US" w:eastAsia="zh-CN" w:bidi="ar-SA"/>
    </w:rPr>
  </w:style>
  <w:style w:type="paragraph" w:styleId="8">
    <w:name w:val="toc 3"/>
    <w:basedOn w:val="1"/>
    <w:next w:val="1"/>
    <w:unhideWhenUsed/>
    <w:qFormat/>
    <w:uiPriority w:val="39"/>
    <w:pPr>
      <w:ind w:left="840" w:leftChars="400"/>
    </w:pPr>
  </w:style>
  <w:style w:type="paragraph" w:styleId="9">
    <w:name w:val="Body Text Indent 2"/>
    <w:basedOn w:val="1"/>
    <w:qFormat/>
    <w:uiPriority w:val="0"/>
    <w:pPr>
      <w:spacing w:line="300" w:lineRule="auto"/>
      <w:ind w:firstLine="420"/>
    </w:pPr>
  </w:style>
  <w:style w:type="paragraph" w:styleId="10">
    <w:name w:val="Balloon Text"/>
    <w:basedOn w:val="1"/>
    <w:link w:val="31"/>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Body Text Indent 3"/>
    <w:basedOn w:val="1"/>
    <w:link w:val="34"/>
    <w:qFormat/>
    <w:uiPriority w:val="99"/>
    <w:pPr>
      <w:spacing w:after="120"/>
      <w:ind w:left="420" w:leftChars="200"/>
    </w:pPr>
    <w:rPr>
      <w:sz w:val="16"/>
      <w:szCs w:val="16"/>
    </w:rPr>
  </w:style>
  <w:style w:type="paragraph" w:styleId="15">
    <w:name w:val="toc 2"/>
    <w:basedOn w:val="1"/>
    <w:next w:val="1"/>
    <w:unhideWhenUsed/>
    <w:qFormat/>
    <w:uiPriority w:val="39"/>
    <w:pPr>
      <w:ind w:left="420" w:leftChars="200"/>
    </w:pPr>
  </w:style>
  <w:style w:type="paragraph" w:styleId="16">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4"/>
    <w:next w:val="4"/>
    <w:link w:val="27"/>
    <w:unhideWhenUsed/>
    <w:qFormat/>
    <w:uiPriority w:val="99"/>
    <w:rPr>
      <w:b/>
      <w:bCs/>
    </w:rPr>
  </w:style>
  <w:style w:type="paragraph" w:styleId="18">
    <w:name w:val="Body Text First Indent"/>
    <w:basedOn w:val="5"/>
    <w:qFormat/>
    <w:uiPriority w:val="0"/>
    <w:pPr>
      <w:ind w:firstLine="420" w:firstLineChars="100"/>
    </w:pPr>
    <w:rPr>
      <w:rFonts w:ascii="Times New Roman"/>
      <w:szCs w:val="24"/>
    </w:rPr>
  </w:style>
  <w:style w:type="paragraph" w:styleId="19">
    <w:name w:val="Body Text First Indent 2"/>
    <w:basedOn w:val="6"/>
    <w:qFormat/>
    <w:uiPriority w:val="0"/>
    <w:pPr>
      <w:spacing w:line="360" w:lineRule="auto"/>
      <w:ind w:firstLine="200" w:firstLineChars="200"/>
    </w:pPr>
    <w:rPr>
      <w:rFonts w:ascii="宋体" w:eastAsia="宋体"/>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22"/>
    <w:rPr>
      <w:b/>
      <w:bCs/>
    </w:rPr>
  </w:style>
  <w:style w:type="character" w:styleId="24">
    <w:name w:val="Hyperlink"/>
    <w:unhideWhenUsed/>
    <w:qFormat/>
    <w:uiPriority w:val="99"/>
    <w:rPr>
      <w:color w:val="0000FF"/>
      <w:u w:val="single"/>
    </w:rPr>
  </w:style>
  <w:style w:type="character" w:styleId="25">
    <w:name w:val="annotation reference"/>
    <w:unhideWhenUsed/>
    <w:qFormat/>
    <w:uiPriority w:val="99"/>
    <w:rPr>
      <w:sz w:val="21"/>
      <w:szCs w:val="21"/>
    </w:rPr>
  </w:style>
  <w:style w:type="character" w:customStyle="1" w:styleId="26">
    <w:name w:val="正文文本缩进 字符"/>
    <w:link w:val="6"/>
    <w:qFormat/>
    <w:uiPriority w:val="0"/>
    <w:rPr>
      <w:rFonts w:ascii="仿宋_GB2312" w:eastAsia="仿宋_GB2312"/>
      <w:kern w:val="2"/>
      <w:sz w:val="32"/>
    </w:rPr>
  </w:style>
  <w:style w:type="character" w:customStyle="1" w:styleId="27">
    <w:name w:val="批注主题 字符"/>
    <w:link w:val="17"/>
    <w:semiHidden/>
    <w:qFormat/>
    <w:uiPriority w:val="99"/>
    <w:rPr>
      <w:rFonts w:ascii="Calibri" w:hAnsi="Calibri"/>
      <w:b/>
      <w:bCs/>
      <w:kern w:val="2"/>
      <w:sz w:val="21"/>
      <w:szCs w:val="22"/>
    </w:rPr>
  </w:style>
  <w:style w:type="character" w:customStyle="1" w:styleId="28">
    <w:name w:val="页脚 字符"/>
    <w:link w:val="11"/>
    <w:qFormat/>
    <w:uiPriority w:val="99"/>
    <w:rPr>
      <w:rFonts w:ascii="Calibri" w:hAnsi="Calibri"/>
      <w:kern w:val="2"/>
      <w:sz w:val="18"/>
      <w:szCs w:val="18"/>
    </w:rPr>
  </w:style>
  <w:style w:type="character" w:customStyle="1" w:styleId="29">
    <w:name w:val="页眉 字符"/>
    <w:link w:val="12"/>
    <w:qFormat/>
    <w:uiPriority w:val="99"/>
    <w:rPr>
      <w:rFonts w:ascii="Calibri" w:hAnsi="Calibri"/>
      <w:kern w:val="2"/>
      <w:sz w:val="18"/>
      <w:szCs w:val="18"/>
    </w:rPr>
  </w:style>
  <w:style w:type="character" w:customStyle="1" w:styleId="30">
    <w:name w:val="批注文字 字符"/>
    <w:link w:val="4"/>
    <w:qFormat/>
    <w:uiPriority w:val="99"/>
    <w:rPr>
      <w:rFonts w:ascii="Calibri" w:hAnsi="Calibri"/>
      <w:kern w:val="2"/>
      <w:sz w:val="21"/>
      <w:szCs w:val="22"/>
    </w:rPr>
  </w:style>
  <w:style w:type="character" w:customStyle="1" w:styleId="31">
    <w:name w:val="批注框文本 字符"/>
    <w:link w:val="10"/>
    <w:semiHidden/>
    <w:qFormat/>
    <w:uiPriority w:val="99"/>
    <w:rPr>
      <w:rFonts w:ascii="Calibri" w:hAnsi="Calibri"/>
      <w:kern w:val="2"/>
      <w:sz w:val="18"/>
      <w:szCs w:val="18"/>
    </w:rPr>
  </w:style>
  <w:style w:type="paragraph" w:customStyle="1" w:styleId="32">
    <w:name w:val="detail-info"/>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
    <w:name w:val="列出段落1"/>
    <w:basedOn w:val="1"/>
    <w:qFormat/>
    <w:uiPriority w:val="34"/>
    <w:pPr>
      <w:ind w:firstLine="420" w:firstLineChars="200"/>
    </w:pPr>
  </w:style>
  <w:style w:type="character" w:customStyle="1" w:styleId="34">
    <w:name w:val="正文文本缩进 3 字符"/>
    <w:basedOn w:val="22"/>
    <w:link w:val="14"/>
    <w:qFormat/>
    <w:uiPriority w:val="99"/>
    <w:rPr>
      <w:rFonts w:ascii="Calibri" w:hAnsi="Calibri"/>
      <w:kern w:val="2"/>
      <w:sz w:val="16"/>
      <w:szCs w:val="16"/>
    </w:rPr>
  </w:style>
  <w:style w:type="character" w:customStyle="1" w:styleId="35">
    <w:name w:val="hps"/>
    <w:basedOn w:val="22"/>
    <w:qFormat/>
    <w:uiPriority w:val="0"/>
  </w:style>
  <w:style w:type="character" w:customStyle="1" w:styleId="36">
    <w:name w:val="short_text"/>
    <w:basedOn w:val="22"/>
    <w:qFormat/>
    <w:uiPriority w:val="0"/>
  </w:style>
  <w:style w:type="paragraph" w:customStyle="1" w:styleId="37">
    <w:name w:val="Char1"/>
    <w:basedOn w:val="1"/>
    <w:qFormat/>
    <w:uiPriority w:val="0"/>
    <w:rPr>
      <w:szCs w:val="21"/>
    </w:rPr>
  </w:style>
  <w:style w:type="character" w:customStyle="1" w:styleId="38">
    <w:name w:val="NormalCharacter"/>
    <w:semiHidden/>
    <w:qFormat/>
    <w:uiPriority w:val="0"/>
    <w:rPr>
      <w:kern w:val="2"/>
      <w:sz w:val="21"/>
      <w:szCs w:val="22"/>
      <w:lang w:val="en-US" w:eastAsia="zh-CN" w:bidi="ar-SA"/>
    </w:rPr>
  </w:style>
  <w:style w:type="paragraph" w:customStyle="1" w:styleId="39">
    <w:name w:val="WPSOffice手动目录 1"/>
    <w:qFormat/>
    <w:uiPriority w:val="0"/>
    <w:rPr>
      <w:rFonts w:ascii="Times New Roman" w:hAnsi="Times New Roman" w:eastAsia="宋体" w:cs="Times New Roman"/>
      <w:lang w:val="en-US" w:eastAsia="zh-CN" w:bidi="ar-SA"/>
    </w:rPr>
  </w:style>
  <w:style w:type="paragraph" w:customStyle="1" w:styleId="4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2">
    <w:name w:val="标题 2 字符"/>
    <w:link w:val="3"/>
    <w:qFormat/>
    <w:uiPriority w:val="0"/>
    <w:rPr>
      <w:rFonts w:ascii="Arial" w:hAnsi="Arial" w:eastAsia="黑体"/>
      <w:b/>
      <w:sz w:val="32"/>
    </w:rPr>
  </w:style>
  <w:style w:type="paragraph" w:styleId="43">
    <w:name w:val="List Paragraph"/>
    <w:basedOn w:val="1"/>
    <w:qFormat/>
    <w:uiPriority w:val="99"/>
    <w:pPr>
      <w:ind w:firstLine="420" w:firstLineChars="200"/>
    </w:pPr>
  </w:style>
  <w:style w:type="paragraph" w:customStyle="1" w:styleId="44">
    <w:name w:val="p18"/>
    <w:basedOn w:val="1"/>
    <w:qFormat/>
    <w:uiPriority w:val="0"/>
    <w:pPr>
      <w:widowControl/>
    </w:pPr>
    <w:rPr>
      <w:rFonts w:ascii="宋体" w:hAnsi="宋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24</Pages>
  <Words>15998</Words>
  <Characters>19360</Characters>
  <Lines>62</Lines>
  <Paragraphs>17</Paragraphs>
  <TotalTime>3</TotalTime>
  <ScaleCrop>false</ScaleCrop>
  <LinksUpToDate>false</LinksUpToDate>
  <CharactersWithSpaces>19596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2020-08-25T08:51:00Z</dcterms:created>
  <dc:creator>广西工业职业技术学院</dc:creator>
  <cp:lastModifiedBy>黄淑娟</cp:lastModifiedBy>
  <dcterms:modified xsi:type="dcterms:W3CDTF">2026-06-08T07:04:02Z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17DC5F0BBFB64BE6856CAAB7D5AB144E_13</vt:lpwstr>
  </property>
  <property fmtid="{D5CDD505-2E9C-101B-9397-08002B2CF9AE}" pid="4" name="KSOTemplateDocerSaveRecord">
    <vt:lpwstr>eyJoZGlkIjoiODIwNDcyNTVjYzBjOWY1NDRhYmFlMjQ0YjZjZDAwMjIiLCJ1c2VySWQiOiIxNjY3NjM0MTc1In0=</vt:lpwstr>
  </property>
</Properties>
</file>